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9015F" w14:textId="5773AFDB" w:rsidR="007968FE" w:rsidRPr="003654D9" w:rsidRDefault="00755F80" w:rsidP="00114402">
      <w:pPr>
        <w:pStyle w:val="Title"/>
        <w:spacing w:after="600"/>
        <w:rPr>
          <w:sz w:val="96"/>
          <w:szCs w:val="96"/>
          <w:lang w:val="en-AU"/>
        </w:rPr>
      </w:pPr>
      <w:r w:rsidRPr="003654D9">
        <w:rPr>
          <w:sz w:val="56"/>
          <w:szCs w:val="56"/>
          <w:lang w:val="en-AU"/>
        </w:rPr>
        <w:t>Victoria's Investment Prospectus</w:t>
      </w:r>
      <w:r w:rsidR="00A9514F" w:rsidRPr="003654D9">
        <w:rPr>
          <w:lang w:val="en-AU"/>
        </w:rPr>
        <w:t xml:space="preserve"> </w:t>
      </w:r>
      <w:r w:rsidR="00362E21" w:rsidRPr="003654D9">
        <w:rPr>
          <w:sz w:val="96"/>
          <w:szCs w:val="96"/>
          <w:lang w:val="en-AU"/>
        </w:rPr>
        <w:t>ONSHORE WIND</w:t>
      </w:r>
    </w:p>
    <w:p w14:paraId="13767647" w14:textId="77777777" w:rsidR="00A51AD4" w:rsidRPr="003654D9" w:rsidRDefault="00A51AD4" w:rsidP="00A51AD4">
      <w:pPr>
        <w:pStyle w:val="TOAHeading"/>
      </w:pPr>
      <w:r w:rsidRPr="003654D9">
        <w:t>Table of Contents</w:t>
      </w:r>
    </w:p>
    <w:p w14:paraId="6717B82A" w14:textId="1629899A" w:rsidR="00BE60C0" w:rsidRPr="003654D9" w:rsidRDefault="006B5F18">
      <w:pPr>
        <w:pStyle w:val="TOC1"/>
        <w:tabs>
          <w:tab w:val="right" w:leader="dot" w:pos="9628"/>
        </w:tabs>
        <w:rPr>
          <w:rFonts w:asciiTheme="minorHAnsi" w:hAnsiTheme="minorHAnsi" w:cstheme="minorBidi"/>
          <w:bCs w:val="0"/>
          <w:noProof/>
          <w:kern w:val="2"/>
          <w:lang w:eastAsia="en-GB"/>
          <w14:ligatures w14:val="standardContextual"/>
        </w:rPr>
      </w:pPr>
      <w:r w:rsidRPr="003654D9">
        <w:rPr>
          <w:rFonts w:cstheme="majorHAnsi"/>
          <w:sz w:val="28"/>
        </w:rPr>
        <w:fldChar w:fldCharType="begin"/>
      </w:r>
      <w:r w:rsidRPr="003654D9">
        <w:rPr>
          <w:rFonts w:cstheme="majorHAnsi"/>
          <w:sz w:val="28"/>
        </w:rPr>
        <w:instrText xml:space="preserve"> TOC \o "1-1" \h \z \u </w:instrText>
      </w:r>
      <w:r w:rsidRPr="003654D9">
        <w:rPr>
          <w:rFonts w:cstheme="majorHAnsi"/>
          <w:sz w:val="28"/>
        </w:rPr>
        <w:fldChar w:fldCharType="separate"/>
      </w:r>
      <w:hyperlink w:anchor="_Toc212113419" w:history="1">
        <w:r w:rsidR="00BE60C0" w:rsidRPr="003654D9">
          <w:rPr>
            <w:rStyle w:val="Hyperlink"/>
            <w:noProof/>
          </w:rPr>
          <w:t>Victoria, one of the world’s most exciting energy markets</w:t>
        </w:r>
        <w:r w:rsidR="00BE60C0" w:rsidRPr="003654D9">
          <w:rPr>
            <w:noProof/>
            <w:webHidden/>
          </w:rPr>
          <w:tab/>
        </w:r>
        <w:r w:rsidR="00BE60C0" w:rsidRPr="003654D9">
          <w:rPr>
            <w:noProof/>
            <w:webHidden/>
          </w:rPr>
          <w:fldChar w:fldCharType="begin"/>
        </w:r>
        <w:r w:rsidR="00BE60C0" w:rsidRPr="003654D9">
          <w:rPr>
            <w:noProof/>
            <w:webHidden/>
          </w:rPr>
          <w:instrText xml:space="preserve"> PAGEREF _Toc212113419 \h </w:instrText>
        </w:r>
        <w:r w:rsidR="00BE60C0" w:rsidRPr="003654D9">
          <w:rPr>
            <w:noProof/>
            <w:webHidden/>
          </w:rPr>
        </w:r>
        <w:r w:rsidR="00BE60C0" w:rsidRPr="003654D9">
          <w:rPr>
            <w:noProof/>
            <w:webHidden/>
          </w:rPr>
          <w:fldChar w:fldCharType="separate"/>
        </w:r>
        <w:r w:rsidR="00C8369D">
          <w:rPr>
            <w:noProof/>
            <w:webHidden/>
          </w:rPr>
          <w:t>2</w:t>
        </w:r>
        <w:r w:rsidR="00BE60C0" w:rsidRPr="003654D9">
          <w:rPr>
            <w:noProof/>
            <w:webHidden/>
          </w:rPr>
          <w:fldChar w:fldCharType="end"/>
        </w:r>
      </w:hyperlink>
    </w:p>
    <w:p w14:paraId="140103B2" w14:textId="1EF037C2" w:rsidR="00BE60C0" w:rsidRPr="003654D9" w:rsidRDefault="00BE60C0">
      <w:pPr>
        <w:pStyle w:val="TOC1"/>
        <w:tabs>
          <w:tab w:val="right" w:leader="dot" w:pos="9628"/>
        </w:tabs>
        <w:rPr>
          <w:rFonts w:asciiTheme="minorHAnsi" w:hAnsiTheme="minorHAnsi" w:cstheme="minorBidi"/>
          <w:bCs w:val="0"/>
          <w:noProof/>
          <w:kern w:val="2"/>
          <w:lang w:eastAsia="en-GB"/>
          <w14:ligatures w14:val="standardContextual"/>
        </w:rPr>
      </w:pPr>
      <w:hyperlink w:anchor="_Toc212113420" w:history="1">
        <w:r w:rsidRPr="003654D9">
          <w:rPr>
            <w:rStyle w:val="Hyperlink"/>
            <w:noProof/>
          </w:rPr>
          <w:t>Welcome to Victoria's renewable energy sector</w:t>
        </w:r>
        <w:r w:rsidRPr="003654D9">
          <w:rPr>
            <w:noProof/>
            <w:webHidden/>
          </w:rPr>
          <w:tab/>
        </w:r>
        <w:r w:rsidRPr="003654D9">
          <w:rPr>
            <w:noProof/>
            <w:webHidden/>
          </w:rPr>
          <w:fldChar w:fldCharType="begin"/>
        </w:r>
        <w:r w:rsidRPr="003654D9">
          <w:rPr>
            <w:noProof/>
            <w:webHidden/>
          </w:rPr>
          <w:instrText xml:space="preserve"> PAGEREF _Toc212113420 \h </w:instrText>
        </w:r>
        <w:r w:rsidRPr="003654D9">
          <w:rPr>
            <w:noProof/>
            <w:webHidden/>
          </w:rPr>
        </w:r>
        <w:r w:rsidRPr="003654D9">
          <w:rPr>
            <w:noProof/>
            <w:webHidden/>
          </w:rPr>
          <w:fldChar w:fldCharType="separate"/>
        </w:r>
        <w:r w:rsidR="00C8369D">
          <w:rPr>
            <w:noProof/>
            <w:webHidden/>
          </w:rPr>
          <w:t>3</w:t>
        </w:r>
        <w:r w:rsidRPr="003654D9">
          <w:rPr>
            <w:noProof/>
            <w:webHidden/>
          </w:rPr>
          <w:fldChar w:fldCharType="end"/>
        </w:r>
      </w:hyperlink>
    </w:p>
    <w:p w14:paraId="05F76E61" w14:textId="75DDC432" w:rsidR="00BE60C0" w:rsidRPr="003654D9" w:rsidRDefault="00BE60C0">
      <w:pPr>
        <w:pStyle w:val="TOC1"/>
        <w:tabs>
          <w:tab w:val="right" w:leader="dot" w:pos="9628"/>
        </w:tabs>
        <w:rPr>
          <w:rFonts w:asciiTheme="minorHAnsi" w:hAnsiTheme="minorHAnsi" w:cstheme="minorBidi"/>
          <w:bCs w:val="0"/>
          <w:noProof/>
          <w:kern w:val="2"/>
          <w:lang w:eastAsia="en-GB"/>
          <w14:ligatures w14:val="standardContextual"/>
        </w:rPr>
      </w:pPr>
      <w:hyperlink w:anchor="_Toc212113421" w:history="1">
        <w:r w:rsidRPr="003654D9">
          <w:rPr>
            <w:rStyle w:val="Hyperlink"/>
            <w:noProof/>
          </w:rPr>
          <w:t>Why invest in Victoria’s energy storage sector?</w:t>
        </w:r>
        <w:r w:rsidRPr="003654D9">
          <w:rPr>
            <w:noProof/>
            <w:webHidden/>
          </w:rPr>
          <w:tab/>
        </w:r>
        <w:r w:rsidRPr="003654D9">
          <w:rPr>
            <w:noProof/>
            <w:webHidden/>
          </w:rPr>
          <w:fldChar w:fldCharType="begin"/>
        </w:r>
        <w:r w:rsidRPr="003654D9">
          <w:rPr>
            <w:noProof/>
            <w:webHidden/>
          </w:rPr>
          <w:instrText xml:space="preserve"> PAGEREF _Toc212113421 \h </w:instrText>
        </w:r>
        <w:r w:rsidRPr="003654D9">
          <w:rPr>
            <w:noProof/>
            <w:webHidden/>
          </w:rPr>
        </w:r>
        <w:r w:rsidRPr="003654D9">
          <w:rPr>
            <w:noProof/>
            <w:webHidden/>
          </w:rPr>
          <w:fldChar w:fldCharType="separate"/>
        </w:r>
        <w:r w:rsidR="00C8369D">
          <w:rPr>
            <w:noProof/>
            <w:webHidden/>
          </w:rPr>
          <w:t>5</w:t>
        </w:r>
        <w:r w:rsidRPr="003654D9">
          <w:rPr>
            <w:noProof/>
            <w:webHidden/>
          </w:rPr>
          <w:fldChar w:fldCharType="end"/>
        </w:r>
      </w:hyperlink>
    </w:p>
    <w:p w14:paraId="005220E3" w14:textId="4214CD80" w:rsidR="00BE60C0" w:rsidRPr="003654D9" w:rsidRDefault="00BE60C0">
      <w:pPr>
        <w:pStyle w:val="TOC1"/>
        <w:tabs>
          <w:tab w:val="right" w:leader="dot" w:pos="9628"/>
        </w:tabs>
        <w:rPr>
          <w:rFonts w:asciiTheme="minorHAnsi" w:hAnsiTheme="minorHAnsi" w:cstheme="minorBidi"/>
          <w:bCs w:val="0"/>
          <w:noProof/>
          <w:kern w:val="2"/>
          <w:lang w:eastAsia="en-GB"/>
          <w14:ligatures w14:val="standardContextual"/>
        </w:rPr>
      </w:pPr>
      <w:hyperlink w:anchor="_Toc212113422" w:history="1">
        <w:r w:rsidRPr="003654D9">
          <w:rPr>
            <w:rStyle w:val="Hyperlink"/>
            <w:noProof/>
          </w:rPr>
          <w:t>Victoria’s world-leading wind resource</w:t>
        </w:r>
        <w:r w:rsidRPr="003654D9">
          <w:rPr>
            <w:noProof/>
            <w:webHidden/>
          </w:rPr>
          <w:tab/>
        </w:r>
        <w:r w:rsidRPr="003654D9">
          <w:rPr>
            <w:noProof/>
            <w:webHidden/>
          </w:rPr>
          <w:fldChar w:fldCharType="begin"/>
        </w:r>
        <w:r w:rsidRPr="003654D9">
          <w:rPr>
            <w:noProof/>
            <w:webHidden/>
          </w:rPr>
          <w:instrText xml:space="preserve"> PAGEREF _Toc212113422 \h </w:instrText>
        </w:r>
        <w:r w:rsidRPr="003654D9">
          <w:rPr>
            <w:noProof/>
            <w:webHidden/>
          </w:rPr>
        </w:r>
        <w:r w:rsidRPr="003654D9">
          <w:rPr>
            <w:noProof/>
            <w:webHidden/>
          </w:rPr>
          <w:fldChar w:fldCharType="separate"/>
        </w:r>
        <w:r w:rsidR="00C8369D">
          <w:rPr>
            <w:noProof/>
            <w:webHidden/>
          </w:rPr>
          <w:t>6</w:t>
        </w:r>
        <w:r w:rsidRPr="003654D9">
          <w:rPr>
            <w:noProof/>
            <w:webHidden/>
          </w:rPr>
          <w:fldChar w:fldCharType="end"/>
        </w:r>
      </w:hyperlink>
    </w:p>
    <w:p w14:paraId="69C446EE" w14:textId="2675B7E3" w:rsidR="00BE60C0" w:rsidRPr="003654D9" w:rsidRDefault="00BE60C0">
      <w:pPr>
        <w:pStyle w:val="TOC1"/>
        <w:tabs>
          <w:tab w:val="right" w:leader="dot" w:pos="9628"/>
        </w:tabs>
        <w:rPr>
          <w:rFonts w:asciiTheme="minorHAnsi" w:hAnsiTheme="minorHAnsi" w:cstheme="minorBidi"/>
          <w:bCs w:val="0"/>
          <w:noProof/>
          <w:kern w:val="2"/>
          <w:lang w:eastAsia="en-GB"/>
          <w14:ligatures w14:val="standardContextual"/>
        </w:rPr>
      </w:pPr>
      <w:hyperlink w:anchor="_Toc212113423" w:history="1">
        <w:r w:rsidRPr="003654D9">
          <w:rPr>
            <w:rStyle w:val="Hyperlink"/>
            <w:noProof/>
          </w:rPr>
          <w:t>Government policies supporting your project</w:t>
        </w:r>
        <w:r w:rsidRPr="003654D9">
          <w:rPr>
            <w:noProof/>
            <w:webHidden/>
          </w:rPr>
          <w:tab/>
        </w:r>
        <w:r w:rsidRPr="003654D9">
          <w:rPr>
            <w:noProof/>
            <w:webHidden/>
          </w:rPr>
          <w:fldChar w:fldCharType="begin"/>
        </w:r>
        <w:r w:rsidRPr="003654D9">
          <w:rPr>
            <w:noProof/>
            <w:webHidden/>
          </w:rPr>
          <w:instrText xml:space="preserve"> PAGEREF _Toc212113423 \h </w:instrText>
        </w:r>
        <w:r w:rsidRPr="003654D9">
          <w:rPr>
            <w:noProof/>
            <w:webHidden/>
          </w:rPr>
        </w:r>
        <w:r w:rsidRPr="003654D9">
          <w:rPr>
            <w:noProof/>
            <w:webHidden/>
          </w:rPr>
          <w:fldChar w:fldCharType="separate"/>
        </w:r>
        <w:r w:rsidR="00C8369D">
          <w:rPr>
            <w:noProof/>
            <w:webHidden/>
          </w:rPr>
          <w:t>8</w:t>
        </w:r>
        <w:r w:rsidRPr="003654D9">
          <w:rPr>
            <w:noProof/>
            <w:webHidden/>
          </w:rPr>
          <w:fldChar w:fldCharType="end"/>
        </w:r>
      </w:hyperlink>
    </w:p>
    <w:p w14:paraId="29E20795" w14:textId="16CAE465" w:rsidR="00BE60C0" w:rsidRPr="003654D9" w:rsidRDefault="00BE60C0">
      <w:pPr>
        <w:pStyle w:val="TOC1"/>
        <w:tabs>
          <w:tab w:val="right" w:leader="dot" w:pos="9628"/>
        </w:tabs>
        <w:rPr>
          <w:rFonts w:asciiTheme="minorHAnsi" w:hAnsiTheme="minorHAnsi" w:cstheme="minorBidi"/>
          <w:bCs w:val="0"/>
          <w:noProof/>
          <w:kern w:val="2"/>
          <w:lang w:eastAsia="en-GB"/>
          <w14:ligatures w14:val="standardContextual"/>
        </w:rPr>
      </w:pPr>
      <w:hyperlink w:anchor="_Toc212113424" w:history="1">
        <w:r w:rsidRPr="003654D9">
          <w:rPr>
            <w:rStyle w:val="Hyperlink"/>
            <w:noProof/>
          </w:rPr>
          <w:t>Victoria’s new Renewable Energy Zones</w:t>
        </w:r>
        <w:r w:rsidRPr="003654D9">
          <w:rPr>
            <w:noProof/>
            <w:webHidden/>
          </w:rPr>
          <w:tab/>
        </w:r>
        <w:r w:rsidRPr="003654D9">
          <w:rPr>
            <w:noProof/>
            <w:webHidden/>
          </w:rPr>
          <w:fldChar w:fldCharType="begin"/>
        </w:r>
        <w:r w:rsidRPr="003654D9">
          <w:rPr>
            <w:noProof/>
            <w:webHidden/>
          </w:rPr>
          <w:instrText xml:space="preserve"> PAGEREF _Toc212113424 \h </w:instrText>
        </w:r>
        <w:r w:rsidRPr="003654D9">
          <w:rPr>
            <w:noProof/>
            <w:webHidden/>
          </w:rPr>
        </w:r>
        <w:r w:rsidRPr="003654D9">
          <w:rPr>
            <w:noProof/>
            <w:webHidden/>
          </w:rPr>
          <w:fldChar w:fldCharType="separate"/>
        </w:r>
        <w:r w:rsidR="00C8369D">
          <w:rPr>
            <w:noProof/>
            <w:webHidden/>
          </w:rPr>
          <w:t>11</w:t>
        </w:r>
        <w:r w:rsidRPr="003654D9">
          <w:rPr>
            <w:noProof/>
            <w:webHidden/>
          </w:rPr>
          <w:fldChar w:fldCharType="end"/>
        </w:r>
      </w:hyperlink>
    </w:p>
    <w:p w14:paraId="5F49AF4D" w14:textId="1E989DA6" w:rsidR="00BE60C0" w:rsidRPr="003654D9" w:rsidRDefault="00BE60C0">
      <w:pPr>
        <w:pStyle w:val="TOC1"/>
        <w:tabs>
          <w:tab w:val="right" w:leader="dot" w:pos="9628"/>
        </w:tabs>
        <w:rPr>
          <w:rFonts w:asciiTheme="minorHAnsi" w:hAnsiTheme="minorHAnsi" w:cstheme="minorBidi"/>
          <w:bCs w:val="0"/>
          <w:noProof/>
          <w:kern w:val="2"/>
          <w:lang w:eastAsia="en-GB"/>
          <w14:ligatures w14:val="standardContextual"/>
        </w:rPr>
      </w:pPr>
      <w:hyperlink w:anchor="_Toc212113425" w:history="1">
        <w:r w:rsidRPr="003654D9">
          <w:rPr>
            <w:rStyle w:val="Hyperlink"/>
            <w:noProof/>
          </w:rPr>
          <w:t>Powering Victoria’s renewable energy future</w:t>
        </w:r>
        <w:r w:rsidRPr="003654D9">
          <w:rPr>
            <w:noProof/>
            <w:webHidden/>
          </w:rPr>
          <w:tab/>
        </w:r>
        <w:r w:rsidRPr="003654D9">
          <w:rPr>
            <w:noProof/>
            <w:webHidden/>
          </w:rPr>
          <w:fldChar w:fldCharType="begin"/>
        </w:r>
        <w:r w:rsidRPr="003654D9">
          <w:rPr>
            <w:noProof/>
            <w:webHidden/>
          </w:rPr>
          <w:instrText xml:space="preserve"> PAGEREF _Toc212113425 \h </w:instrText>
        </w:r>
        <w:r w:rsidRPr="003654D9">
          <w:rPr>
            <w:noProof/>
            <w:webHidden/>
          </w:rPr>
        </w:r>
        <w:r w:rsidRPr="003654D9">
          <w:rPr>
            <w:noProof/>
            <w:webHidden/>
          </w:rPr>
          <w:fldChar w:fldCharType="separate"/>
        </w:r>
        <w:r w:rsidR="00C8369D">
          <w:rPr>
            <w:noProof/>
            <w:webHidden/>
          </w:rPr>
          <w:t>13</w:t>
        </w:r>
        <w:r w:rsidRPr="003654D9">
          <w:rPr>
            <w:noProof/>
            <w:webHidden/>
          </w:rPr>
          <w:fldChar w:fldCharType="end"/>
        </w:r>
      </w:hyperlink>
    </w:p>
    <w:p w14:paraId="28D70473" w14:textId="3AA0F001" w:rsidR="00BE60C0" w:rsidRPr="003654D9" w:rsidRDefault="00BE60C0">
      <w:pPr>
        <w:pStyle w:val="TOC1"/>
        <w:tabs>
          <w:tab w:val="right" w:leader="dot" w:pos="9628"/>
        </w:tabs>
        <w:rPr>
          <w:rFonts w:asciiTheme="minorHAnsi" w:hAnsiTheme="minorHAnsi" w:cstheme="minorBidi"/>
          <w:bCs w:val="0"/>
          <w:noProof/>
          <w:kern w:val="2"/>
          <w:lang w:eastAsia="en-GB"/>
          <w14:ligatures w14:val="standardContextual"/>
        </w:rPr>
      </w:pPr>
      <w:hyperlink w:anchor="_Toc212113426" w:history="1">
        <w:r w:rsidRPr="003654D9">
          <w:rPr>
            <w:rStyle w:val="Hyperlink"/>
            <w:noProof/>
          </w:rPr>
          <w:t>Access to Victoria's world-class renewable energy talent</w:t>
        </w:r>
        <w:r w:rsidRPr="003654D9">
          <w:rPr>
            <w:noProof/>
            <w:webHidden/>
          </w:rPr>
          <w:tab/>
        </w:r>
        <w:r w:rsidRPr="003654D9">
          <w:rPr>
            <w:noProof/>
            <w:webHidden/>
          </w:rPr>
          <w:fldChar w:fldCharType="begin"/>
        </w:r>
        <w:r w:rsidRPr="003654D9">
          <w:rPr>
            <w:noProof/>
            <w:webHidden/>
          </w:rPr>
          <w:instrText xml:space="preserve"> PAGEREF _Toc212113426 \h </w:instrText>
        </w:r>
        <w:r w:rsidRPr="003654D9">
          <w:rPr>
            <w:noProof/>
            <w:webHidden/>
          </w:rPr>
        </w:r>
        <w:r w:rsidRPr="003654D9">
          <w:rPr>
            <w:noProof/>
            <w:webHidden/>
          </w:rPr>
          <w:fldChar w:fldCharType="separate"/>
        </w:r>
        <w:r w:rsidR="00C8369D">
          <w:rPr>
            <w:noProof/>
            <w:webHidden/>
          </w:rPr>
          <w:t>14</w:t>
        </w:r>
        <w:r w:rsidRPr="003654D9">
          <w:rPr>
            <w:noProof/>
            <w:webHidden/>
          </w:rPr>
          <w:fldChar w:fldCharType="end"/>
        </w:r>
      </w:hyperlink>
    </w:p>
    <w:p w14:paraId="5BD283B2" w14:textId="771857F8" w:rsidR="00BE60C0" w:rsidRPr="003654D9" w:rsidRDefault="00BE60C0">
      <w:pPr>
        <w:pStyle w:val="TOC1"/>
        <w:tabs>
          <w:tab w:val="right" w:leader="dot" w:pos="9628"/>
        </w:tabs>
        <w:rPr>
          <w:rFonts w:asciiTheme="minorHAnsi" w:hAnsiTheme="minorHAnsi" w:cstheme="minorBidi"/>
          <w:bCs w:val="0"/>
          <w:noProof/>
          <w:kern w:val="2"/>
          <w:lang w:eastAsia="en-GB"/>
          <w14:ligatures w14:val="standardContextual"/>
        </w:rPr>
      </w:pPr>
      <w:hyperlink w:anchor="_Toc212113427" w:history="1">
        <w:r w:rsidRPr="003654D9">
          <w:rPr>
            <w:rStyle w:val="Hyperlink"/>
            <w:noProof/>
          </w:rPr>
          <w:t>Co-locate with energy storage to maximise output</w:t>
        </w:r>
        <w:r w:rsidRPr="003654D9">
          <w:rPr>
            <w:noProof/>
            <w:webHidden/>
          </w:rPr>
          <w:tab/>
        </w:r>
        <w:r w:rsidRPr="003654D9">
          <w:rPr>
            <w:noProof/>
            <w:webHidden/>
          </w:rPr>
          <w:fldChar w:fldCharType="begin"/>
        </w:r>
        <w:r w:rsidRPr="003654D9">
          <w:rPr>
            <w:noProof/>
            <w:webHidden/>
          </w:rPr>
          <w:instrText xml:space="preserve"> PAGEREF _Toc212113427 \h </w:instrText>
        </w:r>
        <w:r w:rsidRPr="003654D9">
          <w:rPr>
            <w:noProof/>
            <w:webHidden/>
          </w:rPr>
        </w:r>
        <w:r w:rsidRPr="003654D9">
          <w:rPr>
            <w:noProof/>
            <w:webHidden/>
          </w:rPr>
          <w:fldChar w:fldCharType="separate"/>
        </w:r>
        <w:r w:rsidR="00C8369D">
          <w:rPr>
            <w:noProof/>
            <w:webHidden/>
          </w:rPr>
          <w:t>16</w:t>
        </w:r>
        <w:r w:rsidRPr="003654D9">
          <w:rPr>
            <w:noProof/>
            <w:webHidden/>
          </w:rPr>
          <w:fldChar w:fldCharType="end"/>
        </w:r>
      </w:hyperlink>
    </w:p>
    <w:p w14:paraId="36132E4A" w14:textId="767F4B20" w:rsidR="00BE60C0" w:rsidRPr="003654D9" w:rsidRDefault="00BE60C0">
      <w:pPr>
        <w:pStyle w:val="TOC1"/>
        <w:tabs>
          <w:tab w:val="right" w:leader="dot" w:pos="9628"/>
        </w:tabs>
        <w:rPr>
          <w:rFonts w:asciiTheme="minorHAnsi" w:hAnsiTheme="minorHAnsi" w:cstheme="minorBidi"/>
          <w:bCs w:val="0"/>
          <w:noProof/>
          <w:kern w:val="2"/>
          <w:lang w:eastAsia="en-GB"/>
          <w14:ligatures w14:val="standardContextual"/>
        </w:rPr>
      </w:pPr>
      <w:hyperlink w:anchor="_Toc212113428" w:history="1">
        <w:r w:rsidRPr="003654D9">
          <w:rPr>
            <w:rStyle w:val="Hyperlink"/>
            <w:noProof/>
          </w:rPr>
          <w:t>A world class supply chain to support a thriving wind industry</w:t>
        </w:r>
        <w:r w:rsidRPr="003654D9">
          <w:rPr>
            <w:noProof/>
            <w:webHidden/>
          </w:rPr>
          <w:tab/>
        </w:r>
        <w:r w:rsidRPr="003654D9">
          <w:rPr>
            <w:noProof/>
            <w:webHidden/>
          </w:rPr>
          <w:fldChar w:fldCharType="begin"/>
        </w:r>
        <w:r w:rsidRPr="003654D9">
          <w:rPr>
            <w:noProof/>
            <w:webHidden/>
          </w:rPr>
          <w:instrText xml:space="preserve"> PAGEREF _Toc212113428 \h </w:instrText>
        </w:r>
        <w:r w:rsidRPr="003654D9">
          <w:rPr>
            <w:noProof/>
            <w:webHidden/>
          </w:rPr>
        </w:r>
        <w:r w:rsidRPr="003654D9">
          <w:rPr>
            <w:noProof/>
            <w:webHidden/>
          </w:rPr>
          <w:fldChar w:fldCharType="separate"/>
        </w:r>
        <w:r w:rsidR="00C8369D">
          <w:rPr>
            <w:noProof/>
            <w:webHidden/>
          </w:rPr>
          <w:t>18</w:t>
        </w:r>
        <w:r w:rsidRPr="003654D9">
          <w:rPr>
            <w:noProof/>
            <w:webHidden/>
          </w:rPr>
          <w:fldChar w:fldCharType="end"/>
        </w:r>
      </w:hyperlink>
    </w:p>
    <w:p w14:paraId="18E39292" w14:textId="06A79D97" w:rsidR="00BE60C0" w:rsidRPr="003654D9" w:rsidRDefault="00BE60C0">
      <w:pPr>
        <w:pStyle w:val="TOC1"/>
        <w:tabs>
          <w:tab w:val="right" w:leader="dot" w:pos="9628"/>
        </w:tabs>
        <w:rPr>
          <w:rFonts w:asciiTheme="minorHAnsi" w:hAnsiTheme="minorHAnsi" w:cstheme="minorBidi"/>
          <w:bCs w:val="0"/>
          <w:noProof/>
          <w:kern w:val="2"/>
          <w:lang w:eastAsia="en-GB"/>
          <w14:ligatures w14:val="standardContextual"/>
        </w:rPr>
      </w:pPr>
      <w:hyperlink w:anchor="_Toc212113429" w:history="1">
        <w:r w:rsidRPr="003654D9">
          <w:rPr>
            <w:rStyle w:val="Hyperlink"/>
            <w:noProof/>
          </w:rPr>
          <w:t>Key Victorian Government entities</w:t>
        </w:r>
        <w:r w:rsidRPr="003654D9">
          <w:rPr>
            <w:noProof/>
            <w:webHidden/>
          </w:rPr>
          <w:tab/>
        </w:r>
        <w:r w:rsidRPr="003654D9">
          <w:rPr>
            <w:noProof/>
            <w:webHidden/>
          </w:rPr>
          <w:fldChar w:fldCharType="begin"/>
        </w:r>
        <w:r w:rsidRPr="003654D9">
          <w:rPr>
            <w:noProof/>
            <w:webHidden/>
          </w:rPr>
          <w:instrText xml:space="preserve"> PAGEREF _Toc212113429 \h </w:instrText>
        </w:r>
        <w:r w:rsidRPr="003654D9">
          <w:rPr>
            <w:noProof/>
            <w:webHidden/>
          </w:rPr>
        </w:r>
        <w:r w:rsidRPr="003654D9">
          <w:rPr>
            <w:noProof/>
            <w:webHidden/>
          </w:rPr>
          <w:fldChar w:fldCharType="separate"/>
        </w:r>
        <w:r w:rsidR="00C8369D">
          <w:rPr>
            <w:noProof/>
            <w:webHidden/>
          </w:rPr>
          <w:t>20</w:t>
        </w:r>
        <w:r w:rsidRPr="003654D9">
          <w:rPr>
            <w:noProof/>
            <w:webHidden/>
          </w:rPr>
          <w:fldChar w:fldCharType="end"/>
        </w:r>
      </w:hyperlink>
    </w:p>
    <w:p w14:paraId="6D7A9BAA" w14:textId="30FA8A7C" w:rsidR="00BE60C0" w:rsidRPr="003654D9" w:rsidRDefault="00BE60C0">
      <w:pPr>
        <w:pStyle w:val="TOC1"/>
        <w:tabs>
          <w:tab w:val="right" w:leader="dot" w:pos="9628"/>
        </w:tabs>
        <w:rPr>
          <w:rFonts w:asciiTheme="minorHAnsi" w:hAnsiTheme="minorHAnsi" w:cstheme="minorBidi"/>
          <w:bCs w:val="0"/>
          <w:noProof/>
          <w:kern w:val="2"/>
          <w:lang w:eastAsia="en-GB"/>
          <w14:ligatures w14:val="standardContextual"/>
        </w:rPr>
      </w:pPr>
      <w:hyperlink w:anchor="_Toc212113430" w:history="1">
        <w:r w:rsidRPr="003654D9">
          <w:rPr>
            <w:rStyle w:val="Hyperlink"/>
            <w:noProof/>
          </w:rPr>
          <w:t>Publication information</w:t>
        </w:r>
        <w:r w:rsidRPr="003654D9">
          <w:rPr>
            <w:noProof/>
            <w:webHidden/>
          </w:rPr>
          <w:tab/>
        </w:r>
        <w:r w:rsidRPr="003654D9">
          <w:rPr>
            <w:noProof/>
            <w:webHidden/>
          </w:rPr>
          <w:fldChar w:fldCharType="begin"/>
        </w:r>
        <w:r w:rsidRPr="003654D9">
          <w:rPr>
            <w:noProof/>
            <w:webHidden/>
          </w:rPr>
          <w:instrText xml:space="preserve"> PAGEREF _Toc212113430 \h </w:instrText>
        </w:r>
        <w:r w:rsidRPr="003654D9">
          <w:rPr>
            <w:noProof/>
            <w:webHidden/>
          </w:rPr>
        </w:r>
        <w:r w:rsidRPr="003654D9">
          <w:rPr>
            <w:noProof/>
            <w:webHidden/>
          </w:rPr>
          <w:fldChar w:fldCharType="separate"/>
        </w:r>
        <w:r w:rsidR="00C8369D">
          <w:rPr>
            <w:noProof/>
            <w:webHidden/>
          </w:rPr>
          <w:t>22</w:t>
        </w:r>
        <w:r w:rsidRPr="003654D9">
          <w:rPr>
            <w:noProof/>
            <w:webHidden/>
          </w:rPr>
          <w:fldChar w:fldCharType="end"/>
        </w:r>
      </w:hyperlink>
    </w:p>
    <w:p w14:paraId="534E4224" w14:textId="13B2C48B" w:rsidR="00B165A7" w:rsidRPr="003654D9" w:rsidRDefault="006B5F18">
      <w:pPr>
        <w:suppressAutoHyphens w:val="0"/>
        <w:spacing w:after="160"/>
        <w:rPr>
          <w:rFonts w:asciiTheme="majorHAnsi" w:hAnsiTheme="majorHAnsi" w:cstheme="majorHAnsi"/>
          <w:szCs w:val="24"/>
        </w:rPr>
        <w:sectPr w:rsidR="00B165A7" w:rsidRPr="003654D9" w:rsidSect="00EB277B">
          <w:footerReference w:type="even" r:id="rId8"/>
          <w:footerReference w:type="default" r:id="rId9"/>
          <w:pgSz w:w="11906" w:h="16838"/>
          <w:pgMar w:top="1134" w:right="1134" w:bottom="1134" w:left="1134" w:header="720" w:footer="454" w:gutter="0"/>
          <w:cols w:space="720"/>
          <w:noEndnote/>
          <w:docGrid w:linePitch="326"/>
        </w:sectPr>
      </w:pPr>
      <w:r w:rsidRPr="003654D9">
        <w:rPr>
          <w:rFonts w:asciiTheme="majorHAnsi" w:hAnsiTheme="majorHAnsi" w:cstheme="majorHAnsi"/>
          <w:sz w:val="28"/>
          <w:szCs w:val="24"/>
        </w:rPr>
        <w:fldChar w:fldCharType="end"/>
      </w:r>
    </w:p>
    <w:p w14:paraId="13F997FE" w14:textId="2EA8D907" w:rsidR="00885AAB" w:rsidRPr="003654D9" w:rsidRDefault="00114402" w:rsidP="00114402">
      <w:pPr>
        <w:pStyle w:val="Heading1"/>
        <w:pageBreakBefore/>
        <w:spacing w:after="240"/>
        <w:rPr>
          <w:lang w:val="en-AU"/>
        </w:rPr>
      </w:pPr>
      <w:bookmarkStart w:id="0" w:name="_Toc212113419"/>
      <w:r w:rsidRPr="003654D9">
        <w:rPr>
          <w:lang w:val="en-AU"/>
        </w:rPr>
        <w:lastRenderedPageBreak/>
        <w:t>Victoria, one of the world’s most exciting energy markets</w:t>
      </w:r>
      <w:bookmarkEnd w:id="0"/>
    </w:p>
    <w:p w14:paraId="77159AB5" w14:textId="77777777" w:rsidR="00404042" w:rsidRPr="003654D9" w:rsidRDefault="00404042" w:rsidP="00093136">
      <w:pPr>
        <w:pStyle w:val="Heading2"/>
        <w:spacing w:after="180"/>
        <w:rPr>
          <w:sz w:val="32"/>
          <w:szCs w:val="32"/>
          <w:lang w:val="en-AU"/>
        </w:rPr>
      </w:pPr>
      <w:r w:rsidRPr="003654D9">
        <w:rPr>
          <w:sz w:val="32"/>
          <w:szCs w:val="32"/>
          <w:lang w:val="en-AU"/>
        </w:rPr>
        <w:t xml:space="preserve">Acknowledgement of Country </w:t>
      </w:r>
    </w:p>
    <w:p w14:paraId="12DD152E" w14:textId="77777777" w:rsidR="00404042" w:rsidRPr="003654D9" w:rsidRDefault="00404042" w:rsidP="00093136">
      <w:pPr>
        <w:pStyle w:val="BodyText"/>
        <w:spacing w:after="180"/>
        <w:rPr>
          <w:lang w:val="en-AU"/>
        </w:rPr>
      </w:pPr>
      <w:r w:rsidRPr="003654D9">
        <w:rPr>
          <w:lang w:val="en-AU"/>
        </w:rPr>
        <w:t>We acknowledge and respect Victorian Traditional Owners as the original custodians of Victoria’s land and waters, their unique ability to care for Country and deep spiritual connection to it.</w:t>
      </w:r>
    </w:p>
    <w:p w14:paraId="4682501D" w14:textId="77777777" w:rsidR="00404042" w:rsidRPr="003654D9" w:rsidRDefault="00404042" w:rsidP="00093136">
      <w:pPr>
        <w:pStyle w:val="BodyText"/>
        <w:spacing w:after="180"/>
        <w:rPr>
          <w:lang w:val="en-AU"/>
        </w:rPr>
      </w:pPr>
      <w:r w:rsidRPr="003654D9">
        <w:rPr>
          <w:lang w:val="en-AU"/>
        </w:rPr>
        <w:t>We honour Elders past and present whose knowledge and wisdom have ensured the continuation of culture and traditional practices.</w:t>
      </w:r>
    </w:p>
    <w:p w14:paraId="0D186633" w14:textId="1048508A" w:rsidR="00404042" w:rsidRPr="003654D9" w:rsidRDefault="00404042" w:rsidP="0082776C">
      <w:pPr>
        <w:pStyle w:val="BodyText"/>
        <w:rPr>
          <w:lang w:val="en-AU"/>
        </w:rPr>
      </w:pPr>
      <w:r w:rsidRPr="003654D9">
        <w:rPr>
          <w:lang w:val="en-AU"/>
        </w:rPr>
        <w:t>We are committed to genuinely partner, and meaningfully engage, with Victoria’s Traditional Owners and Aboriginal communities to support the protection of Country, the maintenance of spiritual and cultural practices and their broader aspirations in the 21st century and beyond.</w:t>
      </w:r>
    </w:p>
    <w:p w14:paraId="492F0CFF" w14:textId="77777777" w:rsidR="00404042" w:rsidRPr="003654D9" w:rsidRDefault="00404042" w:rsidP="00093136">
      <w:pPr>
        <w:pStyle w:val="Heading2"/>
        <w:spacing w:after="180"/>
        <w:rPr>
          <w:sz w:val="32"/>
          <w:szCs w:val="32"/>
          <w:lang w:val="en-AU"/>
        </w:rPr>
      </w:pPr>
      <w:r w:rsidRPr="003654D9">
        <w:rPr>
          <w:sz w:val="32"/>
          <w:szCs w:val="32"/>
          <w:lang w:val="en-AU"/>
        </w:rPr>
        <w:t>Traditional Owners at the centre of decision-making processes</w:t>
      </w:r>
    </w:p>
    <w:p w14:paraId="2D126B21" w14:textId="66DBCD82" w:rsidR="00404042" w:rsidRPr="000D775C" w:rsidRDefault="000D775C" w:rsidP="00404042">
      <w:pPr>
        <w:pStyle w:val="BodyText"/>
        <w:rPr>
          <w:i/>
          <w:iCs/>
        </w:rPr>
      </w:pPr>
      <w:r w:rsidRPr="002C68DD">
        <w:t xml:space="preserve">Strong and mutually beneficial partnerships with Traditional Owners and First Peoples are imperative to the electricity transition’s success and integral to ensuring the goals and objectives of self-determination set out in the Victorian Government’s Self Determination Reform Framework and the Department of Energy, Environment and Climate Action’s (DEECA) </w:t>
      </w:r>
      <w:proofErr w:type="spellStart"/>
      <w:r w:rsidRPr="002C68DD">
        <w:rPr>
          <w:i/>
          <w:iCs/>
        </w:rPr>
        <w:t>Pupangarli</w:t>
      </w:r>
      <w:proofErr w:type="spellEnd"/>
      <w:r w:rsidRPr="002C68DD">
        <w:rPr>
          <w:i/>
          <w:iCs/>
        </w:rPr>
        <w:t xml:space="preserve"> </w:t>
      </w:r>
      <w:proofErr w:type="spellStart"/>
      <w:r w:rsidRPr="002C68DD">
        <w:rPr>
          <w:i/>
          <w:iCs/>
        </w:rPr>
        <w:t>Marnmarnepu</w:t>
      </w:r>
      <w:proofErr w:type="spellEnd"/>
      <w:r w:rsidRPr="002C68DD">
        <w:rPr>
          <w:i/>
          <w:iCs/>
        </w:rPr>
        <w:t xml:space="preserve"> ‘Owning Our Future’ Aboriginal Self-Determination Reform Strategy 2020–2025</w:t>
      </w:r>
      <w:r w:rsidR="00404042" w:rsidRPr="003654D9">
        <w:rPr>
          <w:lang w:val="en-AU"/>
        </w:rPr>
        <w:t>.</w:t>
      </w:r>
    </w:p>
    <w:p w14:paraId="53732A97" w14:textId="594D9C62" w:rsidR="00404042" w:rsidRPr="003654D9" w:rsidRDefault="00404042" w:rsidP="00404042">
      <w:pPr>
        <w:pStyle w:val="BodyText"/>
        <w:rPr>
          <w:lang w:val="en-AU"/>
        </w:rPr>
      </w:pPr>
      <w:r w:rsidRPr="003654D9">
        <w:rPr>
          <w:lang w:val="en-AU"/>
        </w:rPr>
        <w:t xml:space="preserve">For more information, visit: </w:t>
      </w:r>
      <w:r w:rsidR="003C005B" w:rsidRPr="003654D9">
        <w:rPr>
          <w:lang w:val="en-AU"/>
        </w:rPr>
        <w:br/>
      </w:r>
      <w:hyperlink r:id="rId10" w:tooltip="Hyperlink to Department of Energy, Environment and Climate Action website" w:history="1">
        <w:r w:rsidRPr="003654D9">
          <w:rPr>
            <w:rStyle w:val="Hyperlink"/>
            <w:lang w:val="en-AU"/>
          </w:rPr>
          <w:t>deeca.vic.gov.au/aboriginalselfdetermination/self-determination-reform-strategy</w:t>
        </w:r>
      </w:hyperlink>
    </w:p>
    <w:p w14:paraId="3D610938" w14:textId="77777777" w:rsidR="00622F6A" w:rsidRPr="003654D9" w:rsidRDefault="00622F6A" w:rsidP="00622F6A">
      <w:pPr>
        <w:pStyle w:val="Heading1"/>
        <w:rPr>
          <w:lang w:val="en-AU"/>
        </w:rPr>
      </w:pPr>
      <w:bookmarkStart w:id="1" w:name="_Toc212113420"/>
      <w:r w:rsidRPr="003654D9">
        <w:rPr>
          <w:lang w:val="en-AU"/>
        </w:rPr>
        <w:lastRenderedPageBreak/>
        <w:t>Welcome to Victoria's renewable energy sector</w:t>
      </w:r>
      <w:bookmarkEnd w:id="1"/>
    </w:p>
    <w:p w14:paraId="4F0301F7" w14:textId="7FB9F9CC" w:rsidR="00622F6A" w:rsidRPr="003654D9" w:rsidRDefault="00622F6A" w:rsidP="005A4483">
      <w:pPr>
        <w:pStyle w:val="Body-Intro"/>
        <w:rPr>
          <w:lang w:val="en-AU"/>
        </w:rPr>
      </w:pPr>
      <w:r w:rsidRPr="003654D9">
        <w:rPr>
          <w:lang w:val="en-AU"/>
        </w:rPr>
        <w:t>At the centre of Australia’s electricity network, the state of Victoria is leading the way to a renewable energy future</w:t>
      </w:r>
    </w:p>
    <w:p w14:paraId="416F2DAC" w14:textId="34BE75FE" w:rsidR="00622F6A" w:rsidRPr="003654D9" w:rsidRDefault="00622F6A" w:rsidP="003549D4">
      <w:pPr>
        <w:pStyle w:val="BodyText"/>
        <w:ind w:right="-285"/>
        <w:rPr>
          <w:lang w:val="en-AU"/>
        </w:rPr>
      </w:pPr>
      <w:r w:rsidRPr="003654D9">
        <w:rPr>
          <w:lang w:val="en-AU"/>
        </w:rPr>
        <w:t>We estimate that Victoria will need 25 GW of new generation and storage capacity by 2035.</w:t>
      </w:r>
      <w:r w:rsidRPr="003654D9">
        <w:rPr>
          <w:rStyle w:val="FootnoteReference"/>
          <w:lang w:val="en-AU"/>
        </w:rPr>
        <w:footnoteReference w:id="1"/>
      </w:r>
      <w:r w:rsidRPr="003654D9">
        <w:rPr>
          <w:lang w:val="en-AU"/>
        </w:rPr>
        <w:t xml:space="preserve"> Our legislated renewable energy generation, energy storage and emissions reduction targets provide a clear market signal, supported by government programs to drive investment.</w:t>
      </w:r>
    </w:p>
    <w:p w14:paraId="6137FEF1" w14:textId="77777777" w:rsidR="00622F6A" w:rsidRPr="003654D9" w:rsidRDefault="00622F6A" w:rsidP="00622F6A">
      <w:pPr>
        <w:pStyle w:val="BodyText"/>
        <w:rPr>
          <w:lang w:val="en-AU"/>
        </w:rPr>
      </w:pPr>
      <w:r w:rsidRPr="003654D9">
        <w:rPr>
          <w:lang w:val="en-AU"/>
        </w:rPr>
        <w:t>The renewable energy sector is at the heart of our economy, identified as a priority growth industry backed by streamlined approval processes, well-developed supply chains, world</w:t>
      </w:r>
      <w:r w:rsidRPr="003654D9">
        <w:rPr>
          <w:rFonts w:ascii="Cambria Math" w:hAnsi="Cambria Math" w:cs="Cambria Math"/>
          <w:lang w:val="en-AU"/>
        </w:rPr>
        <w:t>‑</w:t>
      </w:r>
      <w:r w:rsidRPr="003654D9">
        <w:rPr>
          <w:lang w:val="en-AU"/>
        </w:rPr>
        <w:t>class research and development capabilities and a highly skilled workforce.</w:t>
      </w:r>
      <w:r w:rsidRPr="003654D9">
        <w:rPr>
          <w:rStyle w:val="FootnoteReference"/>
          <w:lang w:val="en-AU"/>
        </w:rPr>
        <w:footnoteReference w:id="2"/>
      </w:r>
    </w:p>
    <w:p w14:paraId="481B0F3E" w14:textId="5303C074" w:rsidR="003549D4" w:rsidRPr="003654D9" w:rsidRDefault="009D675B" w:rsidP="003549D4">
      <w:pPr>
        <w:pStyle w:val="Heading2"/>
        <w:rPr>
          <w:lang w:val="en-AU"/>
        </w:rPr>
      </w:pPr>
      <w:r w:rsidRPr="003654D9">
        <w:rPr>
          <w:lang w:val="en-AU"/>
        </w:rPr>
        <w:t>An onshore wind sector positioned for growth</w:t>
      </w:r>
    </w:p>
    <w:p w14:paraId="378A71D8" w14:textId="77777777" w:rsidR="009D675B" w:rsidRPr="003654D9" w:rsidRDefault="009D675B" w:rsidP="009D675B">
      <w:pPr>
        <w:pStyle w:val="BodyText"/>
        <w:rPr>
          <w:lang w:val="en-AU"/>
        </w:rPr>
      </w:pPr>
      <w:r w:rsidRPr="003654D9">
        <w:rPr>
          <w:lang w:val="en-AU"/>
        </w:rPr>
        <w:t>Victoria’s onshore wind sector is primed for investment, with wind power set to play a critical role in achieving the state’s renewable energy targets. Victoria’s windspeeds rank among the highest in the world, setting the sector up for continued growth.</w:t>
      </w:r>
    </w:p>
    <w:p w14:paraId="349D7386" w14:textId="4EF61064" w:rsidR="003549D4" w:rsidRPr="003654D9" w:rsidRDefault="009D675B" w:rsidP="009D675B">
      <w:pPr>
        <w:pStyle w:val="BodyText"/>
        <w:rPr>
          <w:lang w:val="en-AU"/>
        </w:rPr>
      </w:pPr>
      <w:r w:rsidRPr="003654D9">
        <w:rPr>
          <w:lang w:val="en-AU"/>
        </w:rPr>
        <w:t>Strategic Victorian Government initiatives support investment in onshore wind, including the Victorian Renewable Energy Auction Scheme, a forthcoming Wind Worker Training Centre and SEC investing to deliver 4.5 GW of new renewable energy generation and storage</w:t>
      </w:r>
      <w:r w:rsidR="003549D4" w:rsidRPr="003654D9">
        <w:rPr>
          <w:lang w:val="en-AU"/>
        </w:rPr>
        <w:t>.</w:t>
      </w:r>
    </w:p>
    <w:p w14:paraId="19A8AFFD" w14:textId="423AA171" w:rsidR="005D357B" w:rsidRPr="003654D9" w:rsidRDefault="005D357B" w:rsidP="005D357B">
      <w:pPr>
        <w:pStyle w:val="Caption"/>
        <w:keepNext/>
      </w:pPr>
      <w:r w:rsidRPr="003654D9">
        <w:lastRenderedPageBreak/>
        <w:t xml:space="preserve">Figure </w:t>
      </w:r>
      <w:fldSimple w:instr=" SEQ Figure \* ARABIC ">
        <w:r w:rsidR="00BE60C0" w:rsidRPr="003654D9">
          <w:t>1</w:t>
        </w:r>
      </w:fldSimple>
      <w:r w:rsidRPr="003654D9">
        <w:t xml:space="preserve">: </w:t>
      </w:r>
      <w:r w:rsidRPr="003654D9">
        <w:rPr>
          <w:b w:val="0"/>
          <w:bCs/>
        </w:rPr>
        <w:t>Legislated renewable energy targets</w:t>
      </w:r>
    </w:p>
    <w:p w14:paraId="08310ED3" w14:textId="24AA9D40" w:rsidR="005D357B" w:rsidRPr="003654D9" w:rsidRDefault="005D357B" w:rsidP="005D357B">
      <w:pPr>
        <w:pStyle w:val="Normalbeforebullets"/>
        <w:spacing w:after="240"/>
      </w:pPr>
      <w:r w:rsidRPr="003654D9">
        <w:rPr>
          <w:noProof/>
        </w:rPr>
        <w:drawing>
          <wp:inline distT="0" distB="0" distL="0" distR="0" wp14:anchorId="405F6AA7" wp14:editId="69C51F6F">
            <wp:extent cx="6120130" cy="1731010"/>
            <wp:effectExtent l="0" t="0" r="1270" b="0"/>
            <wp:docPr id="615918286" name="Picture 2" descr="Legislated renewable energy targetsThe Victorian Government has legislated renewable energy targets of:40% by 202565% by 203095% by 2035Net-Zero Emissions by 2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918286" name="Picture 2" descr="Legislated renewable energy targetsThe Victorian Government has legislated renewable energy targets of:40% by 202565% by 203095% by 2035Net-Zero Emissions by 2045"/>
                    <pic:cNvPicPr/>
                  </pic:nvPicPr>
                  <pic:blipFill>
                    <a:blip r:embed="rId11" cstate="screen">
                      <a:extLst>
                        <a:ext uri="{28A0092B-C50C-407E-A947-70E740481C1C}">
                          <a14:useLocalDpi xmlns:a14="http://schemas.microsoft.com/office/drawing/2010/main"/>
                        </a:ext>
                      </a:extLst>
                    </a:blip>
                    <a:stretch>
                      <a:fillRect/>
                    </a:stretch>
                  </pic:blipFill>
                  <pic:spPr>
                    <a:xfrm>
                      <a:off x="0" y="0"/>
                      <a:ext cx="6120130" cy="1731010"/>
                    </a:xfrm>
                    <a:prstGeom prst="rect">
                      <a:avLst/>
                    </a:prstGeom>
                  </pic:spPr>
                </pic:pic>
              </a:graphicData>
            </a:graphic>
          </wp:inline>
        </w:drawing>
      </w:r>
    </w:p>
    <w:p w14:paraId="682B15CE" w14:textId="7191FA02" w:rsidR="00D86EDE" w:rsidRPr="003654D9" w:rsidRDefault="00D86EDE" w:rsidP="00D86EDE">
      <w:pPr>
        <w:pStyle w:val="Normalbeforebullets"/>
      </w:pPr>
      <w:r w:rsidRPr="003654D9">
        <w:t>The Victorian Government has legislated renewable energy targets of:</w:t>
      </w:r>
    </w:p>
    <w:p w14:paraId="132B31F3" w14:textId="507F0307" w:rsidR="00D86EDE" w:rsidRPr="003654D9" w:rsidRDefault="00D86EDE" w:rsidP="00AC494F">
      <w:pPr>
        <w:pStyle w:val="ListBullet"/>
        <w:spacing w:line="360" w:lineRule="auto"/>
        <w:rPr>
          <w:lang w:val="en-AU"/>
        </w:rPr>
      </w:pPr>
      <w:r w:rsidRPr="003654D9">
        <w:rPr>
          <w:b/>
          <w:bCs/>
          <w:lang w:val="en-AU"/>
        </w:rPr>
        <w:t>40%</w:t>
      </w:r>
      <w:r w:rsidRPr="003654D9">
        <w:rPr>
          <w:lang w:val="en-AU"/>
        </w:rPr>
        <w:t xml:space="preserve"> by 2025</w:t>
      </w:r>
    </w:p>
    <w:p w14:paraId="375BB1D5" w14:textId="20D209B6" w:rsidR="00D86EDE" w:rsidRPr="003654D9" w:rsidRDefault="00D86EDE" w:rsidP="00AC494F">
      <w:pPr>
        <w:pStyle w:val="ListBullet"/>
        <w:spacing w:line="360" w:lineRule="auto"/>
        <w:rPr>
          <w:lang w:val="en-AU"/>
        </w:rPr>
      </w:pPr>
      <w:r w:rsidRPr="003654D9">
        <w:rPr>
          <w:b/>
          <w:bCs/>
          <w:lang w:val="en-AU"/>
        </w:rPr>
        <w:t>65%</w:t>
      </w:r>
      <w:r w:rsidRPr="003654D9">
        <w:rPr>
          <w:lang w:val="en-AU"/>
        </w:rPr>
        <w:t xml:space="preserve"> by 2030</w:t>
      </w:r>
    </w:p>
    <w:p w14:paraId="777A38DE" w14:textId="620D72D9" w:rsidR="00D86EDE" w:rsidRPr="003654D9" w:rsidRDefault="00D86EDE" w:rsidP="00AC494F">
      <w:pPr>
        <w:pStyle w:val="ListBullet"/>
        <w:spacing w:line="360" w:lineRule="auto"/>
        <w:rPr>
          <w:lang w:val="en-AU"/>
        </w:rPr>
      </w:pPr>
      <w:r w:rsidRPr="003654D9">
        <w:rPr>
          <w:b/>
          <w:bCs/>
          <w:lang w:val="en-AU"/>
        </w:rPr>
        <w:t>95%</w:t>
      </w:r>
      <w:r w:rsidRPr="003654D9">
        <w:rPr>
          <w:lang w:val="en-AU"/>
        </w:rPr>
        <w:t xml:space="preserve"> by 2035</w:t>
      </w:r>
    </w:p>
    <w:p w14:paraId="3358E617" w14:textId="668D1308" w:rsidR="00D86EDE" w:rsidRPr="003654D9" w:rsidRDefault="00D86EDE" w:rsidP="00D86EDE">
      <w:pPr>
        <w:pStyle w:val="LastBulletinList"/>
        <w:rPr>
          <w:lang w:val="en-AU"/>
        </w:rPr>
      </w:pPr>
      <w:r w:rsidRPr="003654D9">
        <w:rPr>
          <w:b/>
          <w:bCs/>
          <w:lang w:val="en-AU"/>
        </w:rPr>
        <w:t>Net-zero emissions</w:t>
      </w:r>
      <w:r w:rsidRPr="003654D9">
        <w:rPr>
          <w:lang w:val="en-AU"/>
        </w:rPr>
        <w:t xml:space="preserve"> by 2045</w:t>
      </w:r>
    </w:p>
    <w:p w14:paraId="141B5B04" w14:textId="155736AE" w:rsidR="00791177" w:rsidRPr="003654D9" w:rsidRDefault="00791177" w:rsidP="00791177">
      <w:pPr>
        <w:pStyle w:val="Caption"/>
        <w:keepNext/>
      </w:pPr>
      <w:r w:rsidRPr="003654D9">
        <w:t xml:space="preserve">Figure </w:t>
      </w:r>
      <w:fldSimple w:instr=" SEQ Figure \* ARABIC ">
        <w:r w:rsidR="00BE60C0" w:rsidRPr="003654D9">
          <w:t>2</w:t>
        </w:r>
      </w:fldSimple>
      <w:r w:rsidRPr="003654D9">
        <w:t xml:space="preserve">: </w:t>
      </w:r>
      <w:r w:rsidRPr="003654D9">
        <w:rPr>
          <w:b w:val="0"/>
          <w:bCs/>
        </w:rPr>
        <w:t>Energy storage capacity and Offshore wind energy targets from 2025-2045</w:t>
      </w:r>
    </w:p>
    <w:p w14:paraId="57C53B5E" w14:textId="00EB0A0D" w:rsidR="00791177" w:rsidRPr="003654D9" w:rsidRDefault="00791177" w:rsidP="00791177">
      <w:pPr>
        <w:pStyle w:val="BodyText"/>
        <w:rPr>
          <w:lang w:val="en-AU"/>
        </w:rPr>
      </w:pPr>
      <w:r w:rsidRPr="003654D9">
        <w:rPr>
          <w:noProof/>
          <w:lang w:val="en-AU"/>
        </w:rPr>
        <w:drawing>
          <wp:inline distT="0" distB="0" distL="0" distR="0" wp14:anchorId="53ED329E" wp14:editId="6EBA23B6">
            <wp:extent cx="6120130" cy="2511425"/>
            <wp:effectExtent l="0" t="0" r="1270" b="3175"/>
            <wp:docPr id="42388589" name="Picture 1" descr="Energy storage capacity targets of at least:2.6 GW by 20306.3 GW by 2035Offshore Wind Energy Targets:At least 2 GW by 20324 GW by 20359 GW by 2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88589" name="Picture 1" descr="Energy storage capacity targets of at least:2.6 GW by 20306.3 GW by 2035Offshore Wind Energy Targets:At least 2 GW by 20324 GW by 20359 GW by 2040"/>
                    <pic:cNvPicPr/>
                  </pic:nvPicPr>
                  <pic:blipFill>
                    <a:blip r:embed="rId12" cstate="screen">
                      <a:extLst>
                        <a:ext uri="{28A0092B-C50C-407E-A947-70E740481C1C}">
                          <a14:useLocalDpi xmlns:a14="http://schemas.microsoft.com/office/drawing/2010/main"/>
                        </a:ext>
                      </a:extLst>
                    </a:blip>
                    <a:stretch>
                      <a:fillRect/>
                    </a:stretch>
                  </pic:blipFill>
                  <pic:spPr>
                    <a:xfrm>
                      <a:off x="0" y="0"/>
                      <a:ext cx="6120130" cy="2511425"/>
                    </a:xfrm>
                    <a:prstGeom prst="rect">
                      <a:avLst/>
                    </a:prstGeom>
                  </pic:spPr>
                </pic:pic>
              </a:graphicData>
            </a:graphic>
          </wp:inline>
        </w:drawing>
      </w:r>
    </w:p>
    <w:p w14:paraId="7B67A637" w14:textId="77777777" w:rsidR="00AC494F" w:rsidRPr="003654D9" w:rsidRDefault="00AC494F" w:rsidP="00791177">
      <w:pPr>
        <w:pStyle w:val="Normalbeforebullets"/>
        <w:sectPr w:rsidR="00AC494F" w:rsidRPr="003654D9" w:rsidSect="0071597B">
          <w:footerReference w:type="default" r:id="rId13"/>
          <w:type w:val="continuous"/>
          <w:pgSz w:w="11906" w:h="16838"/>
          <w:pgMar w:top="1134" w:right="1134" w:bottom="1134" w:left="1134" w:header="720" w:footer="454" w:gutter="0"/>
          <w:cols w:space="720"/>
          <w:noEndnote/>
          <w:docGrid w:linePitch="326"/>
        </w:sectPr>
      </w:pPr>
    </w:p>
    <w:p w14:paraId="50441022" w14:textId="78FE9BC2" w:rsidR="00791177" w:rsidRPr="003654D9" w:rsidRDefault="00791177" w:rsidP="00791177">
      <w:pPr>
        <w:pStyle w:val="Normalbeforebullets"/>
      </w:pPr>
      <w:r w:rsidRPr="003654D9">
        <w:t>Energy storage capacity targets</w:t>
      </w:r>
      <w:r w:rsidR="00AC494F" w:rsidRPr="003654D9">
        <w:br/>
      </w:r>
      <w:r w:rsidRPr="003654D9">
        <w:t>of at least:</w:t>
      </w:r>
    </w:p>
    <w:p w14:paraId="1C9CB6D2" w14:textId="39A274CC" w:rsidR="00791177" w:rsidRPr="003654D9" w:rsidRDefault="00791177" w:rsidP="00AC494F">
      <w:pPr>
        <w:pStyle w:val="ListBullet"/>
        <w:spacing w:line="360" w:lineRule="auto"/>
        <w:rPr>
          <w:lang w:val="en-AU"/>
        </w:rPr>
      </w:pPr>
      <w:r w:rsidRPr="003654D9">
        <w:rPr>
          <w:b/>
          <w:bCs/>
          <w:lang w:val="en-AU"/>
        </w:rPr>
        <w:t>2.6 GW</w:t>
      </w:r>
      <w:r w:rsidRPr="003654D9">
        <w:rPr>
          <w:lang w:val="en-AU"/>
        </w:rPr>
        <w:t xml:space="preserve"> by 2030</w:t>
      </w:r>
    </w:p>
    <w:p w14:paraId="29BC3B6C" w14:textId="58637EC2" w:rsidR="00791177" w:rsidRPr="003654D9" w:rsidRDefault="00791177" w:rsidP="00791177">
      <w:pPr>
        <w:pStyle w:val="LastBulletinList"/>
        <w:rPr>
          <w:lang w:val="en-AU"/>
        </w:rPr>
      </w:pPr>
      <w:r w:rsidRPr="003654D9">
        <w:rPr>
          <w:b/>
          <w:bCs/>
          <w:lang w:val="en-AU"/>
        </w:rPr>
        <w:t>6.3 GW</w:t>
      </w:r>
      <w:r w:rsidRPr="003654D9">
        <w:rPr>
          <w:lang w:val="en-AU"/>
        </w:rPr>
        <w:t xml:space="preserve"> by 2035</w:t>
      </w:r>
    </w:p>
    <w:p w14:paraId="1AB5B3CD" w14:textId="113ADD07" w:rsidR="00791177" w:rsidRPr="003654D9" w:rsidRDefault="00383785" w:rsidP="00383785">
      <w:pPr>
        <w:pStyle w:val="Normalbeforebullets"/>
      </w:pPr>
      <w:r w:rsidRPr="003654D9">
        <w:t>Offshore wind energy targets</w:t>
      </w:r>
      <w:r w:rsidR="00791177" w:rsidRPr="003654D9">
        <w:t>:</w:t>
      </w:r>
    </w:p>
    <w:p w14:paraId="30E7EA85" w14:textId="376C37B7" w:rsidR="00383785" w:rsidRPr="003654D9" w:rsidRDefault="00383785" w:rsidP="00AC494F">
      <w:pPr>
        <w:pStyle w:val="ListBullet"/>
        <w:spacing w:line="360" w:lineRule="auto"/>
        <w:rPr>
          <w:b/>
          <w:bCs/>
          <w:lang w:val="en-AU"/>
        </w:rPr>
      </w:pPr>
      <w:r w:rsidRPr="003654D9">
        <w:rPr>
          <w:lang w:val="en-AU"/>
        </w:rPr>
        <w:t>At least</w:t>
      </w:r>
      <w:r w:rsidRPr="003654D9">
        <w:rPr>
          <w:b/>
          <w:bCs/>
          <w:lang w:val="en-AU"/>
        </w:rPr>
        <w:t xml:space="preserve"> 2 GW </w:t>
      </w:r>
      <w:r w:rsidRPr="003654D9">
        <w:rPr>
          <w:lang w:val="en-AU"/>
        </w:rPr>
        <w:t>by 2032</w:t>
      </w:r>
    </w:p>
    <w:p w14:paraId="47BF6D67" w14:textId="242ACD8D" w:rsidR="00791177" w:rsidRPr="003654D9" w:rsidRDefault="00383785" w:rsidP="00AC494F">
      <w:pPr>
        <w:pStyle w:val="ListBullet"/>
        <w:spacing w:line="360" w:lineRule="auto"/>
        <w:rPr>
          <w:b/>
          <w:bCs/>
          <w:lang w:val="en-AU"/>
        </w:rPr>
      </w:pPr>
      <w:r w:rsidRPr="003654D9">
        <w:rPr>
          <w:b/>
          <w:bCs/>
          <w:lang w:val="en-AU"/>
        </w:rPr>
        <w:t xml:space="preserve">4 GW </w:t>
      </w:r>
      <w:r w:rsidRPr="003654D9">
        <w:rPr>
          <w:lang w:val="en-AU"/>
        </w:rPr>
        <w:t>by 2035</w:t>
      </w:r>
    </w:p>
    <w:p w14:paraId="5260799A" w14:textId="0DB708A8" w:rsidR="00AC494F" w:rsidRPr="003654D9" w:rsidRDefault="00383785" w:rsidP="00AC494F">
      <w:pPr>
        <w:pStyle w:val="LastBulletinList"/>
        <w:spacing w:after="360" w:line="360" w:lineRule="auto"/>
        <w:rPr>
          <w:lang w:val="en-AU"/>
        </w:rPr>
        <w:sectPr w:rsidR="00AC494F" w:rsidRPr="003654D9" w:rsidSect="00AC494F">
          <w:type w:val="continuous"/>
          <w:pgSz w:w="11906" w:h="16838"/>
          <w:pgMar w:top="1134" w:right="1134" w:bottom="1134" w:left="1134" w:header="720" w:footer="454" w:gutter="0"/>
          <w:cols w:num="2" w:space="113"/>
          <w:noEndnote/>
          <w:docGrid w:linePitch="326"/>
        </w:sectPr>
      </w:pPr>
      <w:r w:rsidRPr="003654D9">
        <w:rPr>
          <w:b/>
          <w:bCs/>
          <w:lang w:val="en-AU"/>
        </w:rPr>
        <w:t>9</w:t>
      </w:r>
      <w:r w:rsidR="00791177" w:rsidRPr="003654D9">
        <w:rPr>
          <w:b/>
          <w:bCs/>
          <w:lang w:val="en-AU"/>
        </w:rPr>
        <w:t xml:space="preserve"> GW</w:t>
      </w:r>
      <w:r w:rsidR="00791177" w:rsidRPr="003654D9">
        <w:rPr>
          <w:lang w:val="en-AU"/>
        </w:rPr>
        <w:t xml:space="preserve"> by 20</w:t>
      </w:r>
      <w:r w:rsidRPr="003654D9">
        <w:rPr>
          <w:lang w:val="en-AU"/>
        </w:rPr>
        <w:t>4</w:t>
      </w:r>
    </w:p>
    <w:p w14:paraId="243CAF3C" w14:textId="52A6C501" w:rsidR="00AC494F" w:rsidRPr="003654D9" w:rsidRDefault="00D2439B" w:rsidP="00DD1C0A">
      <w:pPr>
        <w:pStyle w:val="Heading1"/>
        <w:spacing w:after="120" w:line="276" w:lineRule="auto"/>
        <w:rPr>
          <w:lang w:val="en-AU"/>
        </w:rPr>
      </w:pPr>
      <w:bookmarkStart w:id="2" w:name="_Toc212113421"/>
      <w:r w:rsidRPr="003654D9">
        <w:rPr>
          <w:lang w:val="en-AU"/>
        </w:rPr>
        <w:lastRenderedPageBreak/>
        <w:t xml:space="preserve">Why invest in Victoria’s </w:t>
      </w:r>
      <w:bookmarkEnd w:id="2"/>
      <w:r w:rsidR="009200A1" w:rsidRPr="003654D9">
        <w:rPr>
          <w:lang w:val="en-AU"/>
        </w:rPr>
        <w:t>onshore wind sector?</w:t>
      </w:r>
    </w:p>
    <w:p w14:paraId="14EF4FC2" w14:textId="77777777" w:rsidR="009D675B" w:rsidRPr="003654D9" w:rsidRDefault="009D675B" w:rsidP="009D675B">
      <w:pPr>
        <w:pStyle w:val="Heading2"/>
        <w:spacing w:before="240" w:after="240"/>
        <w:rPr>
          <w:sz w:val="32"/>
          <w:szCs w:val="32"/>
          <w:lang w:val="en-AU"/>
        </w:rPr>
      </w:pPr>
      <w:r w:rsidRPr="003654D9">
        <w:rPr>
          <w:sz w:val="32"/>
          <w:szCs w:val="32"/>
          <w:lang w:val="en-AU"/>
        </w:rPr>
        <w:t>Targets fuelling investment</w:t>
      </w:r>
    </w:p>
    <w:p w14:paraId="02ED2334" w14:textId="3BD3780E" w:rsidR="009D675B" w:rsidRPr="003654D9" w:rsidRDefault="009D675B" w:rsidP="009D675B">
      <w:pPr>
        <w:pStyle w:val="BodyText"/>
        <w:spacing w:after="0"/>
        <w:rPr>
          <w:lang w:val="en-AU"/>
        </w:rPr>
      </w:pPr>
      <w:r w:rsidRPr="003654D9">
        <w:rPr>
          <w:lang w:val="en-AU"/>
        </w:rPr>
        <w:t>Victoria has legislated ambitious renewable energy, storage and emission reduction targets, which will drive significant new investment in both onshore and offshore wind</w:t>
      </w:r>
    </w:p>
    <w:p w14:paraId="1BC2C559" w14:textId="77777777" w:rsidR="009D675B" w:rsidRPr="003654D9" w:rsidRDefault="009D675B" w:rsidP="009D675B">
      <w:pPr>
        <w:pStyle w:val="Heading2"/>
        <w:spacing w:before="240" w:after="240"/>
        <w:rPr>
          <w:sz w:val="32"/>
          <w:szCs w:val="32"/>
          <w:lang w:val="en-AU"/>
        </w:rPr>
      </w:pPr>
      <w:r w:rsidRPr="003654D9">
        <w:rPr>
          <w:sz w:val="32"/>
          <w:szCs w:val="32"/>
          <w:lang w:val="en-AU"/>
        </w:rPr>
        <w:t>One of the best wind resource regions in the world</w:t>
      </w:r>
    </w:p>
    <w:p w14:paraId="7090F04D" w14:textId="1A19A167" w:rsidR="009D675B" w:rsidRPr="003654D9" w:rsidRDefault="009D675B" w:rsidP="009D675B">
      <w:pPr>
        <w:pStyle w:val="BodyText"/>
        <w:spacing w:after="0"/>
        <w:rPr>
          <w:lang w:val="en-AU"/>
        </w:rPr>
      </w:pPr>
      <w:r w:rsidRPr="003654D9">
        <w:rPr>
          <w:lang w:val="en-AU"/>
        </w:rPr>
        <w:t>Victoria has excellent wind resources by global standards, with average wind speeds of 8.4 m/s in the state’s west.</w:t>
      </w:r>
    </w:p>
    <w:p w14:paraId="31E983D7" w14:textId="77777777" w:rsidR="009D675B" w:rsidRPr="003654D9" w:rsidRDefault="009D675B" w:rsidP="009D675B">
      <w:pPr>
        <w:pStyle w:val="Heading2"/>
        <w:spacing w:before="240" w:after="240"/>
        <w:rPr>
          <w:sz w:val="32"/>
          <w:szCs w:val="32"/>
          <w:lang w:val="en-AU"/>
        </w:rPr>
      </w:pPr>
      <w:r w:rsidRPr="003654D9">
        <w:rPr>
          <w:sz w:val="32"/>
          <w:szCs w:val="32"/>
          <w:lang w:val="en-AU"/>
        </w:rPr>
        <w:t>Planning reforms to derisk your investments</w:t>
      </w:r>
    </w:p>
    <w:p w14:paraId="35ACA6B0" w14:textId="6673AA37" w:rsidR="009D675B" w:rsidRPr="003654D9" w:rsidRDefault="009D675B" w:rsidP="009D675B">
      <w:pPr>
        <w:pStyle w:val="BodyText"/>
        <w:spacing w:after="0"/>
        <w:rPr>
          <w:lang w:val="en-AU"/>
        </w:rPr>
      </w:pPr>
      <w:r w:rsidRPr="003654D9">
        <w:rPr>
          <w:lang w:val="en-AU"/>
        </w:rPr>
        <w:t>The Development Facilitation Program was created in 2023 to fast-track planning approvals for renewable energy facilities such as wind farms.</w:t>
      </w:r>
    </w:p>
    <w:p w14:paraId="026797EE" w14:textId="77777777" w:rsidR="009D675B" w:rsidRPr="003654D9" w:rsidRDefault="009D675B" w:rsidP="009D675B">
      <w:pPr>
        <w:pStyle w:val="Heading2"/>
        <w:spacing w:before="240" w:after="240"/>
        <w:rPr>
          <w:sz w:val="32"/>
          <w:szCs w:val="32"/>
          <w:lang w:val="en-AU"/>
        </w:rPr>
      </w:pPr>
      <w:r w:rsidRPr="003654D9">
        <w:rPr>
          <w:sz w:val="32"/>
          <w:szCs w:val="32"/>
          <w:lang w:val="en-AU"/>
        </w:rPr>
        <w:t>Advanced manufacturing and supply chain capabilities</w:t>
      </w:r>
    </w:p>
    <w:p w14:paraId="532D8306" w14:textId="5B3C3F4E" w:rsidR="009D675B" w:rsidRPr="003654D9" w:rsidRDefault="009D675B" w:rsidP="009D675B">
      <w:pPr>
        <w:pStyle w:val="BodyText"/>
        <w:spacing w:after="0"/>
        <w:rPr>
          <w:lang w:val="en-AU"/>
        </w:rPr>
      </w:pPr>
      <w:r w:rsidRPr="003654D9">
        <w:rPr>
          <w:lang w:val="en-AU"/>
        </w:rPr>
        <w:t>Our experienced manufacturing sector and local suppliers are well-positioned to support project development.</w:t>
      </w:r>
    </w:p>
    <w:p w14:paraId="2D33A835" w14:textId="77777777" w:rsidR="009D675B" w:rsidRPr="003654D9" w:rsidRDefault="009D675B" w:rsidP="009D675B">
      <w:pPr>
        <w:pStyle w:val="Heading2"/>
        <w:spacing w:before="240" w:after="240"/>
        <w:rPr>
          <w:sz w:val="32"/>
          <w:szCs w:val="32"/>
          <w:lang w:val="en-AU"/>
        </w:rPr>
      </w:pPr>
      <w:r w:rsidRPr="003654D9">
        <w:rPr>
          <w:sz w:val="32"/>
          <w:szCs w:val="32"/>
          <w:lang w:val="en-AU"/>
        </w:rPr>
        <w:t>Network upgrades unlock access to resources</w:t>
      </w:r>
    </w:p>
    <w:p w14:paraId="2E6C1FCD" w14:textId="31C8BD11" w:rsidR="009D675B" w:rsidRPr="003654D9" w:rsidRDefault="009D675B" w:rsidP="009D675B">
      <w:pPr>
        <w:pStyle w:val="BodyText"/>
        <w:spacing w:after="0"/>
        <w:rPr>
          <w:lang w:val="en-AU"/>
        </w:rPr>
      </w:pPr>
      <w:r w:rsidRPr="003654D9">
        <w:rPr>
          <w:lang w:val="en-AU"/>
        </w:rPr>
        <w:t>Planned near-term transmission network upgrades and Victoria’s proposed new renewable energy zones will unlock even more of Victoria’s wind resources.</w:t>
      </w:r>
    </w:p>
    <w:p w14:paraId="1DCC41DE" w14:textId="77777777" w:rsidR="009D675B" w:rsidRPr="003654D9" w:rsidRDefault="009D675B" w:rsidP="009D675B">
      <w:pPr>
        <w:pStyle w:val="Heading2"/>
        <w:spacing w:before="240" w:after="240"/>
        <w:rPr>
          <w:sz w:val="32"/>
          <w:szCs w:val="32"/>
          <w:lang w:val="en-AU"/>
        </w:rPr>
      </w:pPr>
      <w:r w:rsidRPr="003654D9">
        <w:rPr>
          <w:sz w:val="32"/>
          <w:szCs w:val="32"/>
          <w:lang w:val="en-AU"/>
        </w:rPr>
        <w:t>Attractive market for generators</w:t>
      </w:r>
    </w:p>
    <w:p w14:paraId="7A670241" w14:textId="4007AD07" w:rsidR="009D675B" w:rsidRPr="003654D9" w:rsidRDefault="009D675B" w:rsidP="009D675B">
      <w:pPr>
        <w:pStyle w:val="BodyText"/>
        <w:spacing w:after="0"/>
        <w:rPr>
          <w:lang w:val="en-AU"/>
        </w:rPr>
      </w:pPr>
      <w:r w:rsidRPr="003654D9">
        <w:rPr>
          <w:lang w:val="en-AU"/>
        </w:rPr>
        <w:t>Victoria has a fully competitive, transparent and privatised energy market, positioned at the heart of Australia’s National Electricity Market.</w:t>
      </w:r>
    </w:p>
    <w:p w14:paraId="2B9D8B58" w14:textId="6BB390CB" w:rsidR="009D675B" w:rsidRPr="003654D9" w:rsidRDefault="009D675B" w:rsidP="00DD1C0A">
      <w:pPr>
        <w:pStyle w:val="Heading1"/>
        <w:pageBreakBefore/>
        <w:rPr>
          <w:lang w:val="en-AU"/>
        </w:rPr>
      </w:pPr>
      <w:bookmarkStart w:id="3" w:name="_Toc212113422"/>
      <w:r w:rsidRPr="003654D9">
        <w:rPr>
          <w:lang w:val="en-AU"/>
        </w:rPr>
        <w:lastRenderedPageBreak/>
        <w:t>Victoria’s world-leading wind resource</w:t>
      </w:r>
      <w:bookmarkEnd w:id="3"/>
    </w:p>
    <w:p w14:paraId="7A308A58" w14:textId="77777777" w:rsidR="00406D31" w:rsidRPr="003654D9" w:rsidRDefault="00406D31" w:rsidP="00406D31">
      <w:pPr>
        <w:pStyle w:val="Body-Intro"/>
        <w:rPr>
          <w:lang w:val="en-AU"/>
        </w:rPr>
      </w:pPr>
      <w:r w:rsidRPr="003654D9">
        <w:rPr>
          <w:lang w:val="en-AU"/>
        </w:rPr>
        <w:t>Victoria boasts excellent wind resources with an average wind speed of 8.4 m/s in Western Victoria.</w:t>
      </w:r>
    </w:p>
    <w:p w14:paraId="33385A44" w14:textId="77777777" w:rsidR="00406D31" w:rsidRPr="003654D9" w:rsidRDefault="00406D31" w:rsidP="00406D31">
      <w:pPr>
        <w:pStyle w:val="BodyText"/>
        <w:rPr>
          <w:lang w:val="en-AU"/>
        </w:rPr>
      </w:pPr>
      <w:r w:rsidRPr="003654D9">
        <w:rPr>
          <w:lang w:val="en-AU"/>
        </w:rPr>
        <w:t>Victoria has been a location of choice for wind developers since the early 2000s. The state’s wind resource is among the best in the world.</w:t>
      </w:r>
    </w:p>
    <w:p w14:paraId="78AA557A" w14:textId="13EBA5C4" w:rsidR="009D675B" w:rsidRPr="003654D9" w:rsidRDefault="00406D31" w:rsidP="00406D31">
      <w:pPr>
        <w:pStyle w:val="BodyText"/>
        <w:ind w:right="-143"/>
        <w:rPr>
          <w:lang w:val="en-AU"/>
        </w:rPr>
      </w:pPr>
      <w:r w:rsidRPr="003654D9">
        <w:rPr>
          <w:lang w:val="en-AU"/>
        </w:rPr>
        <w:t>Victoria’s southern coastline, which lies in the path of the strong westerly wind belt between 35˚ and 60˚ latitudes, boasts high average wind speeds exceeding 8 m/s in many areas.</w:t>
      </w:r>
    </w:p>
    <w:p w14:paraId="0EA68867" w14:textId="18CA8BF9" w:rsidR="00406D31" w:rsidRPr="003654D9" w:rsidRDefault="00406D31" w:rsidP="00406D31">
      <w:pPr>
        <w:pStyle w:val="Caption"/>
        <w:keepNext/>
      </w:pPr>
      <w:r w:rsidRPr="003654D9">
        <w:t xml:space="preserve">Table </w:t>
      </w:r>
      <w:fldSimple w:instr=" SEQ Table \* ARABIC ">
        <w:r w:rsidR="00BE60C0" w:rsidRPr="003654D9">
          <w:t>1</w:t>
        </w:r>
      </w:fldSimple>
      <w:r w:rsidRPr="003654D9">
        <w:t xml:space="preserve">: </w:t>
      </w:r>
      <w:r w:rsidRPr="003654D9">
        <w:rPr>
          <w:b w:val="0"/>
          <w:bCs/>
        </w:rPr>
        <w:t>Snapshot of the sector (as of September 2025)</w:t>
      </w:r>
      <w:r w:rsidRPr="003654D9">
        <w:rPr>
          <w:rStyle w:val="FootnoteReference"/>
          <w:b w:val="0"/>
          <w:bCs/>
        </w:rPr>
        <w:footnoteReference w:id="3"/>
      </w:r>
    </w:p>
    <w:tbl>
      <w:tblPr>
        <w:tblStyle w:val="Style2"/>
        <w:tblW w:w="5000" w:type="pct"/>
        <w:tblLook w:val="0020" w:firstRow="1" w:lastRow="0" w:firstColumn="0" w:lastColumn="0" w:noHBand="0" w:noVBand="0"/>
        <w:tblCaption w:val="Table 1: Snapshot of the sector (as of September 2025) "/>
        <w:tblDescription w:val="Table 1: Snapshot of the sector (as of September 2025) "/>
      </w:tblPr>
      <w:tblGrid>
        <w:gridCol w:w="5144"/>
        <w:gridCol w:w="4474"/>
      </w:tblGrid>
      <w:tr w:rsidR="00406D31" w:rsidRPr="003654D9" w14:paraId="634A8F8C" w14:textId="77777777" w:rsidTr="00406D31">
        <w:trPr>
          <w:cnfStyle w:val="100000000000" w:firstRow="1" w:lastRow="0" w:firstColumn="0" w:lastColumn="0" w:oddVBand="0" w:evenVBand="0" w:oddHBand="0" w:evenHBand="0" w:firstRowFirstColumn="0" w:firstRowLastColumn="0" w:lastRowFirstColumn="0" w:lastRowLastColumn="0"/>
          <w:cantSplit/>
          <w:trHeight w:val="60"/>
          <w:tblHeader/>
        </w:trPr>
        <w:tc>
          <w:tcPr>
            <w:tcW w:w="2674" w:type="pct"/>
          </w:tcPr>
          <w:p w14:paraId="2409E948" w14:textId="77777777" w:rsidR="00406D31" w:rsidRPr="003654D9" w:rsidRDefault="00406D31" w:rsidP="00406D31">
            <w:pPr>
              <w:pStyle w:val="Tabletext"/>
              <w:spacing w:line="240" w:lineRule="auto"/>
              <w:rPr>
                <w:lang w:val="en-AU"/>
              </w:rPr>
            </w:pPr>
            <w:r w:rsidRPr="003654D9">
              <w:rPr>
                <w:lang w:val="en-AU"/>
              </w:rPr>
              <w:t>No. of wind farms</w:t>
            </w:r>
          </w:p>
        </w:tc>
        <w:tc>
          <w:tcPr>
            <w:tcW w:w="2326" w:type="pct"/>
          </w:tcPr>
          <w:p w14:paraId="2B47245B" w14:textId="77777777" w:rsidR="00406D31" w:rsidRPr="003654D9" w:rsidRDefault="00406D31" w:rsidP="00406D31">
            <w:pPr>
              <w:pStyle w:val="Tabletext"/>
              <w:spacing w:line="240" w:lineRule="auto"/>
              <w:rPr>
                <w:lang w:val="en-AU"/>
              </w:rPr>
            </w:pPr>
            <w:r w:rsidRPr="003654D9">
              <w:rPr>
                <w:lang w:val="en-AU"/>
              </w:rPr>
              <w:t>Combined capacity</w:t>
            </w:r>
          </w:p>
        </w:tc>
      </w:tr>
      <w:tr w:rsidR="00406D31" w:rsidRPr="003654D9" w14:paraId="020A1C72" w14:textId="77777777" w:rsidTr="00406D31">
        <w:trPr>
          <w:trHeight w:val="60"/>
        </w:trPr>
        <w:tc>
          <w:tcPr>
            <w:tcW w:w="2674" w:type="pct"/>
          </w:tcPr>
          <w:p w14:paraId="3E71DB8E" w14:textId="77777777" w:rsidR="00406D31" w:rsidRPr="003654D9" w:rsidRDefault="00406D31" w:rsidP="00406D31">
            <w:pPr>
              <w:pStyle w:val="Tabletext"/>
              <w:spacing w:line="240" w:lineRule="auto"/>
              <w:rPr>
                <w:lang w:val="en-AU"/>
              </w:rPr>
            </w:pPr>
            <w:r w:rsidRPr="003654D9">
              <w:rPr>
                <w:b/>
                <w:bCs/>
                <w:lang w:val="en-AU"/>
              </w:rPr>
              <w:t>43</w:t>
            </w:r>
            <w:r w:rsidRPr="003654D9">
              <w:rPr>
                <w:lang w:val="en-AU"/>
              </w:rPr>
              <w:t xml:space="preserve"> operating</w:t>
            </w:r>
          </w:p>
        </w:tc>
        <w:tc>
          <w:tcPr>
            <w:tcW w:w="2326" w:type="pct"/>
          </w:tcPr>
          <w:p w14:paraId="3100AD6E" w14:textId="77777777" w:rsidR="00406D31" w:rsidRPr="003654D9" w:rsidRDefault="00406D31" w:rsidP="00406D31">
            <w:pPr>
              <w:pStyle w:val="Tabletext"/>
              <w:spacing w:line="240" w:lineRule="auto"/>
              <w:rPr>
                <w:b/>
                <w:bCs/>
                <w:lang w:val="en-AU"/>
              </w:rPr>
            </w:pPr>
            <w:r w:rsidRPr="003654D9">
              <w:rPr>
                <w:b/>
                <w:bCs/>
                <w:lang w:val="en-AU"/>
              </w:rPr>
              <w:t>5,475 MW</w:t>
            </w:r>
          </w:p>
        </w:tc>
      </w:tr>
      <w:tr w:rsidR="00406D31" w:rsidRPr="003654D9" w14:paraId="5BDEA2EE" w14:textId="77777777" w:rsidTr="00406D31">
        <w:trPr>
          <w:trHeight w:val="60"/>
        </w:trPr>
        <w:tc>
          <w:tcPr>
            <w:tcW w:w="2674" w:type="pct"/>
          </w:tcPr>
          <w:p w14:paraId="58F1FFD4" w14:textId="77777777" w:rsidR="00406D31" w:rsidRPr="003654D9" w:rsidRDefault="00406D31" w:rsidP="00406D31">
            <w:pPr>
              <w:pStyle w:val="Tabletext"/>
              <w:spacing w:line="240" w:lineRule="auto"/>
              <w:rPr>
                <w:lang w:val="en-AU"/>
              </w:rPr>
            </w:pPr>
            <w:r w:rsidRPr="003654D9">
              <w:rPr>
                <w:b/>
                <w:bCs/>
                <w:lang w:val="en-AU"/>
              </w:rPr>
              <w:t xml:space="preserve">1 </w:t>
            </w:r>
            <w:r w:rsidRPr="003654D9">
              <w:rPr>
                <w:lang w:val="en-AU"/>
              </w:rPr>
              <w:t>under construction</w:t>
            </w:r>
          </w:p>
        </w:tc>
        <w:tc>
          <w:tcPr>
            <w:tcW w:w="2326" w:type="pct"/>
          </w:tcPr>
          <w:p w14:paraId="56F04D9F" w14:textId="77777777" w:rsidR="00406D31" w:rsidRPr="003654D9" w:rsidRDefault="00406D31" w:rsidP="00406D31">
            <w:pPr>
              <w:pStyle w:val="Tabletext"/>
              <w:spacing w:line="240" w:lineRule="auto"/>
              <w:rPr>
                <w:b/>
                <w:bCs/>
                <w:lang w:val="en-AU"/>
              </w:rPr>
            </w:pPr>
            <w:r w:rsidRPr="003654D9">
              <w:rPr>
                <w:b/>
                <w:bCs/>
                <w:lang w:val="en-AU"/>
              </w:rPr>
              <w:t>576 MW</w:t>
            </w:r>
          </w:p>
        </w:tc>
      </w:tr>
      <w:tr w:rsidR="00406D31" w:rsidRPr="003654D9" w14:paraId="7B0172AB" w14:textId="77777777" w:rsidTr="00406D31">
        <w:trPr>
          <w:trHeight w:val="60"/>
        </w:trPr>
        <w:tc>
          <w:tcPr>
            <w:tcW w:w="2674" w:type="pct"/>
          </w:tcPr>
          <w:p w14:paraId="071D59F5" w14:textId="77777777" w:rsidR="00406D31" w:rsidRPr="003654D9" w:rsidRDefault="00406D31" w:rsidP="00406D31">
            <w:pPr>
              <w:pStyle w:val="Tabletext"/>
              <w:spacing w:line="240" w:lineRule="auto"/>
              <w:rPr>
                <w:lang w:val="en-AU"/>
              </w:rPr>
            </w:pPr>
            <w:r w:rsidRPr="003654D9">
              <w:rPr>
                <w:b/>
                <w:bCs/>
                <w:lang w:val="en-AU"/>
              </w:rPr>
              <w:t xml:space="preserve">9 </w:t>
            </w:r>
            <w:r w:rsidRPr="003654D9">
              <w:rPr>
                <w:lang w:val="en-AU"/>
              </w:rPr>
              <w:t>granted development approval</w:t>
            </w:r>
          </w:p>
        </w:tc>
        <w:tc>
          <w:tcPr>
            <w:tcW w:w="2326" w:type="pct"/>
          </w:tcPr>
          <w:p w14:paraId="0C10C926" w14:textId="77777777" w:rsidR="00406D31" w:rsidRPr="003654D9" w:rsidRDefault="00406D31" w:rsidP="00406D31">
            <w:pPr>
              <w:pStyle w:val="Tabletext"/>
              <w:spacing w:line="240" w:lineRule="auto"/>
              <w:rPr>
                <w:b/>
                <w:bCs/>
                <w:lang w:val="en-AU"/>
              </w:rPr>
            </w:pPr>
            <w:r w:rsidRPr="003654D9">
              <w:rPr>
                <w:b/>
                <w:bCs/>
                <w:lang w:val="en-AU"/>
              </w:rPr>
              <w:t>1,199 MW</w:t>
            </w:r>
          </w:p>
        </w:tc>
      </w:tr>
      <w:tr w:rsidR="00406D31" w:rsidRPr="003654D9" w14:paraId="42F7A5B8" w14:textId="77777777" w:rsidTr="00406D31">
        <w:trPr>
          <w:trHeight w:val="60"/>
        </w:trPr>
        <w:tc>
          <w:tcPr>
            <w:tcW w:w="2674" w:type="pct"/>
          </w:tcPr>
          <w:p w14:paraId="01990F59" w14:textId="77777777" w:rsidR="00406D31" w:rsidRPr="003654D9" w:rsidRDefault="00406D31" w:rsidP="00406D31">
            <w:pPr>
              <w:pStyle w:val="Tabletext"/>
              <w:spacing w:line="240" w:lineRule="auto"/>
              <w:rPr>
                <w:lang w:val="en-AU"/>
              </w:rPr>
            </w:pPr>
            <w:r w:rsidRPr="003654D9">
              <w:rPr>
                <w:lang w:val="en-AU"/>
              </w:rPr>
              <w:t>Total</w:t>
            </w:r>
          </w:p>
        </w:tc>
        <w:tc>
          <w:tcPr>
            <w:tcW w:w="2326" w:type="pct"/>
          </w:tcPr>
          <w:p w14:paraId="67EE7B28" w14:textId="77777777" w:rsidR="00406D31" w:rsidRPr="003654D9" w:rsidRDefault="00406D31" w:rsidP="00406D31">
            <w:pPr>
              <w:pStyle w:val="Tabletext"/>
              <w:spacing w:line="240" w:lineRule="auto"/>
              <w:rPr>
                <w:b/>
                <w:bCs/>
                <w:lang w:val="en-AU"/>
              </w:rPr>
            </w:pPr>
            <w:r w:rsidRPr="003654D9">
              <w:rPr>
                <w:b/>
                <w:bCs/>
                <w:lang w:val="en-AU"/>
              </w:rPr>
              <w:t>7,251 MW</w:t>
            </w:r>
          </w:p>
        </w:tc>
      </w:tr>
    </w:tbl>
    <w:p w14:paraId="1147D534" w14:textId="77777777" w:rsidR="008944C5" w:rsidRPr="003654D9" w:rsidRDefault="008944C5" w:rsidP="00406D31">
      <w:pPr>
        <w:pStyle w:val="Caption"/>
        <w:keepNext/>
        <w:sectPr w:rsidR="008944C5" w:rsidRPr="003654D9" w:rsidSect="006B5F18">
          <w:pgSz w:w="11906" w:h="16838"/>
          <w:pgMar w:top="1134" w:right="1134" w:bottom="1134" w:left="1134" w:header="720" w:footer="454" w:gutter="0"/>
          <w:cols w:space="720"/>
          <w:noEndnote/>
          <w:docGrid w:linePitch="326"/>
        </w:sectPr>
      </w:pPr>
    </w:p>
    <w:p w14:paraId="4981A47C" w14:textId="422B3562" w:rsidR="00406D31" w:rsidRPr="003654D9" w:rsidRDefault="00406D31" w:rsidP="00406D31">
      <w:pPr>
        <w:pStyle w:val="Caption"/>
        <w:keepNext/>
      </w:pPr>
      <w:r w:rsidRPr="003654D9">
        <w:lastRenderedPageBreak/>
        <w:t xml:space="preserve">Figure </w:t>
      </w:r>
      <w:fldSimple w:instr=" SEQ Figure \* ARABIC ">
        <w:r w:rsidR="00BE60C0" w:rsidRPr="003654D9">
          <w:t>3</w:t>
        </w:r>
      </w:fldSimple>
      <w:r w:rsidRPr="003654D9">
        <w:t xml:space="preserve">: </w:t>
      </w:r>
      <w:r w:rsidRPr="003654D9">
        <w:rPr>
          <w:b w:val="0"/>
          <w:bCs/>
        </w:rPr>
        <w:t xml:space="preserve">Victoria’s average yearly wind speed (Source: </w:t>
      </w:r>
      <w:proofErr w:type="spellStart"/>
      <w:r w:rsidRPr="003654D9">
        <w:rPr>
          <w:b w:val="0"/>
          <w:bCs/>
        </w:rPr>
        <w:t>GeoVic</w:t>
      </w:r>
      <w:proofErr w:type="spellEnd"/>
      <w:r w:rsidRPr="003654D9">
        <w:rPr>
          <w:b w:val="0"/>
          <w:bCs/>
        </w:rPr>
        <w:t>, Resources Victoria)</w:t>
      </w:r>
    </w:p>
    <w:p w14:paraId="6173FA1C" w14:textId="319EC298" w:rsidR="00406D31" w:rsidRPr="003654D9" w:rsidRDefault="008944C5" w:rsidP="008944C5">
      <w:pPr>
        <w:pStyle w:val="BodyText"/>
        <w:jc w:val="center"/>
        <w:rPr>
          <w:lang w:val="en-AU"/>
        </w:rPr>
      </w:pPr>
      <w:r w:rsidRPr="003654D9">
        <w:rPr>
          <w:noProof/>
          <w:lang w:val="en-AU"/>
        </w:rPr>
        <w:drawing>
          <wp:inline distT="0" distB="0" distL="0" distR="0" wp14:anchorId="329BFBF7" wp14:editId="4E6AD0DC">
            <wp:extent cx="8447965" cy="5637361"/>
            <wp:effectExtent l="0" t="0" r="0" b="1905"/>
            <wp:docPr id="1931002992" name="Picture 1" descr="A map of the state of Victoria, Australia showing the states average yearly wind sp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002992" name="Picture 1" descr="A map of the state of Victoria, Australia showing the states average yearly wind speeds"/>
                    <pic:cNvPicPr/>
                  </pic:nvPicPr>
                  <pic:blipFill>
                    <a:blip r:embed="rId14" cstate="screen">
                      <a:extLst>
                        <a:ext uri="{28A0092B-C50C-407E-A947-70E740481C1C}">
                          <a14:useLocalDpi xmlns:a14="http://schemas.microsoft.com/office/drawing/2010/main"/>
                        </a:ext>
                      </a:extLst>
                    </a:blip>
                    <a:stretch>
                      <a:fillRect/>
                    </a:stretch>
                  </pic:blipFill>
                  <pic:spPr>
                    <a:xfrm>
                      <a:off x="0" y="0"/>
                      <a:ext cx="8504572" cy="5675135"/>
                    </a:xfrm>
                    <a:prstGeom prst="rect">
                      <a:avLst/>
                    </a:prstGeom>
                  </pic:spPr>
                </pic:pic>
              </a:graphicData>
            </a:graphic>
          </wp:inline>
        </w:drawing>
      </w:r>
    </w:p>
    <w:p w14:paraId="099A68A6" w14:textId="77777777" w:rsidR="008944C5" w:rsidRPr="003654D9" w:rsidRDefault="008944C5" w:rsidP="00406D31">
      <w:pPr>
        <w:pStyle w:val="BodyText"/>
        <w:rPr>
          <w:lang w:val="en-AU"/>
        </w:rPr>
        <w:sectPr w:rsidR="008944C5" w:rsidRPr="003654D9" w:rsidSect="008944C5">
          <w:pgSz w:w="16838" w:h="11906" w:orient="landscape"/>
          <w:pgMar w:top="1134" w:right="1134" w:bottom="1134" w:left="1134" w:header="720" w:footer="454" w:gutter="0"/>
          <w:cols w:space="720"/>
          <w:noEndnote/>
          <w:docGrid w:linePitch="326"/>
        </w:sectPr>
      </w:pPr>
    </w:p>
    <w:p w14:paraId="00FF5BA1" w14:textId="3ACED3BB" w:rsidR="00DD1C0A" w:rsidRPr="003654D9" w:rsidRDefault="00DD1C0A" w:rsidP="00DD1C0A">
      <w:pPr>
        <w:pStyle w:val="Heading1"/>
        <w:pageBreakBefore/>
        <w:rPr>
          <w:lang w:val="en-AU"/>
        </w:rPr>
      </w:pPr>
      <w:bookmarkStart w:id="4" w:name="_Toc212113423"/>
      <w:r w:rsidRPr="003654D9">
        <w:rPr>
          <w:lang w:val="en-AU"/>
        </w:rPr>
        <w:lastRenderedPageBreak/>
        <w:t>Government policies supporting your project</w:t>
      </w:r>
      <w:bookmarkEnd w:id="4"/>
    </w:p>
    <w:p w14:paraId="0FF45C8C" w14:textId="77777777" w:rsidR="00CE2599" w:rsidRPr="003654D9" w:rsidRDefault="00CE2599" w:rsidP="00CE2599">
      <w:pPr>
        <w:pStyle w:val="BodyText"/>
        <w:rPr>
          <w:rFonts w:eastAsiaTheme="majorEastAsia"/>
          <w:b/>
          <w:bCs/>
          <w:sz w:val="28"/>
          <w:szCs w:val="28"/>
          <w:lang w:val="en-AU"/>
        </w:rPr>
      </w:pPr>
      <w:r w:rsidRPr="003654D9">
        <w:rPr>
          <w:rFonts w:eastAsiaTheme="majorEastAsia"/>
          <w:b/>
          <w:bCs/>
          <w:sz w:val="28"/>
          <w:szCs w:val="28"/>
          <w:lang w:val="en-AU"/>
        </w:rPr>
        <w:t>The Victorian and Australian governments are making it easier to navigate planning approvals.</w:t>
      </w:r>
    </w:p>
    <w:p w14:paraId="2C8F1F95" w14:textId="77777777" w:rsidR="00CE2599" w:rsidRPr="003654D9" w:rsidRDefault="00CE2599" w:rsidP="00CE2599">
      <w:pPr>
        <w:pStyle w:val="BodyText"/>
        <w:rPr>
          <w:rFonts w:eastAsiaTheme="majorEastAsia"/>
          <w:lang w:val="en-AU"/>
        </w:rPr>
      </w:pPr>
      <w:r w:rsidRPr="003654D9">
        <w:rPr>
          <w:rFonts w:eastAsiaTheme="majorEastAsia"/>
          <w:lang w:val="en-AU"/>
        </w:rPr>
        <w:t>The Victorian Government Development Facilitation Program fast-tracks the planning permit approval process for renewable energy facilities and utility installations.</w:t>
      </w:r>
    </w:p>
    <w:p w14:paraId="09BB5DDD" w14:textId="77777777" w:rsidR="00CE2599" w:rsidRPr="003654D9" w:rsidRDefault="00CE2599" w:rsidP="00CE2599">
      <w:pPr>
        <w:pStyle w:val="BodyText"/>
        <w:rPr>
          <w:rFonts w:eastAsiaTheme="majorEastAsia"/>
          <w:lang w:val="en-AU"/>
        </w:rPr>
      </w:pPr>
      <w:r w:rsidRPr="003654D9">
        <w:rPr>
          <w:rFonts w:eastAsiaTheme="majorEastAsia"/>
          <w:lang w:val="en-AU"/>
        </w:rPr>
        <w:t>Victoria also released updated guidance for managing biodiversity impacts of renewable energy projects.</w:t>
      </w:r>
    </w:p>
    <w:p w14:paraId="740CACBE" w14:textId="1FAF4190" w:rsidR="00CE2599" w:rsidRPr="003654D9" w:rsidRDefault="00CE2599" w:rsidP="00CE2599">
      <w:pPr>
        <w:pStyle w:val="BodyText"/>
        <w:rPr>
          <w:rFonts w:eastAsiaTheme="majorEastAsia"/>
          <w:u w:val="thick"/>
          <w:lang w:val="en-AU"/>
        </w:rPr>
      </w:pPr>
      <w:r w:rsidRPr="003654D9">
        <w:rPr>
          <w:rFonts w:eastAsiaTheme="majorEastAsia"/>
          <w:lang w:val="en-AU"/>
        </w:rPr>
        <w:t xml:space="preserve">For more information, visit: </w:t>
      </w:r>
      <w:hyperlink r:id="rId15" w:tooltip="Hyperlink to Department of Transport and Planning website" w:history="1">
        <w:r w:rsidRPr="003654D9">
          <w:rPr>
            <w:rStyle w:val="Hyperlink"/>
            <w:rFonts w:eastAsiaTheme="majorEastAsia"/>
            <w:lang w:val="en-AU"/>
          </w:rPr>
          <w:t>planning.vic.gov.au/planning-approvals/planning-enquiries-and-requests/development-facilitation-program</w:t>
        </w:r>
      </w:hyperlink>
      <w:r w:rsidRPr="003654D9">
        <w:rPr>
          <w:rFonts w:eastAsiaTheme="majorEastAsia"/>
          <w:lang w:val="en-AU"/>
        </w:rPr>
        <w:t xml:space="preserve"> and </w:t>
      </w:r>
      <w:hyperlink r:id="rId16" w:tooltip="Hyperlink to Victorian Government website" w:history="1">
        <w:r w:rsidRPr="003654D9">
          <w:rPr>
            <w:rStyle w:val="Hyperlink"/>
            <w:rFonts w:eastAsiaTheme="majorEastAsia"/>
            <w:lang w:val="en-AU"/>
          </w:rPr>
          <w:t>environment.vic.gov.au/home/managing-impacts-of-renewable-energy-on-environment</w:t>
        </w:r>
      </w:hyperlink>
    </w:p>
    <w:p w14:paraId="254BDD7A" w14:textId="77777777" w:rsidR="00CE2599" w:rsidRPr="003654D9" w:rsidRDefault="00CE2599" w:rsidP="00CE2599">
      <w:pPr>
        <w:pStyle w:val="Normalbeforebullets"/>
        <w:rPr>
          <w:rFonts w:eastAsiaTheme="majorEastAsia"/>
        </w:rPr>
      </w:pPr>
      <w:r w:rsidRPr="003654D9">
        <w:rPr>
          <w:rFonts w:eastAsiaTheme="majorEastAsia"/>
        </w:rPr>
        <w:t xml:space="preserve">In December 2024, as part of the </w:t>
      </w:r>
      <w:r w:rsidRPr="003654D9">
        <w:rPr>
          <w:rFonts w:eastAsiaTheme="majorEastAsia"/>
          <w:i/>
          <w:iCs/>
        </w:rPr>
        <w:t>Economic Growth Statement</w:t>
      </w:r>
      <w:r w:rsidRPr="003654D9">
        <w:rPr>
          <w:rFonts w:eastAsiaTheme="majorEastAsia"/>
        </w:rPr>
        <w:t>, the Victorian Government announced the following key reforms:</w:t>
      </w:r>
    </w:p>
    <w:p w14:paraId="6A7C4CBC" w14:textId="77777777" w:rsidR="00CE2599" w:rsidRPr="003654D9" w:rsidRDefault="00CE2599" w:rsidP="00CE2599">
      <w:pPr>
        <w:pStyle w:val="ListBullet"/>
        <w:rPr>
          <w:rFonts w:eastAsiaTheme="majorEastAsia"/>
          <w:lang w:val="en-AU"/>
        </w:rPr>
      </w:pPr>
      <w:r w:rsidRPr="003654D9">
        <w:rPr>
          <w:rFonts w:eastAsiaTheme="majorEastAsia"/>
          <w:lang w:val="en-AU"/>
        </w:rPr>
        <w:t>faster Environmental Effects Statement processes, providing investors with an answer in 18 months or less</w:t>
      </w:r>
    </w:p>
    <w:p w14:paraId="3D98CA13" w14:textId="1B42590B" w:rsidR="00CE2599" w:rsidRPr="003654D9" w:rsidRDefault="00CE2599" w:rsidP="00CE2599">
      <w:pPr>
        <w:pStyle w:val="ListBullet"/>
        <w:rPr>
          <w:rFonts w:eastAsiaTheme="majorEastAsia"/>
          <w:lang w:val="en-AU"/>
        </w:rPr>
      </w:pPr>
      <w:r w:rsidRPr="003654D9">
        <w:rPr>
          <w:rFonts w:eastAsiaTheme="majorEastAsia"/>
          <w:lang w:val="en-AU"/>
        </w:rPr>
        <w:t>enhanced public engagement with a more focused approach</w:t>
      </w:r>
    </w:p>
    <w:p w14:paraId="298D0575" w14:textId="77777777" w:rsidR="00CE2599" w:rsidRPr="003654D9" w:rsidRDefault="00CE2599" w:rsidP="00CE2599">
      <w:pPr>
        <w:pStyle w:val="ListBullet"/>
        <w:rPr>
          <w:rFonts w:eastAsiaTheme="majorEastAsia"/>
          <w:lang w:val="en-AU"/>
        </w:rPr>
      </w:pPr>
      <w:r w:rsidRPr="003654D9">
        <w:rPr>
          <w:rFonts w:eastAsiaTheme="majorEastAsia"/>
          <w:lang w:val="en-AU"/>
        </w:rPr>
        <w:t>targeted assessments and developer support to encourage investment</w:t>
      </w:r>
    </w:p>
    <w:p w14:paraId="22172914" w14:textId="77777777" w:rsidR="00CE2599" w:rsidRPr="003654D9" w:rsidRDefault="00CE2599" w:rsidP="00CE2599">
      <w:pPr>
        <w:pStyle w:val="LastBulletinList"/>
        <w:rPr>
          <w:rFonts w:eastAsiaTheme="majorEastAsia"/>
          <w:lang w:val="en-AU"/>
        </w:rPr>
      </w:pPr>
      <w:r w:rsidRPr="003654D9">
        <w:rPr>
          <w:rFonts w:eastAsiaTheme="majorEastAsia"/>
          <w:lang w:val="en-AU"/>
        </w:rPr>
        <w:t>appointment of an Investment Coordinator</w:t>
      </w:r>
      <w:r w:rsidRPr="003654D9">
        <w:rPr>
          <w:rFonts w:ascii="Cambria Math" w:eastAsiaTheme="majorEastAsia" w:hAnsi="Cambria Math" w:cs="Cambria Math"/>
          <w:lang w:val="en-AU"/>
        </w:rPr>
        <w:t>‑</w:t>
      </w:r>
      <w:r w:rsidRPr="003654D9">
        <w:rPr>
          <w:rFonts w:eastAsiaTheme="majorEastAsia"/>
          <w:lang w:val="en-AU"/>
        </w:rPr>
        <w:t>General.</w:t>
      </w:r>
    </w:p>
    <w:p w14:paraId="6D8FBA5B" w14:textId="4F9A8CBC" w:rsidR="00CE2599" w:rsidRPr="003654D9" w:rsidRDefault="00CE2599" w:rsidP="00CE2599">
      <w:pPr>
        <w:pStyle w:val="BodyText"/>
        <w:rPr>
          <w:rFonts w:eastAsiaTheme="majorEastAsia"/>
          <w:lang w:val="en-AU"/>
        </w:rPr>
      </w:pPr>
      <w:r w:rsidRPr="003654D9">
        <w:rPr>
          <w:rFonts w:eastAsiaTheme="majorEastAsia"/>
          <w:lang w:val="en-AU"/>
        </w:rPr>
        <w:t xml:space="preserve">For more information, visit: </w:t>
      </w:r>
      <w:hyperlink r:id="rId17" w:tooltip="Hyperlink to Victorian Government website" w:history="1">
        <w:r w:rsidRPr="003654D9">
          <w:rPr>
            <w:rStyle w:val="Hyperlink"/>
            <w:rFonts w:eastAsiaTheme="majorEastAsia"/>
            <w:lang w:val="en-AU"/>
          </w:rPr>
          <w:t>vic.gov.au/economic-growth-statement</w:t>
        </w:r>
      </w:hyperlink>
    </w:p>
    <w:p w14:paraId="3DED29F2" w14:textId="77777777" w:rsidR="00CE2599" w:rsidRPr="003654D9" w:rsidRDefault="00CE2599" w:rsidP="00CE2599">
      <w:pPr>
        <w:pStyle w:val="Heading2"/>
        <w:rPr>
          <w:lang w:val="en-AU"/>
        </w:rPr>
      </w:pPr>
      <w:r w:rsidRPr="003654D9">
        <w:rPr>
          <w:lang w:val="en-AU"/>
        </w:rPr>
        <w:lastRenderedPageBreak/>
        <w:t>Underwriting new renewable energy capacity</w:t>
      </w:r>
    </w:p>
    <w:p w14:paraId="4E6F108A" w14:textId="5B5EC6BF" w:rsidR="00CE2599" w:rsidRPr="003654D9" w:rsidRDefault="00CE2599" w:rsidP="00CE2599">
      <w:pPr>
        <w:pStyle w:val="BodyText"/>
        <w:rPr>
          <w:rFonts w:eastAsiaTheme="majorEastAsia"/>
          <w:lang w:val="en-AU"/>
        </w:rPr>
      </w:pPr>
      <w:r w:rsidRPr="003654D9">
        <w:rPr>
          <w:rFonts w:eastAsiaTheme="majorEastAsia"/>
          <w:lang w:val="en-AU"/>
        </w:rPr>
        <w:t>The Capacity Investment Scheme (CIS) provides a national framework to underwrite 26 GW of renewable capacity and 14 GW of clean dispatchable capacity by 2030.</w:t>
      </w:r>
    </w:p>
    <w:p w14:paraId="15DA5FFE" w14:textId="77777777" w:rsidR="00CE2599" w:rsidRPr="003654D9" w:rsidRDefault="00CE2599" w:rsidP="00CE2599">
      <w:pPr>
        <w:pStyle w:val="BodyText"/>
        <w:rPr>
          <w:rFonts w:eastAsiaTheme="majorEastAsia"/>
          <w:lang w:val="en-AU"/>
        </w:rPr>
      </w:pPr>
      <w:r w:rsidRPr="003654D9">
        <w:rPr>
          <w:rFonts w:eastAsiaTheme="majorEastAsia"/>
          <w:lang w:val="en-AU"/>
        </w:rPr>
        <w:t>Competitive tenders for renewable energy and storage will be held approximately every 6 months. Target allocations for Victorian projects are for at least 11 TWh of renewable energy and 1.7 GW of 4-hour equivalent storage. Victoria expects onshore wind to play a strong role in delivering this capacity.</w:t>
      </w:r>
    </w:p>
    <w:p w14:paraId="75A14F4A" w14:textId="1FC770E9" w:rsidR="00CE2599" w:rsidRPr="003654D9" w:rsidRDefault="00CE2599" w:rsidP="00CE2599">
      <w:pPr>
        <w:pStyle w:val="BodyText"/>
        <w:rPr>
          <w:rFonts w:eastAsiaTheme="majorEastAsia"/>
          <w:u w:val="thick"/>
          <w:lang w:val="en-AU"/>
        </w:rPr>
      </w:pPr>
      <w:r w:rsidRPr="003654D9">
        <w:rPr>
          <w:rFonts w:eastAsiaTheme="majorEastAsia"/>
          <w:lang w:val="en-AU"/>
        </w:rPr>
        <w:t xml:space="preserve">For more information, visit: </w:t>
      </w:r>
      <w:hyperlink r:id="rId18" w:tooltip="Hyperlink to Department of Energy, Environment and Climate Action website" w:history="1">
        <w:r w:rsidRPr="003654D9">
          <w:rPr>
            <w:rStyle w:val="Hyperlink"/>
            <w:rFonts w:eastAsiaTheme="majorEastAsia"/>
            <w:lang w:val="en-AU"/>
          </w:rPr>
          <w:t>dcceew.gov.au/energy/renewable/capacity-investment-scheme</w:t>
        </w:r>
      </w:hyperlink>
    </w:p>
    <w:p w14:paraId="486BB6AE" w14:textId="7F77D02D" w:rsidR="00CE2599" w:rsidRPr="003654D9" w:rsidRDefault="00CE2599" w:rsidP="00CE2599">
      <w:pPr>
        <w:pStyle w:val="Caption"/>
        <w:keepNext/>
      </w:pPr>
      <w:r w:rsidRPr="003654D9">
        <w:t xml:space="preserve">Table </w:t>
      </w:r>
      <w:fldSimple w:instr=" SEQ Table \* ARABIC ">
        <w:r w:rsidR="00BE60C0" w:rsidRPr="003654D9">
          <w:t>2</w:t>
        </w:r>
      </w:fldSimple>
      <w:r w:rsidRPr="003654D9">
        <w:t xml:space="preserve">: </w:t>
      </w:r>
      <w:r w:rsidRPr="003654D9">
        <w:rPr>
          <w:b w:val="0"/>
          <w:bCs/>
        </w:rPr>
        <w:t>Schedule for target Victorian allocations in the CIS</w:t>
      </w:r>
    </w:p>
    <w:tbl>
      <w:tblPr>
        <w:tblStyle w:val="Style2"/>
        <w:tblW w:w="5000" w:type="pct"/>
        <w:tblLook w:val="0020" w:firstRow="1" w:lastRow="0" w:firstColumn="0" w:lastColumn="0" w:noHBand="0" w:noVBand="0"/>
        <w:tblCaption w:val="Table 1: Schedule for target Victorian allocations in the CIS"/>
        <w:tblDescription w:val="Table 1: Schedule for target Victorian allocations in the CIS"/>
      </w:tblPr>
      <w:tblGrid>
        <w:gridCol w:w="2906"/>
        <w:gridCol w:w="3355"/>
        <w:gridCol w:w="3357"/>
      </w:tblGrid>
      <w:tr w:rsidR="00CE2599" w:rsidRPr="003654D9" w14:paraId="47A94017" w14:textId="77777777" w:rsidTr="00AE5109">
        <w:trPr>
          <w:cnfStyle w:val="100000000000" w:firstRow="1" w:lastRow="0" w:firstColumn="0" w:lastColumn="0" w:oddVBand="0" w:evenVBand="0" w:oddHBand="0" w:evenHBand="0" w:firstRowFirstColumn="0" w:firstRowLastColumn="0" w:lastRowFirstColumn="0" w:lastRowLastColumn="0"/>
          <w:cantSplit/>
          <w:trHeight w:val="1115"/>
          <w:tblHeader/>
        </w:trPr>
        <w:tc>
          <w:tcPr>
            <w:tcW w:w="1511" w:type="pct"/>
          </w:tcPr>
          <w:p w14:paraId="674C0128" w14:textId="77777777" w:rsidR="00CE2599" w:rsidRPr="003654D9" w:rsidRDefault="00CE2599" w:rsidP="00AE5109">
            <w:pPr>
              <w:pStyle w:val="Tabletext"/>
              <w:spacing w:line="276" w:lineRule="auto"/>
              <w:rPr>
                <w:rFonts w:eastAsiaTheme="majorEastAsia"/>
                <w:lang w:val="en-AU"/>
              </w:rPr>
            </w:pPr>
            <w:r w:rsidRPr="003654D9">
              <w:rPr>
                <w:rFonts w:eastAsiaTheme="majorEastAsia"/>
                <w:lang w:val="en-AU"/>
              </w:rPr>
              <w:t>CIS Tenders in Calendar Year</w:t>
            </w:r>
          </w:p>
        </w:tc>
        <w:tc>
          <w:tcPr>
            <w:tcW w:w="1744" w:type="pct"/>
          </w:tcPr>
          <w:p w14:paraId="69D55477" w14:textId="77777777" w:rsidR="00CE2599" w:rsidRPr="003654D9" w:rsidRDefault="00CE2599" w:rsidP="00AE5109">
            <w:pPr>
              <w:pStyle w:val="Tabletext"/>
              <w:spacing w:line="276" w:lineRule="auto"/>
              <w:jc w:val="center"/>
              <w:rPr>
                <w:rFonts w:eastAsiaTheme="majorEastAsia"/>
                <w:lang w:val="en-AU"/>
              </w:rPr>
            </w:pPr>
            <w:r w:rsidRPr="003654D9">
              <w:rPr>
                <w:rFonts w:eastAsiaTheme="majorEastAsia"/>
                <w:lang w:val="en-AU"/>
              </w:rPr>
              <w:t xml:space="preserve">Cumulative generation allocation </w:t>
            </w:r>
            <w:r w:rsidRPr="003654D9">
              <w:rPr>
                <w:rFonts w:eastAsiaTheme="majorEastAsia"/>
                <w:lang w:val="en-AU"/>
              </w:rPr>
              <w:br/>
              <w:t>(GW / TWh)</w:t>
            </w:r>
          </w:p>
        </w:tc>
        <w:tc>
          <w:tcPr>
            <w:tcW w:w="1745" w:type="pct"/>
          </w:tcPr>
          <w:p w14:paraId="38163984" w14:textId="77777777" w:rsidR="00CE2599" w:rsidRPr="003654D9" w:rsidRDefault="00CE2599" w:rsidP="00AE5109">
            <w:pPr>
              <w:pStyle w:val="Tabletext"/>
              <w:spacing w:line="276" w:lineRule="auto"/>
              <w:jc w:val="center"/>
              <w:rPr>
                <w:rFonts w:eastAsiaTheme="majorEastAsia"/>
                <w:lang w:val="en-AU"/>
              </w:rPr>
            </w:pPr>
            <w:r w:rsidRPr="003654D9">
              <w:rPr>
                <w:rFonts w:eastAsiaTheme="majorEastAsia"/>
                <w:lang w:val="en-AU"/>
              </w:rPr>
              <w:t xml:space="preserve">Cumulative storage allocation </w:t>
            </w:r>
            <w:r w:rsidRPr="003654D9">
              <w:rPr>
                <w:rFonts w:eastAsiaTheme="majorEastAsia"/>
                <w:lang w:val="en-AU"/>
              </w:rPr>
              <w:br/>
              <w:t>(GW / GWh)</w:t>
            </w:r>
          </w:p>
        </w:tc>
      </w:tr>
      <w:tr w:rsidR="00CE2599" w:rsidRPr="003654D9" w14:paraId="3200EEA0" w14:textId="77777777" w:rsidTr="00AE5109">
        <w:trPr>
          <w:trHeight w:val="60"/>
        </w:trPr>
        <w:tc>
          <w:tcPr>
            <w:tcW w:w="1511" w:type="pct"/>
          </w:tcPr>
          <w:p w14:paraId="430C829B" w14:textId="77777777" w:rsidR="00CE2599" w:rsidRPr="003654D9" w:rsidRDefault="00CE2599" w:rsidP="00AE5109">
            <w:pPr>
              <w:pStyle w:val="Tabletext"/>
              <w:spacing w:line="276" w:lineRule="auto"/>
              <w:rPr>
                <w:rFonts w:eastAsiaTheme="majorEastAsia"/>
                <w:b/>
                <w:bCs/>
                <w:lang w:val="en-AU"/>
              </w:rPr>
            </w:pPr>
            <w:r w:rsidRPr="003654D9">
              <w:rPr>
                <w:rFonts w:eastAsiaTheme="majorEastAsia"/>
                <w:b/>
                <w:bCs/>
                <w:lang w:val="en-AU"/>
              </w:rPr>
              <w:t>2024</w:t>
            </w:r>
          </w:p>
        </w:tc>
        <w:tc>
          <w:tcPr>
            <w:tcW w:w="1744" w:type="pct"/>
          </w:tcPr>
          <w:p w14:paraId="51FB3C64" w14:textId="77777777" w:rsidR="00CE2599" w:rsidRPr="003654D9" w:rsidRDefault="00CE2599" w:rsidP="00AE5109">
            <w:pPr>
              <w:pStyle w:val="Tabletext"/>
              <w:spacing w:line="276" w:lineRule="auto"/>
              <w:jc w:val="center"/>
              <w:rPr>
                <w:rFonts w:eastAsiaTheme="majorEastAsia"/>
                <w:lang w:val="en-AU"/>
              </w:rPr>
            </w:pPr>
            <w:r w:rsidRPr="003654D9">
              <w:rPr>
                <w:rFonts w:eastAsiaTheme="majorEastAsia"/>
                <w:lang w:val="en-AU"/>
              </w:rPr>
              <w:t>2.8 / 6.2</w:t>
            </w:r>
          </w:p>
        </w:tc>
        <w:tc>
          <w:tcPr>
            <w:tcW w:w="1745" w:type="pct"/>
          </w:tcPr>
          <w:p w14:paraId="2E489821" w14:textId="77777777" w:rsidR="00CE2599" w:rsidRPr="003654D9" w:rsidRDefault="00CE2599" w:rsidP="00AE5109">
            <w:pPr>
              <w:pStyle w:val="Tabletext"/>
              <w:spacing w:line="276" w:lineRule="auto"/>
              <w:jc w:val="center"/>
              <w:rPr>
                <w:rFonts w:eastAsiaTheme="majorEastAsia"/>
                <w:lang w:val="en-AU"/>
              </w:rPr>
            </w:pPr>
            <w:r w:rsidRPr="003654D9">
              <w:rPr>
                <w:rFonts w:eastAsiaTheme="majorEastAsia"/>
                <w:lang w:val="en-AU"/>
              </w:rPr>
              <w:t>1.0 / 4.0</w:t>
            </w:r>
          </w:p>
        </w:tc>
      </w:tr>
      <w:tr w:rsidR="00CE2599" w:rsidRPr="003654D9" w14:paraId="4C64A56D" w14:textId="77777777" w:rsidTr="00AE5109">
        <w:trPr>
          <w:trHeight w:val="60"/>
        </w:trPr>
        <w:tc>
          <w:tcPr>
            <w:tcW w:w="1511" w:type="pct"/>
          </w:tcPr>
          <w:p w14:paraId="68CF3249" w14:textId="77777777" w:rsidR="00CE2599" w:rsidRPr="003654D9" w:rsidRDefault="00CE2599" w:rsidP="00AE5109">
            <w:pPr>
              <w:pStyle w:val="Tabletext"/>
              <w:spacing w:line="276" w:lineRule="auto"/>
              <w:rPr>
                <w:rFonts w:eastAsiaTheme="majorEastAsia"/>
                <w:b/>
                <w:bCs/>
                <w:lang w:val="en-AU"/>
              </w:rPr>
            </w:pPr>
            <w:r w:rsidRPr="003654D9">
              <w:rPr>
                <w:rFonts w:eastAsiaTheme="majorEastAsia"/>
                <w:b/>
                <w:bCs/>
                <w:lang w:val="en-AU"/>
              </w:rPr>
              <w:t>2025</w:t>
            </w:r>
          </w:p>
        </w:tc>
        <w:tc>
          <w:tcPr>
            <w:tcW w:w="1744" w:type="pct"/>
          </w:tcPr>
          <w:p w14:paraId="6FC90344" w14:textId="77777777" w:rsidR="00CE2599" w:rsidRPr="003654D9" w:rsidRDefault="00CE2599" w:rsidP="00AE5109">
            <w:pPr>
              <w:pStyle w:val="Tabletext"/>
              <w:spacing w:line="276" w:lineRule="auto"/>
              <w:jc w:val="center"/>
              <w:rPr>
                <w:rFonts w:eastAsiaTheme="majorEastAsia"/>
                <w:lang w:val="en-AU"/>
              </w:rPr>
            </w:pPr>
            <w:r w:rsidRPr="003654D9">
              <w:rPr>
                <w:rFonts w:eastAsiaTheme="majorEastAsia"/>
                <w:lang w:val="en-AU"/>
              </w:rPr>
              <w:t>3.8 / 8.0</w:t>
            </w:r>
          </w:p>
        </w:tc>
        <w:tc>
          <w:tcPr>
            <w:tcW w:w="1745" w:type="pct"/>
          </w:tcPr>
          <w:p w14:paraId="0D8F455C" w14:textId="77777777" w:rsidR="00CE2599" w:rsidRPr="003654D9" w:rsidRDefault="00CE2599" w:rsidP="00AE5109">
            <w:pPr>
              <w:pStyle w:val="Tabletext"/>
              <w:spacing w:line="276" w:lineRule="auto"/>
              <w:jc w:val="center"/>
              <w:rPr>
                <w:rFonts w:eastAsiaTheme="majorEastAsia"/>
                <w:lang w:val="en-AU"/>
              </w:rPr>
            </w:pPr>
            <w:r w:rsidRPr="003654D9">
              <w:rPr>
                <w:rFonts w:eastAsiaTheme="majorEastAsia"/>
                <w:lang w:val="en-AU"/>
              </w:rPr>
              <w:t>1.5 / 6.0</w:t>
            </w:r>
          </w:p>
        </w:tc>
      </w:tr>
      <w:tr w:rsidR="00CE2599" w:rsidRPr="003654D9" w14:paraId="548BDB56" w14:textId="77777777" w:rsidTr="00AE5109">
        <w:trPr>
          <w:trHeight w:val="60"/>
        </w:trPr>
        <w:tc>
          <w:tcPr>
            <w:tcW w:w="1511" w:type="pct"/>
          </w:tcPr>
          <w:p w14:paraId="4C2B199E" w14:textId="77777777" w:rsidR="00CE2599" w:rsidRPr="003654D9" w:rsidRDefault="00CE2599" w:rsidP="00AE5109">
            <w:pPr>
              <w:pStyle w:val="Tabletext"/>
              <w:spacing w:line="276" w:lineRule="auto"/>
              <w:rPr>
                <w:rFonts w:eastAsiaTheme="majorEastAsia"/>
                <w:b/>
                <w:bCs/>
                <w:lang w:val="en-AU"/>
              </w:rPr>
            </w:pPr>
            <w:r w:rsidRPr="003654D9">
              <w:rPr>
                <w:rFonts w:eastAsiaTheme="majorEastAsia"/>
                <w:b/>
                <w:bCs/>
                <w:lang w:val="en-AU"/>
              </w:rPr>
              <w:t xml:space="preserve">2026 </w:t>
            </w:r>
          </w:p>
        </w:tc>
        <w:tc>
          <w:tcPr>
            <w:tcW w:w="1744" w:type="pct"/>
          </w:tcPr>
          <w:p w14:paraId="2C82A621" w14:textId="77777777" w:rsidR="00CE2599" w:rsidRPr="003654D9" w:rsidRDefault="00CE2599" w:rsidP="00AE5109">
            <w:pPr>
              <w:pStyle w:val="Tabletext"/>
              <w:spacing w:line="276" w:lineRule="auto"/>
              <w:jc w:val="center"/>
              <w:rPr>
                <w:rFonts w:eastAsiaTheme="majorEastAsia"/>
                <w:lang w:val="en-AU"/>
              </w:rPr>
            </w:pPr>
            <w:r w:rsidRPr="003654D9">
              <w:rPr>
                <w:rFonts w:eastAsiaTheme="majorEastAsia"/>
                <w:lang w:val="en-AU"/>
              </w:rPr>
              <w:t>5.0 / 11.0</w:t>
            </w:r>
          </w:p>
        </w:tc>
        <w:tc>
          <w:tcPr>
            <w:tcW w:w="1745" w:type="pct"/>
          </w:tcPr>
          <w:p w14:paraId="2B2C10C3" w14:textId="77777777" w:rsidR="00CE2599" w:rsidRPr="003654D9" w:rsidRDefault="00CE2599" w:rsidP="00AE5109">
            <w:pPr>
              <w:pStyle w:val="Tabletext"/>
              <w:spacing w:line="276" w:lineRule="auto"/>
              <w:jc w:val="center"/>
              <w:rPr>
                <w:rFonts w:eastAsiaTheme="majorEastAsia"/>
                <w:lang w:val="en-AU"/>
              </w:rPr>
            </w:pPr>
            <w:r w:rsidRPr="003654D9">
              <w:rPr>
                <w:rFonts w:eastAsiaTheme="majorEastAsia"/>
                <w:lang w:val="en-AU"/>
              </w:rPr>
              <w:t>1.7 / 6.8</w:t>
            </w:r>
          </w:p>
        </w:tc>
      </w:tr>
    </w:tbl>
    <w:p w14:paraId="146A4B8F" w14:textId="77777777" w:rsidR="00CE2599" w:rsidRPr="003654D9" w:rsidRDefault="00CE2599" w:rsidP="00CE2599">
      <w:pPr>
        <w:pStyle w:val="Heading2"/>
        <w:spacing w:before="480"/>
        <w:rPr>
          <w:lang w:val="en-AU"/>
        </w:rPr>
      </w:pPr>
      <w:r w:rsidRPr="003654D9">
        <w:rPr>
          <w:lang w:val="en-AU"/>
        </w:rPr>
        <w:t>Future Made in Australia</w:t>
      </w:r>
    </w:p>
    <w:p w14:paraId="4CE17435" w14:textId="5DFB7FBA" w:rsidR="00CE2599" w:rsidRPr="003654D9" w:rsidRDefault="00CE2599" w:rsidP="00CE2599">
      <w:pPr>
        <w:pStyle w:val="BodyText"/>
        <w:rPr>
          <w:rFonts w:eastAsiaTheme="majorEastAsia"/>
          <w:lang w:val="en-AU"/>
        </w:rPr>
      </w:pPr>
      <w:r w:rsidRPr="003654D9">
        <w:rPr>
          <w:rFonts w:eastAsiaTheme="majorEastAsia"/>
          <w:lang w:val="en-AU"/>
        </w:rPr>
        <w:t>The Australian Government is investing $25 billion to maximise the economic and industrial benefits of the net-zero transition. Key initiatives include incentives for critical minerals, renewable hydrogen, batteries and solar panels, and innovation in green metals and low-carbon fuels.</w:t>
      </w:r>
    </w:p>
    <w:p w14:paraId="0033E522" w14:textId="177ADC1D" w:rsidR="00CE2599" w:rsidRPr="003654D9" w:rsidRDefault="00CE2599" w:rsidP="00CE2599">
      <w:pPr>
        <w:pStyle w:val="BodyText"/>
        <w:rPr>
          <w:rFonts w:eastAsiaTheme="majorEastAsia"/>
          <w:u w:val="thick"/>
          <w:lang w:val="en-AU"/>
        </w:rPr>
      </w:pPr>
      <w:r w:rsidRPr="003654D9">
        <w:rPr>
          <w:rFonts w:eastAsiaTheme="majorEastAsia"/>
          <w:lang w:val="en-AU"/>
        </w:rPr>
        <w:t xml:space="preserve">For more information, visit: </w:t>
      </w:r>
      <w:hyperlink r:id="rId19" w:tooltip="Hyperlink to Australian Government Treasury website" w:history="1">
        <w:r w:rsidRPr="003654D9">
          <w:rPr>
            <w:rStyle w:val="Hyperlink"/>
            <w:rFonts w:eastAsiaTheme="majorEastAsia"/>
            <w:lang w:val="en-AU"/>
          </w:rPr>
          <w:t>treasury.gov.au/publication/p2024-526942</w:t>
        </w:r>
      </w:hyperlink>
    </w:p>
    <w:p w14:paraId="61E9EE97" w14:textId="77777777" w:rsidR="00CE2599" w:rsidRPr="003654D9" w:rsidRDefault="00CE2599" w:rsidP="00CE2599">
      <w:pPr>
        <w:pStyle w:val="Normalbeforebullets"/>
        <w:rPr>
          <w:rFonts w:eastAsiaTheme="majorEastAsia"/>
        </w:rPr>
      </w:pPr>
      <w:r w:rsidRPr="003654D9">
        <w:rPr>
          <w:rFonts w:eastAsiaTheme="majorEastAsia"/>
        </w:rPr>
        <w:lastRenderedPageBreak/>
        <w:t xml:space="preserve">The Victorian Government can connect you with the Australian Government’s specialist </w:t>
      </w:r>
      <w:proofErr w:type="spellStart"/>
      <w:proofErr w:type="gramStart"/>
      <w:r w:rsidRPr="003654D9">
        <w:rPr>
          <w:rFonts w:eastAsiaTheme="majorEastAsia"/>
        </w:rPr>
        <w:t>investm;ent</w:t>
      </w:r>
      <w:proofErr w:type="spellEnd"/>
      <w:proofErr w:type="gramEnd"/>
      <w:r w:rsidRPr="003654D9">
        <w:rPr>
          <w:rFonts w:eastAsiaTheme="majorEastAsia"/>
        </w:rPr>
        <w:t xml:space="preserve"> vehicles, including the:</w:t>
      </w:r>
    </w:p>
    <w:p w14:paraId="6672FB42" w14:textId="77777777" w:rsidR="00CE2599" w:rsidRPr="003654D9" w:rsidRDefault="00CE2599" w:rsidP="00CE2599">
      <w:pPr>
        <w:pStyle w:val="ListBullet"/>
        <w:rPr>
          <w:rFonts w:eastAsiaTheme="majorEastAsia"/>
          <w:lang w:val="en-AU"/>
        </w:rPr>
      </w:pPr>
      <w:r w:rsidRPr="003654D9">
        <w:rPr>
          <w:rFonts w:eastAsiaTheme="majorEastAsia"/>
          <w:lang w:val="en-AU"/>
        </w:rPr>
        <w:t>Clean Energy Finance Corporation: Australia’s ‘Green Bank’, with access to $30.5 billion in investment capital from the Australian Government</w:t>
      </w:r>
    </w:p>
    <w:p w14:paraId="641E0A7C" w14:textId="77777777" w:rsidR="00CE2599" w:rsidRPr="003654D9" w:rsidRDefault="00CE2599" w:rsidP="00CE2599">
      <w:pPr>
        <w:pStyle w:val="ListBullet"/>
        <w:rPr>
          <w:rFonts w:eastAsiaTheme="majorEastAsia"/>
          <w:lang w:val="en-AU"/>
        </w:rPr>
      </w:pPr>
      <w:r w:rsidRPr="003654D9">
        <w:rPr>
          <w:rFonts w:eastAsiaTheme="majorEastAsia"/>
          <w:lang w:val="en-AU"/>
        </w:rPr>
        <w:t>Australian Renewable Energy Agency: provides financial assistance for research, development, demonstration, commercialisation and deployment of renewable energy technologies</w:t>
      </w:r>
    </w:p>
    <w:p w14:paraId="1646DBDE" w14:textId="45509A5B" w:rsidR="00DD1C0A" w:rsidRPr="003654D9" w:rsidRDefault="00CE2599" w:rsidP="00DD1C0A">
      <w:pPr>
        <w:pStyle w:val="ListBullet"/>
        <w:rPr>
          <w:rFonts w:eastAsiaTheme="majorEastAsia"/>
          <w:lang w:val="en-AU"/>
        </w:rPr>
      </w:pPr>
      <w:r w:rsidRPr="003654D9">
        <w:rPr>
          <w:rFonts w:eastAsiaTheme="majorEastAsia"/>
          <w:lang w:val="en-AU"/>
        </w:rPr>
        <w:t>National Reconstruction Fund Corporation: $15 billion national investment fund designed to diversify and transform Australia's industry and economy.</w:t>
      </w:r>
    </w:p>
    <w:p w14:paraId="474AD92F" w14:textId="2A72EEFB" w:rsidR="000C1776" w:rsidRPr="003654D9" w:rsidRDefault="00DD1C0A" w:rsidP="000C1776">
      <w:pPr>
        <w:pStyle w:val="Heading1"/>
        <w:pageBreakBefore/>
        <w:rPr>
          <w:lang w:val="en-AU"/>
        </w:rPr>
      </w:pPr>
      <w:bookmarkStart w:id="5" w:name="_Toc212113424"/>
      <w:r w:rsidRPr="003654D9">
        <w:rPr>
          <w:lang w:val="en-AU"/>
        </w:rPr>
        <w:lastRenderedPageBreak/>
        <w:t>Victoria’s new Renewable Energy Zones</w:t>
      </w:r>
      <w:bookmarkEnd w:id="5"/>
    </w:p>
    <w:p w14:paraId="5E029943" w14:textId="77777777" w:rsidR="00DD1C0A" w:rsidRPr="003654D9" w:rsidRDefault="00DD1C0A" w:rsidP="00DD1C0A">
      <w:pPr>
        <w:pStyle w:val="Body-Intro"/>
        <w:spacing w:line="360" w:lineRule="auto"/>
        <w:rPr>
          <w:lang w:val="en-AU"/>
        </w:rPr>
      </w:pPr>
      <w:r w:rsidRPr="003654D9">
        <w:rPr>
          <w:lang w:val="en-AU"/>
        </w:rPr>
        <w:t>The Victorian Transmission Plan is a new long-term strategic plan for transmission and renewable energy zone development in Victoria.</w:t>
      </w:r>
    </w:p>
    <w:p w14:paraId="24BE93C8" w14:textId="77777777" w:rsidR="00DD1C0A" w:rsidRPr="003654D9" w:rsidRDefault="00DD1C0A" w:rsidP="00DD1C0A">
      <w:pPr>
        <w:pStyle w:val="BodyText"/>
        <w:rPr>
          <w:lang w:val="en-AU"/>
        </w:rPr>
      </w:pPr>
      <w:r w:rsidRPr="003654D9">
        <w:rPr>
          <w:lang w:val="en-AU"/>
        </w:rPr>
        <w:t>This plan will ensure we build the right amount of energy infrastructure in the right places at the right time to support the transition to renewable energy.</w:t>
      </w:r>
    </w:p>
    <w:p w14:paraId="784EC17A" w14:textId="71EAB646" w:rsidR="00DD1C0A" w:rsidRPr="003654D9" w:rsidRDefault="00DD1C0A" w:rsidP="00DD1C0A">
      <w:pPr>
        <w:pStyle w:val="BodyText"/>
        <w:rPr>
          <w:lang w:val="en-AU"/>
        </w:rPr>
      </w:pPr>
      <w:r w:rsidRPr="003654D9">
        <w:rPr>
          <w:lang w:val="en-AU"/>
        </w:rPr>
        <w:t xml:space="preserve">The plan sets out 6 proposed onshore renewable energy zones: </w:t>
      </w:r>
      <w:proofErr w:type="gramStart"/>
      <w:r w:rsidRPr="003654D9">
        <w:rPr>
          <w:lang w:val="en-AU"/>
        </w:rPr>
        <w:t>South West</w:t>
      </w:r>
      <w:proofErr w:type="gramEnd"/>
      <w:r w:rsidRPr="003654D9">
        <w:rPr>
          <w:lang w:val="en-AU"/>
        </w:rPr>
        <w:t xml:space="preserve">, Central Highlands, Western, </w:t>
      </w:r>
      <w:proofErr w:type="gramStart"/>
      <w:r w:rsidRPr="003654D9">
        <w:rPr>
          <w:lang w:val="en-AU"/>
        </w:rPr>
        <w:t>North West</w:t>
      </w:r>
      <w:proofErr w:type="gramEnd"/>
      <w:r w:rsidRPr="003654D9">
        <w:rPr>
          <w:lang w:val="en-AU"/>
        </w:rPr>
        <w:t>, Central North and Gippsland.</w:t>
      </w:r>
    </w:p>
    <w:p w14:paraId="00616740" w14:textId="77777777" w:rsidR="00DD1C0A" w:rsidRPr="003654D9" w:rsidRDefault="00DD1C0A" w:rsidP="00DD1C0A">
      <w:pPr>
        <w:pStyle w:val="BodyText"/>
        <w:rPr>
          <w:lang w:val="en-AU"/>
        </w:rPr>
      </w:pPr>
      <w:r w:rsidRPr="003654D9">
        <w:rPr>
          <w:lang w:val="en-AU"/>
        </w:rPr>
        <w:t>These are the areas identified as most suitable to host new renewable energy generation, such as wind turbines, solar farms, and battery storage.</w:t>
      </w:r>
    </w:p>
    <w:p w14:paraId="33C2B461" w14:textId="145FE375" w:rsidR="00DD1C0A" w:rsidRPr="003654D9" w:rsidRDefault="00DD1C0A" w:rsidP="006B3913">
      <w:pPr>
        <w:pStyle w:val="BodyText"/>
        <w:ind w:right="-427"/>
        <w:rPr>
          <w:lang w:val="en-AU"/>
        </w:rPr>
      </w:pPr>
      <w:r w:rsidRPr="003654D9">
        <w:rPr>
          <w:lang w:val="en-AU"/>
        </w:rPr>
        <w:t>It also sets out the transmission projects that need to be built over the next 15 years to enable Victoria’s energy transition, providing a long-term pipeline of strategic investment opportunities.</w:t>
      </w:r>
    </w:p>
    <w:p w14:paraId="4F8EB492" w14:textId="77777777" w:rsidR="00DD1C0A" w:rsidRPr="003654D9" w:rsidRDefault="00DD1C0A" w:rsidP="00DD1C0A">
      <w:pPr>
        <w:pStyle w:val="BodyText"/>
        <w:rPr>
          <w:lang w:val="en-AU"/>
        </w:rPr>
      </w:pPr>
      <w:r w:rsidRPr="003654D9">
        <w:rPr>
          <w:lang w:val="en-AU"/>
        </w:rPr>
        <w:t xml:space="preserve">The 2025 </w:t>
      </w:r>
      <w:r w:rsidRPr="003654D9">
        <w:rPr>
          <w:i/>
          <w:iCs/>
          <w:lang w:val="en-AU"/>
        </w:rPr>
        <w:t>Victorian Transmission Plan</w:t>
      </w:r>
      <w:r w:rsidRPr="003654D9">
        <w:rPr>
          <w:lang w:val="en-AU"/>
        </w:rPr>
        <w:t xml:space="preserve"> was released in August 2025.</w:t>
      </w:r>
    </w:p>
    <w:p w14:paraId="3ACB791C" w14:textId="77777777" w:rsidR="002C2BAC" w:rsidRDefault="00DD1C0A" w:rsidP="00DD1C0A">
      <w:pPr>
        <w:pStyle w:val="BodyText"/>
        <w:sectPr w:rsidR="002C2BAC" w:rsidSect="006B5F18">
          <w:pgSz w:w="11906" w:h="16838"/>
          <w:pgMar w:top="1134" w:right="1134" w:bottom="1134" w:left="1134" w:header="720" w:footer="454" w:gutter="0"/>
          <w:cols w:space="720"/>
          <w:noEndnote/>
          <w:docGrid w:linePitch="326"/>
        </w:sectPr>
      </w:pPr>
      <w:r w:rsidRPr="003654D9">
        <w:rPr>
          <w:lang w:val="en-AU"/>
        </w:rPr>
        <w:t>For more information, visit:</w:t>
      </w:r>
      <w:r w:rsidR="00BE60C0" w:rsidRPr="003654D9">
        <w:rPr>
          <w:lang w:val="en-AU"/>
        </w:rPr>
        <w:br/>
      </w:r>
      <w:hyperlink r:id="rId20" w:tooltip="Hyperlink to the Energy Victoria website" w:history="1">
        <w:r w:rsidRPr="003654D9">
          <w:rPr>
            <w:rStyle w:val="Hyperlink"/>
            <w:lang w:val="en-AU"/>
          </w:rPr>
          <w:t>energy.vic.gov.au/renewable-energy/vicgrid/the-victorian-transmission-plan</w:t>
        </w:r>
      </w:hyperlink>
    </w:p>
    <w:p w14:paraId="038D2643" w14:textId="77777777" w:rsidR="002C2BAC" w:rsidRDefault="002C2BAC" w:rsidP="002C2BAC">
      <w:pPr>
        <w:pStyle w:val="Caption"/>
        <w:keepNext/>
        <w:spacing w:before="0"/>
        <w:rPr>
          <w:b w:val="0"/>
          <w:bCs/>
        </w:rPr>
      </w:pPr>
      <w:r w:rsidRPr="004B3C04">
        <w:lastRenderedPageBreak/>
        <w:t xml:space="preserve">Figure </w:t>
      </w:r>
      <w:fldSimple w:instr=" SEQ Figure \* ARABIC ">
        <w:r w:rsidRPr="004B3C04">
          <w:t>4</w:t>
        </w:r>
      </w:fldSimple>
      <w:r w:rsidRPr="004B3C04">
        <w:t xml:space="preserve">: </w:t>
      </w:r>
      <w:r w:rsidRPr="004B3C04">
        <w:rPr>
          <w:b w:val="0"/>
          <w:bCs/>
        </w:rPr>
        <w:t>The 6 proposed onshore renewable energy zones</w:t>
      </w:r>
    </w:p>
    <w:p w14:paraId="25438062" w14:textId="02E40390" w:rsidR="002C2BAC" w:rsidRPr="002C2BAC" w:rsidRDefault="00524941" w:rsidP="002C2BAC">
      <w:r>
        <w:rPr>
          <w:noProof/>
        </w:rPr>
        <w:drawing>
          <wp:inline distT="0" distB="0" distL="0" distR="0" wp14:anchorId="0069538E" wp14:editId="1A7509F7">
            <wp:extent cx="9224387" cy="5337707"/>
            <wp:effectExtent l="0" t="0" r="0" b="0"/>
            <wp:docPr id="1309545370" name="Picture 1" descr="6 proposed onshore renewable energy zones: South West, Central Highlands, Western, North West, Central North and Gipp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545370" name="Picture 1" descr="6 proposed onshore renewable energy zones: South West, Central Highlands, Western, North West, Central North and Gippsland."/>
                    <pic:cNvPicPr/>
                  </pic:nvPicPr>
                  <pic:blipFill>
                    <a:blip r:embed="rId21"/>
                    <a:stretch>
                      <a:fillRect/>
                    </a:stretch>
                  </pic:blipFill>
                  <pic:spPr>
                    <a:xfrm>
                      <a:off x="0" y="0"/>
                      <a:ext cx="9268017" cy="5362954"/>
                    </a:xfrm>
                    <a:prstGeom prst="rect">
                      <a:avLst/>
                    </a:prstGeom>
                  </pic:spPr>
                </pic:pic>
              </a:graphicData>
            </a:graphic>
          </wp:inline>
        </w:drawing>
      </w:r>
    </w:p>
    <w:p w14:paraId="4B13C57C" w14:textId="77777777" w:rsidR="002C2BAC" w:rsidRPr="002C2BAC" w:rsidRDefault="002C2BAC" w:rsidP="002C2BAC"/>
    <w:p w14:paraId="25694676" w14:textId="77777777" w:rsidR="002C2BAC" w:rsidRDefault="002C2BAC" w:rsidP="00370565">
      <w:pPr>
        <w:pStyle w:val="Heading1"/>
        <w:pageBreakBefore/>
        <w:rPr>
          <w:lang w:val="en-AU"/>
        </w:rPr>
        <w:sectPr w:rsidR="002C2BAC" w:rsidSect="002C2BAC">
          <w:pgSz w:w="16838" w:h="11906" w:orient="landscape"/>
          <w:pgMar w:top="1134" w:right="1134" w:bottom="1134" w:left="1134" w:header="720" w:footer="454" w:gutter="0"/>
          <w:cols w:space="720"/>
          <w:noEndnote/>
          <w:docGrid w:linePitch="326"/>
        </w:sectPr>
      </w:pPr>
      <w:bookmarkStart w:id="6" w:name="_Toc212113425"/>
    </w:p>
    <w:p w14:paraId="740DFBAE" w14:textId="77777777" w:rsidR="00370565" w:rsidRPr="003654D9" w:rsidRDefault="00370565" w:rsidP="00370565">
      <w:pPr>
        <w:pStyle w:val="Heading1"/>
        <w:pageBreakBefore/>
        <w:rPr>
          <w:lang w:val="en-AU"/>
        </w:rPr>
      </w:pPr>
      <w:r w:rsidRPr="003654D9">
        <w:rPr>
          <w:lang w:val="en-AU"/>
        </w:rPr>
        <w:lastRenderedPageBreak/>
        <w:t>Powering Victoria’s renewable energy future</w:t>
      </w:r>
      <w:bookmarkEnd w:id="6"/>
    </w:p>
    <w:p w14:paraId="577D4868" w14:textId="77777777" w:rsidR="00370565" w:rsidRPr="003654D9" w:rsidRDefault="00370565" w:rsidP="00370565">
      <w:pPr>
        <w:pStyle w:val="Heading2"/>
        <w:rPr>
          <w:lang w:val="en-AU"/>
        </w:rPr>
      </w:pPr>
      <w:r w:rsidRPr="003654D9">
        <w:rPr>
          <w:lang w:val="en-AU"/>
        </w:rPr>
        <w:t>What is SEC?</w:t>
      </w:r>
    </w:p>
    <w:p w14:paraId="7C4FA3E8" w14:textId="77777777" w:rsidR="00370565" w:rsidRPr="003654D9" w:rsidRDefault="00370565" w:rsidP="00370565">
      <w:pPr>
        <w:pStyle w:val="Normalbeforebullets"/>
      </w:pPr>
      <w:r w:rsidRPr="003654D9">
        <w:t>SEC is a government-owned renewable energy company that:</w:t>
      </w:r>
    </w:p>
    <w:p w14:paraId="164FEB3A" w14:textId="77777777" w:rsidR="00370565" w:rsidRPr="003654D9" w:rsidRDefault="00370565" w:rsidP="00370565">
      <w:pPr>
        <w:pStyle w:val="ListBullet"/>
        <w:spacing w:after="60"/>
        <w:rPr>
          <w:lang w:val="en-AU"/>
        </w:rPr>
      </w:pPr>
      <w:r w:rsidRPr="003654D9">
        <w:rPr>
          <w:lang w:val="en-AU"/>
        </w:rPr>
        <w:t>invests in renewable energy and storage projects that accelerate the energy transition and deliver sustainable returns</w:t>
      </w:r>
    </w:p>
    <w:p w14:paraId="12FFD1C9" w14:textId="77777777" w:rsidR="00370565" w:rsidRPr="003654D9" w:rsidRDefault="00370565" w:rsidP="00370565">
      <w:pPr>
        <w:pStyle w:val="ListBullet"/>
        <w:spacing w:after="60"/>
        <w:rPr>
          <w:lang w:val="en-AU"/>
        </w:rPr>
      </w:pPr>
      <w:r w:rsidRPr="003654D9">
        <w:rPr>
          <w:lang w:val="en-AU"/>
        </w:rPr>
        <w:t>retails to government and commercial and industrial businesses</w:t>
      </w:r>
    </w:p>
    <w:p w14:paraId="7B1FCAF5" w14:textId="77777777" w:rsidR="00370565" w:rsidRPr="003654D9" w:rsidRDefault="00370565" w:rsidP="00370565">
      <w:pPr>
        <w:pStyle w:val="ListBullet"/>
        <w:spacing w:after="60"/>
        <w:rPr>
          <w:lang w:val="en-AU"/>
        </w:rPr>
      </w:pPr>
      <w:r w:rsidRPr="003654D9">
        <w:rPr>
          <w:lang w:val="en-AU"/>
        </w:rPr>
        <w:t>supports households to go all-electric to reduce their energy bills and emissions</w:t>
      </w:r>
    </w:p>
    <w:p w14:paraId="0DBA0906" w14:textId="77777777" w:rsidR="00370565" w:rsidRPr="003654D9" w:rsidRDefault="00370565" w:rsidP="00370565">
      <w:pPr>
        <w:pStyle w:val="ListBullet"/>
        <w:rPr>
          <w:lang w:val="en-AU"/>
        </w:rPr>
      </w:pPr>
      <w:r w:rsidRPr="003654D9">
        <w:rPr>
          <w:lang w:val="en-AU"/>
        </w:rPr>
        <w:t>supports the growth of the renewable energy workforce our energy transition requires.</w:t>
      </w:r>
    </w:p>
    <w:p w14:paraId="34F8F3F0" w14:textId="77777777" w:rsidR="00370565" w:rsidRPr="003654D9" w:rsidRDefault="00370565" w:rsidP="00370565">
      <w:pPr>
        <w:pStyle w:val="Heading2"/>
        <w:rPr>
          <w:lang w:val="en-AU"/>
        </w:rPr>
      </w:pPr>
      <w:r w:rsidRPr="003654D9">
        <w:rPr>
          <w:lang w:val="en-AU"/>
        </w:rPr>
        <w:t>How SEC invests:</w:t>
      </w:r>
    </w:p>
    <w:p w14:paraId="4DB2FFF9" w14:textId="77777777" w:rsidR="00370565" w:rsidRPr="003654D9" w:rsidRDefault="00370565" w:rsidP="00370565">
      <w:pPr>
        <w:pStyle w:val="BodyText"/>
        <w:rPr>
          <w:lang w:val="en-AU"/>
        </w:rPr>
      </w:pPr>
      <w:r w:rsidRPr="003654D9">
        <w:rPr>
          <w:lang w:val="en-AU"/>
        </w:rPr>
        <w:t>SEC is investing an initial $1 billion towards delivering 4.5 GW of new renewable energy generation and storage. Its work will ensure Victorian households and businesses continue to have the power they need as we transition to renewable energy.</w:t>
      </w:r>
    </w:p>
    <w:p w14:paraId="6712DFBA" w14:textId="6CCF04B5" w:rsidR="00370565" w:rsidRPr="003654D9" w:rsidRDefault="00370565" w:rsidP="00370565">
      <w:pPr>
        <w:pStyle w:val="BodyText"/>
        <w:rPr>
          <w:lang w:val="en-AU"/>
        </w:rPr>
      </w:pPr>
      <w:r w:rsidRPr="003654D9">
        <w:rPr>
          <w:lang w:val="en-AU"/>
        </w:rPr>
        <w:t>SEC’s investments include opportunities in renewable generation and storage. Utility-scale storage can address critical system gaps and help catalyse investment in large wind and solar generation to replace ageing coal assets.</w:t>
      </w:r>
    </w:p>
    <w:p w14:paraId="5A1DCE77" w14:textId="77777777" w:rsidR="00370565" w:rsidRPr="003654D9" w:rsidRDefault="00370565" w:rsidP="00370565">
      <w:pPr>
        <w:pStyle w:val="BodyText"/>
        <w:rPr>
          <w:lang w:val="en-AU"/>
        </w:rPr>
      </w:pPr>
      <w:r w:rsidRPr="003654D9">
        <w:rPr>
          <w:lang w:val="en-AU"/>
        </w:rPr>
        <w:t>The organisation will also continue to explore emerging technologies, including long duration energy storage opportunities, that accelerate the sector's maturity by enabling high levels of renewable power generation in the power grid. SEC’s investment focus is on achieving sustainable returns while delivering broader benefits to the Victorian public and enabling the market.</w:t>
      </w:r>
    </w:p>
    <w:p w14:paraId="77F19A2B" w14:textId="7E9416F5" w:rsidR="00370565" w:rsidRPr="003654D9" w:rsidRDefault="00370565" w:rsidP="00DD1C0A">
      <w:pPr>
        <w:pStyle w:val="BodyText"/>
        <w:rPr>
          <w:lang w:val="en-AU"/>
        </w:rPr>
      </w:pPr>
      <w:r w:rsidRPr="003654D9">
        <w:rPr>
          <w:lang w:val="en-AU"/>
        </w:rPr>
        <w:t xml:space="preserve">Find more information, visit: </w:t>
      </w:r>
      <w:hyperlink r:id="rId22" w:tooltip="Hyperlink to the State Electricity Commission of Victoria website" w:history="1">
        <w:r w:rsidRPr="003654D9">
          <w:rPr>
            <w:rStyle w:val="Hyperlink"/>
            <w:lang w:val="en-AU"/>
          </w:rPr>
          <w:t>secvictoria.com.au</w:t>
        </w:r>
      </w:hyperlink>
    </w:p>
    <w:p w14:paraId="6B75482E" w14:textId="195A8183" w:rsidR="004D2B01" w:rsidRPr="003654D9" w:rsidRDefault="004D2B01" w:rsidP="003C6686">
      <w:pPr>
        <w:pStyle w:val="Heading1"/>
        <w:pageBreakBefore/>
        <w:spacing w:after="600"/>
        <w:rPr>
          <w:lang w:val="en-AU"/>
        </w:rPr>
      </w:pPr>
      <w:bookmarkStart w:id="7" w:name="_Toc212113426"/>
      <w:r w:rsidRPr="003654D9">
        <w:rPr>
          <w:lang w:val="en-AU"/>
        </w:rPr>
        <w:lastRenderedPageBreak/>
        <w:t>Access to Victoria's world-class renewable energy talent</w:t>
      </w:r>
      <w:bookmarkEnd w:id="7"/>
    </w:p>
    <w:p w14:paraId="284A330F" w14:textId="5CF4941B" w:rsidR="003C6686" w:rsidRPr="003654D9" w:rsidRDefault="003C6686" w:rsidP="003C6686">
      <w:pPr>
        <w:pStyle w:val="Body-Intro"/>
        <w:rPr>
          <w:lang w:val="en-AU"/>
        </w:rPr>
      </w:pPr>
      <w:r w:rsidRPr="003654D9">
        <w:rPr>
          <w:lang w:val="en-AU"/>
        </w:rPr>
        <w:t>Our growing, highly skilled workforce drives project delivery and fosters industry growth. To meet the needs of the sector, the Victorian Government has committed to significant new energy skills and workforce initiatives.</w:t>
      </w:r>
    </w:p>
    <w:p w14:paraId="41959B58" w14:textId="77777777" w:rsidR="003C6686" w:rsidRPr="003654D9" w:rsidRDefault="003C6686" w:rsidP="003C6686">
      <w:pPr>
        <w:pStyle w:val="ListBullet"/>
        <w:rPr>
          <w:lang w:val="en-AU"/>
        </w:rPr>
      </w:pPr>
      <w:r w:rsidRPr="003654D9">
        <w:rPr>
          <w:lang w:val="en-AU"/>
        </w:rPr>
        <w:t xml:space="preserve">Delivering the </w:t>
      </w:r>
      <w:r w:rsidRPr="003654D9">
        <w:rPr>
          <w:i/>
          <w:iCs/>
          <w:lang w:val="en-AU"/>
        </w:rPr>
        <w:t>Victorian Energy Jobs Plan</w:t>
      </w:r>
      <w:r w:rsidRPr="003654D9">
        <w:rPr>
          <w:lang w:val="en-AU"/>
        </w:rPr>
        <w:t>, which seeks to support Victoria’s once-in-a-generation energy transition by setting out actions to mobilise the workforce and grow investment confidence. The Plan identifies key opportunities to support Victoria’s energy workforce, which is projected to increase from 41,000 full time equivalent (FTE) to 67,000 FTE in 2040, a 62% increase.</w:t>
      </w:r>
    </w:p>
    <w:p w14:paraId="23755118" w14:textId="77777777" w:rsidR="003C6686" w:rsidRPr="003654D9" w:rsidRDefault="003C6686" w:rsidP="003C6686">
      <w:pPr>
        <w:pStyle w:val="ListBullet"/>
        <w:rPr>
          <w:lang w:val="en-AU"/>
        </w:rPr>
      </w:pPr>
      <w:r w:rsidRPr="003654D9">
        <w:rPr>
          <w:lang w:val="en-AU"/>
        </w:rPr>
        <w:t xml:space="preserve">Delivering the </w:t>
      </w:r>
      <w:r w:rsidRPr="003654D9">
        <w:rPr>
          <w:i/>
          <w:iCs/>
          <w:lang w:val="en-AU"/>
        </w:rPr>
        <w:t>Women in Energy Strategy</w:t>
      </w:r>
      <w:r w:rsidRPr="003654D9">
        <w:rPr>
          <w:lang w:val="en-AU"/>
        </w:rPr>
        <w:t xml:space="preserve">, which seeks to drive significant change for women in energy through Victoria’s energy transition, including addressing barriers to increasing the number of women in the energy workforce. The Strategy aligns with the </w:t>
      </w:r>
      <w:r w:rsidRPr="003654D9">
        <w:rPr>
          <w:i/>
          <w:iCs/>
          <w:lang w:val="en-AU"/>
        </w:rPr>
        <w:t>Victorian Energy Jobs Plan</w:t>
      </w:r>
      <w:r w:rsidRPr="003654D9">
        <w:rPr>
          <w:lang w:val="en-AU"/>
        </w:rPr>
        <w:t xml:space="preserve"> as well as </w:t>
      </w:r>
      <w:r w:rsidRPr="003654D9">
        <w:rPr>
          <w:i/>
          <w:iCs/>
          <w:lang w:val="en-AU"/>
        </w:rPr>
        <w:t>Our Equal State</w:t>
      </w:r>
      <w:r w:rsidRPr="003654D9">
        <w:rPr>
          <w:lang w:val="en-AU"/>
        </w:rPr>
        <w:t>, which seeks to increase participation by women, economic equity, inclusive and safe workplaces, and education opportunities.</w:t>
      </w:r>
    </w:p>
    <w:p w14:paraId="66B4BC31" w14:textId="77777777" w:rsidR="003C6686" w:rsidRPr="003654D9" w:rsidRDefault="003C6686" w:rsidP="003C6686">
      <w:pPr>
        <w:pStyle w:val="ListBullet"/>
        <w:rPr>
          <w:lang w:val="en-AU"/>
        </w:rPr>
      </w:pPr>
      <w:r w:rsidRPr="003654D9">
        <w:rPr>
          <w:lang w:val="en-AU"/>
        </w:rPr>
        <w:t>Supporting the establishment of the National Training Centre in New Energy Skills based in Melbourne, in partnership with the Australian Government, to train and reskill key workforces needed for the energy transition across Australia.</w:t>
      </w:r>
    </w:p>
    <w:p w14:paraId="3EA47FAA" w14:textId="77777777" w:rsidR="003C6686" w:rsidRPr="003654D9" w:rsidRDefault="003C6686" w:rsidP="003C6686">
      <w:pPr>
        <w:pStyle w:val="LastBulletinList"/>
        <w:rPr>
          <w:lang w:val="en-AU"/>
        </w:rPr>
      </w:pPr>
      <w:r w:rsidRPr="003654D9">
        <w:rPr>
          <w:lang w:val="en-AU"/>
        </w:rPr>
        <w:t>Developing and supporting new energy training pathways through the $7 million for new Vocational Education and Training (VET) qualifications in renewable energy and utilising the $50 million TAFE Clean Energy Fund.</w:t>
      </w:r>
    </w:p>
    <w:p w14:paraId="47C26AC2" w14:textId="77777777" w:rsidR="003C6686" w:rsidRPr="003654D9" w:rsidRDefault="003C6686" w:rsidP="003C6686">
      <w:pPr>
        <w:pStyle w:val="Heading2"/>
        <w:rPr>
          <w:lang w:val="en-AU"/>
        </w:rPr>
      </w:pPr>
      <w:r w:rsidRPr="003654D9">
        <w:rPr>
          <w:lang w:val="en-AU"/>
        </w:rPr>
        <w:lastRenderedPageBreak/>
        <w:t>World-class education and training</w:t>
      </w:r>
    </w:p>
    <w:p w14:paraId="088671B1" w14:textId="77777777" w:rsidR="003C6686" w:rsidRPr="003654D9" w:rsidRDefault="003C6686" w:rsidP="003C6686">
      <w:pPr>
        <w:pStyle w:val="BodyText"/>
        <w:rPr>
          <w:lang w:val="en-AU"/>
        </w:rPr>
      </w:pPr>
      <w:r w:rsidRPr="003654D9">
        <w:rPr>
          <w:lang w:val="en-AU"/>
        </w:rPr>
        <w:t>Victoria has a globally renowned education and training system, including:</w:t>
      </w:r>
    </w:p>
    <w:p w14:paraId="28C44548" w14:textId="77777777" w:rsidR="003C6686" w:rsidRPr="003654D9" w:rsidRDefault="003C6686" w:rsidP="003C6686">
      <w:pPr>
        <w:pStyle w:val="ListBullet"/>
        <w:rPr>
          <w:lang w:val="en-AU"/>
        </w:rPr>
      </w:pPr>
      <w:r w:rsidRPr="003654D9">
        <w:rPr>
          <w:lang w:val="en-AU"/>
        </w:rPr>
        <w:t>2 global ‘Top 40’ universities1</w:t>
      </w:r>
      <w:r w:rsidRPr="003654D9">
        <w:rPr>
          <w:rStyle w:val="FootnoteReference"/>
          <w:lang w:val="en-AU"/>
        </w:rPr>
        <w:footnoteReference w:id="4"/>
      </w:r>
    </w:p>
    <w:p w14:paraId="0CA2948E" w14:textId="77777777" w:rsidR="003C6686" w:rsidRPr="003654D9" w:rsidRDefault="003C6686" w:rsidP="003C6686">
      <w:pPr>
        <w:pStyle w:val="ListBullet"/>
        <w:rPr>
          <w:lang w:val="en-AU"/>
        </w:rPr>
      </w:pPr>
      <w:r w:rsidRPr="003654D9">
        <w:rPr>
          <w:lang w:val="en-AU"/>
        </w:rPr>
        <w:t>8 universities, including 4 dual-sector universities (offering both tertiary and vocational education)</w:t>
      </w:r>
    </w:p>
    <w:p w14:paraId="5429C44E" w14:textId="77777777" w:rsidR="003C6686" w:rsidRPr="003654D9" w:rsidRDefault="003C6686" w:rsidP="003C6686">
      <w:pPr>
        <w:pStyle w:val="ListBullet"/>
        <w:rPr>
          <w:lang w:val="en-AU"/>
        </w:rPr>
      </w:pPr>
      <w:r w:rsidRPr="003654D9">
        <w:rPr>
          <w:lang w:val="en-AU"/>
        </w:rPr>
        <w:t>12 independent technical and further education (TAFE) institutions under a single TAFE network</w:t>
      </w:r>
    </w:p>
    <w:p w14:paraId="20C55170" w14:textId="2FBB0044" w:rsidR="004D2B01" w:rsidRPr="003654D9" w:rsidRDefault="003C6686" w:rsidP="004D2B01">
      <w:pPr>
        <w:pStyle w:val="ListBullet"/>
        <w:rPr>
          <w:lang w:val="en-AU"/>
        </w:rPr>
      </w:pPr>
      <w:r w:rsidRPr="003654D9">
        <w:rPr>
          <w:lang w:val="en-AU"/>
        </w:rPr>
        <w:t>a diverse talent pool with strong growth across the broad range of occupations relevant to the renewable energy sector.</w:t>
      </w:r>
    </w:p>
    <w:p w14:paraId="04C042F2" w14:textId="0F144431" w:rsidR="00F01488" w:rsidRPr="003654D9" w:rsidRDefault="00370565" w:rsidP="00F01488">
      <w:pPr>
        <w:pStyle w:val="Heading1"/>
        <w:pageBreakBefore/>
        <w:ind w:right="-143"/>
        <w:rPr>
          <w:lang w:val="en-AU"/>
        </w:rPr>
      </w:pPr>
      <w:bookmarkStart w:id="8" w:name="_Toc212113427"/>
      <w:r w:rsidRPr="003654D9">
        <w:rPr>
          <w:lang w:val="en-AU"/>
        </w:rPr>
        <w:lastRenderedPageBreak/>
        <w:t>Co-locate with energy storage to maximise output</w:t>
      </w:r>
      <w:bookmarkEnd w:id="8"/>
    </w:p>
    <w:p w14:paraId="2EDA73F7" w14:textId="211BA3F9" w:rsidR="00F01488" w:rsidRPr="003654D9" w:rsidRDefault="00370565" w:rsidP="00F01488">
      <w:pPr>
        <w:pStyle w:val="Body-Intro"/>
        <w:rPr>
          <w:lang w:val="en-AU"/>
        </w:rPr>
      </w:pPr>
      <w:r w:rsidRPr="003654D9">
        <w:rPr>
          <w:lang w:val="en-AU"/>
        </w:rPr>
        <w:t>Pairing renewable generation with storage assets can boost revenue, reduce costs and provide the potential to leverage existing development sites</w:t>
      </w:r>
      <w:r w:rsidR="00F01488" w:rsidRPr="003654D9">
        <w:rPr>
          <w:lang w:val="en-AU"/>
        </w:rPr>
        <w:t>.</w:t>
      </w:r>
    </w:p>
    <w:p w14:paraId="48591281" w14:textId="77777777" w:rsidR="00370565" w:rsidRPr="003654D9" w:rsidRDefault="00370565" w:rsidP="00370565">
      <w:pPr>
        <w:pStyle w:val="Heading2"/>
        <w:rPr>
          <w:lang w:val="en-AU"/>
        </w:rPr>
      </w:pPr>
      <w:r w:rsidRPr="003654D9">
        <w:rPr>
          <w:lang w:val="en-AU"/>
        </w:rPr>
        <w:t>Energy storage targets</w:t>
      </w:r>
    </w:p>
    <w:p w14:paraId="1C27C598" w14:textId="77777777" w:rsidR="00370565" w:rsidRPr="003654D9" w:rsidRDefault="00370565" w:rsidP="00370565">
      <w:pPr>
        <w:pStyle w:val="Normalbeforebullets"/>
      </w:pPr>
      <w:r w:rsidRPr="003654D9">
        <w:t>Victoria has set energy storage targets of:</w:t>
      </w:r>
    </w:p>
    <w:p w14:paraId="3CD40CD2" w14:textId="77777777" w:rsidR="00370565" w:rsidRPr="003654D9" w:rsidRDefault="00370565" w:rsidP="00370565">
      <w:pPr>
        <w:pStyle w:val="ListBullet"/>
        <w:rPr>
          <w:lang w:val="en-AU"/>
        </w:rPr>
      </w:pPr>
      <w:r w:rsidRPr="003654D9">
        <w:rPr>
          <w:lang w:val="en-AU"/>
        </w:rPr>
        <w:t>at least 2.6 GW of energy storage capacity by 2030</w:t>
      </w:r>
    </w:p>
    <w:p w14:paraId="2DFC9B66" w14:textId="77777777" w:rsidR="00370565" w:rsidRPr="003654D9" w:rsidRDefault="00370565" w:rsidP="00370565">
      <w:pPr>
        <w:pStyle w:val="ListBullet"/>
        <w:rPr>
          <w:lang w:val="en-AU"/>
        </w:rPr>
      </w:pPr>
      <w:r w:rsidRPr="003654D9">
        <w:rPr>
          <w:lang w:val="en-AU"/>
        </w:rPr>
        <w:t>at least 6.3 GW by 2035.</w:t>
      </w:r>
    </w:p>
    <w:p w14:paraId="4EE259FE" w14:textId="77777777" w:rsidR="00370565" w:rsidRPr="003654D9" w:rsidRDefault="00370565" w:rsidP="00370565">
      <w:pPr>
        <w:pStyle w:val="BodyText"/>
        <w:rPr>
          <w:lang w:val="en-AU"/>
        </w:rPr>
      </w:pPr>
      <w:r w:rsidRPr="003654D9">
        <w:rPr>
          <w:lang w:val="en-AU"/>
        </w:rPr>
        <w:t>These energy storage targets will include short, medium and long-duration energy storage systems.</w:t>
      </w:r>
    </w:p>
    <w:p w14:paraId="5CA3391E" w14:textId="25B8F17B" w:rsidR="00370565" w:rsidRPr="003654D9" w:rsidRDefault="00370565" w:rsidP="00370565">
      <w:pPr>
        <w:pStyle w:val="BodyText"/>
        <w:rPr>
          <w:lang w:val="en-AU"/>
        </w:rPr>
      </w:pPr>
      <w:r w:rsidRPr="003654D9">
        <w:rPr>
          <w:lang w:val="en-AU"/>
        </w:rPr>
        <w:t>For more information, visit:</w:t>
      </w:r>
      <w:r w:rsidRPr="003654D9">
        <w:rPr>
          <w:lang w:val="en-AU"/>
        </w:rPr>
        <w:br/>
      </w:r>
      <w:hyperlink r:id="rId23" w:tooltip="Hyperlink to Energy Victoria website" w:history="1">
        <w:r w:rsidRPr="003654D9">
          <w:rPr>
            <w:rStyle w:val="Hyperlink"/>
            <w:lang w:val="en-AU"/>
          </w:rPr>
          <w:t>energy.vic.gov.au/renewable-energy/victorian-renewable-energy-and-storage-targets</w:t>
        </w:r>
      </w:hyperlink>
    </w:p>
    <w:p w14:paraId="17660A01" w14:textId="78174F24" w:rsidR="00F01488" w:rsidRPr="003654D9" w:rsidRDefault="00370565" w:rsidP="00370565">
      <w:pPr>
        <w:pStyle w:val="BodyText"/>
        <w:rPr>
          <w:lang w:val="en-AU"/>
        </w:rPr>
      </w:pPr>
      <w:r w:rsidRPr="003654D9">
        <w:rPr>
          <w:lang w:val="en-AU"/>
        </w:rPr>
        <w:t>For more information on Victoria's energy storage sector visit:</w:t>
      </w:r>
      <w:r w:rsidRPr="003654D9">
        <w:rPr>
          <w:lang w:val="en-AU"/>
        </w:rPr>
        <w:br/>
      </w:r>
      <w:hyperlink r:id="rId24" w:tooltip="Hyperlink to Energy Victoria website" w:history="1">
        <w:r w:rsidRPr="003654D9">
          <w:rPr>
            <w:rStyle w:val="Hyperlink"/>
            <w:lang w:val="en-AU"/>
          </w:rPr>
          <w:t>energy.vic.gov.au/for-industry/investment-opportunities</w:t>
        </w:r>
      </w:hyperlink>
    </w:p>
    <w:p w14:paraId="448A8B0B" w14:textId="097EEAF3" w:rsidR="00F01488" w:rsidRPr="003654D9" w:rsidRDefault="007F515F" w:rsidP="007F515F">
      <w:pPr>
        <w:pStyle w:val="Heading2"/>
        <w:rPr>
          <w:lang w:val="en-AU"/>
        </w:rPr>
      </w:pPr>
      <w:r w:rsidRPr="003654D9">
        <w:rPr>
          <w:lang w:val="en-AU"/>
        </w:rPr>
        <w:t xml:space="preserve">Case study: </w:t>
      </w:r>
      <w:proofErr w:type="spellStart"/>
      <w:r w:rsidR="00370565" w:rsidRPr="003654D9">
        <w:rPr>
          <w:b w:val="0"/>
          <w:bCs w:val="0"/>
          <w:lang w:val="en-AU"/>
        </w:rPr>
        <w:t>Dundonnell</w:t>
      </w:r>
      <w:proofErr w:type="spellEnd"/>
      <w:r w:rsidR="00370565" w:rsidRPr="003654D9">
        <w:rPr>
          <w:b w:val="0"/>
          <w:bCs w:val="0"/>
          <w:lang w:val="en-AU"/>
        </w:rPr>
        <w:t xml:space="preserve"> Wind Farm</w:t>
      </w:r>
    </w:p>
    <w:p w14:paraId="2D664FEF" w14:textId="2DE2AF7E" w:rsidR="00370565" w:rsidRPr="003654D9" w:rsidRDefault="00370565" w:rsidP="00370565">
      <w:pPr>
        <w:pStyle w:val="BodyText"/>
        <w:rPr>
          <w:lang w:val="en-AU"/>
        </w:rPr>
      </w:pPr>
      <w:r w:rsidRPr="003654D9">
        <w:rPr>
          <w:lang w:val="en-AU"/>
        </w:rPr>
        <w:t xml:space="preserve">The 336 MW </w:t>
      </w:r>
      <w:proofErr w:type="spellStart"/>
      <w:r w:rsidRPr="003654D9">
        <w:rPr>
          <w:lang w:val="en-AU"/>
        </w:rPr>
        <w:t>Dundonnell</w:t>
      </w:r>
      <w:proofErr w:type="spellEnd"/>
      <w:r w:rsidRPr="003654D9">
        <w:rPr>
          <w:lang w:val="en-AU"/>
        </w:rPr>
        <w:t xml:space="preserve"> Wind Farm is located near Mortlake, in Western Victoria. The $560 million project was successful under the Victorian Renewable Energy Target auction scheme round 1 (VRET1) and was awarded a support agreement with the Victorian Government in late 2018. In March 2020, it was the first of the VRET1 projects to generate electricity.</w:t>
      </w:r>
    </w:p>
    <w:p w14:paraId="491560E3" w14:textId="6C734CE3" w:rsidR="00370565" w:rsidRPr="003654D9" w:rsidRDefault="00370565" w:rsidP="00370565">
      <w:pPr>
        <w:pStyle w:val="BodyText"/>
        <w:rPr>
          <w:lang w:val="en-AU"/>
        </w:rPr>
      </w:pPr>
      <w:r w:rsidRPr="003654D9">
        <w:rPr>
          <w:lang w:val="en-AU"/>
        </w:rPr>
        <w:lastRenderedPageBreak/>
        <w:t>The project includes 80 wind turbines, each one 4.2 MW.</w:t>
      </w:r>
    </w:p>
    <w:p w14:paraId="5432AEDE" w14:textId="1E5991AF" w:rsidR="00370565" w:rsidRPr="003654D9" w:rsidRDefault="00370565" w:rsidP="00370565">
      <w:pPr>
        <w:pStyle w:val="BodyText"/>
        <w:rPr>
          <w:lang w:val="en-AU"/>
        </w:rPr>
      </w:pPr>
      <w:r w:rsidRPr="003654D9">
        <w:rPr>
          <w:lang w:val="en-AU"/>
        </w:rPr>
        <w:t xml:space="preserve">The </w:t>
      </w:r>
      <w:proofErr w:type="spellStart"/>
      <w:r w:rsidRPr="003654D9">
        <w:rPr>
          <w:lang w:val="en-AU"/>
        </w:rPr>
        <w:t>Dundonnell</w:t>
      </w:r>
      <w:proofErr w:type="spellEnd"/>
      <w:r w:rsidRPr="003654D9">
        <w:rPr>
          <w:lang w:val="en-AU"/>
        </w:rPr>
        <w:t xml:space="preserve"> Wind Farm can produce enough clean energy each year to power about 245,000 homes.</w:t>
      </w:r>
    </w:p>
    <w:p w14:paraId="376B62A6" w14:textId="6D36ABBB" w:rsidR="00370565" w:rsidRPr="003654D9" w:rsidRDefault="00370565" w:rsidP="00370565">
      <w:pPr>
        <w:pStyle w:val="BodyText"/>
        <w:rPr>
          <w:lang w:val="en-AU"/>
        </w:rPr>
      </w:pPr>
      <w:r w:rsidRPr="003654D9">
        <w:rPr>
          <w:lang w:val="en-AU"/>
        </w:rPr>
        <w:t>Project owner Tilt Renewables was the recipient of the Clean Energy Council’s 2020 Community Engagement Award for its extensive and tailored engagement and benefit sharing programs which address key social, economic and environmental needs of the local community and surrounding region.</w:t>
      </w:r>
    </w:p>
    <w:p w14:paraId="6404F12C" w14:textId="33E07D0D" w:rsidR="00F01488" w:rsidRPr="003654D9" w:rsidRDefault="00370565" w:rsidP="00370565">
      <w:pPr>
        <w:pStyle w:val="BodyText"/>
        <w:rPr>
          <w:lang w:val="en-AU"/>
        </w:rPr>
      </w:pPr>
      <w:r w:rsidRPr="003654D9">
        <w:rPr>
          <w:lang w:val="en-AU"/>
        </w:rPr>
        <w:t xml:space="preserve">For more information, visit: </w:t>
      </w:r>
      <w:hyperlink r:id="rId25" w:tooltip="Hyperlink to Tilt Renewables website" w:history="1">
        <w:r w:rsidRPr="003654D9">
          <w:rPr>
            <w:rStyle w:val="Hyperlink"/>
            <w:lang w:val="en-AU"/>
          </w:rPr>
          <w:t>tiltrenewables.com/portfolio/</w:t>
        </w:r>
        <w:proofErr w:type="spellStart"/>
        <w:r w:rsidRPr="003654D9">
          <w:rPr>
            <w:rStyle w:val="Hyperlink"/>
            <w:lang w:val="en-AU"/>
          </w:rPr>
          <w:t>dundonnell</w:t>
        </w:r>
        <w:proofErr w:type="spellEnd"/>
        <w:r w:rsidRPr="003654D9">
          <w:rPr>
            <w:rStyle w:val="Hyperlink"/>
            <w:lang w:val="en-AU"/>
          </w:rPr>
          <w:t>-wind-farm</w:t>
        </w:r>
      </w:hyperlink>
    </w:p>
    <w:p w14:paraId="30CFCBC3" w14:textId="567932CA" w:rsidR="00370565" w:rsidRPr="003654D9" w:rsidRDefault="00370565" w:rsidP="00370565">
      <w:pPr>
        <w:pStyle w:val="Heading2"/>
        <w:rPr>
          <w:lang w:val="en-AU"/>
        </w:rPr>
      </w:pPr>
      <w:r w:rsidRPr="003654D9">
        <w:rPr>
          <w:lang w:val="en-AU"/>
        </w:rPr>
        <w:t xml:space="preserve">Case study: </w:t>
      </w:r>
      <w:proofErr w:type="spellStart"/>
      <w:r w:rsidR="00C7041B" w:rsidRPr="003654D9">
        <w:rPr>
          <w:b w:val="0"/>
          <w:bCs w:val="0"/>
          <w:lang w:val="en-AU"/>
        </w:rPr>
        <w:t>Bulgana</w:t>
      </w:r>
      <w:proofErr w:type="spellEnd"/>
      <w:r w:rsidR="00C7041B" w:rsidRPr="003654D9">
        <w:rPr>
          <w:b w:val="0"/>
          <w:bCs w:val="0"/>
          <w:lang w:val="en-AU"/>
        </w:rPr>
        <w:t xml:space="preserve"> Green Power Hub</w:t>
      </w:r>
    </w:p>
    <w:p w14:paraId="0A4E01B0" w14:textId="77777777" w:rsidR="00C7041B" w:rsidRPr="003654D9" w:rsidRDefault="00C7041B" w:rsidP="00C7041B">
      <w:pPr>
        <w:pStyle w:val="BodyText"/>
        <w:rPr>
          <w:lang w:val="en-AU"/>
        </w:rPr>
      </w:pPr>
      <w:r w:rsidRPr="003654D9">
        <w:rPr>
          <w:lang w:val="en-AU"/>
        </w:rPr>
        <w:t xml:space="preserve">In December 2017, the Victorian Government signed a 15-year support agreement with </w:t>
      </w:r>
      <w:proofErr w:type="spellStart"/>
      <w:r w:rsidRPr="003654D9">
        <w:rPr>
          <w:lang w:val="en-AU"/>
        </w:rPr>
        <w:t>Neoen</w:t>
      </w:r>
      <w:proofErr w:type="spellEnd"/>
      <w:r w:rsidRPr="003654D9">
        <w:rPr>
          <w:lang w:val="en-AU"/>
        </w:rPr>
        <w:t xml:space="preserve"> Australia to deliver the </w:t>
      </w:r>
      <w:proofErr w:type="spellStart"/>
      <w:r w:rsidRPr="003654D9">
        <w:rPr>
          <w:lang w:val="en-AU"/>
        </w:rPr>
        <w:t>Bulgana</w:t>
      </w:r>
      <w:proofErr w:type="spellEnd"/>
      <w:r w:rsidRPr="003654D9">
        <w:rPr>
          <w:lang w:val="en-AU"/>
        </w:rPr>
        <w:t xml:space="preserve"> Green Power Hub. The hub is in the Wimmera region of central-western Victoria, about 200km North-west of Melbourne and 11km North-east of Stawell. It consists of a 56 turbine, 204 MW wind farm and a 20 MW/34 MWh Tesla lithium-ion battery – supplying around 750,000 MWh of renewable electricity each year</w:t>
      </w:r>
    </w:p>
    <w:p w14:paraId="1617F99D" w14:textId="373CB405" w:rsidR="00370565" w:rsidRPr="003654D9" w:rsidRDefault="00C7041B" w:rsidP="00C7041B">
      <w:pPr>
        <w:pStyle w:val="BodyText"/>
        <w:spacing w:after="720"/>
        <w:rPr>
          <w:lang w:val="en-AU"/>
        </w:rPr>
      </w:pPr>
      <w:r w:rsidRPr="003654D9">
        <w:rPr>
          <w:lang w:val="en-AU"/>
        </w:rPr>
        <w:t xml:space="preserve">For more information, visit: </w:t>
      </w:r>
      <w:hyperlink r:id="rId26" w:tooltip="Hyperlink to Bulgana Green Power Hub website" w:history="1">
        <w:r w:rsidRPr="003654D9">
          <w:rPr>
            <w:rStyle w:val="Hyperlink"/>
            <w:lang w:val="en-AU"/>
          </w:rPr>
          <w:t>bulganagreenpowerhub.com.au</w:t>
        </w:r>
      </w:hyperlink>
    </w:p>
    <w:p w14:paraId="6D8D185A" w14:textId="656717DF" w:rsidR="00C7041B" w:rsidRPr="003654D9" w:rsidRDefault="00C7041B" w:rsidP="00C7041B">
      <w:pPr>
        <w:pStyle w:val="BodyText"/>
        <w:rPr>
          <w:lang w:val="en-AU"/>
        </w:rPr>
      </w:pPr>
      <w:r w:rsidRPr="003654D9">
        <w:rPr>
          <w:lang w:val="en-AU"/>
        </w:rPr>
        <w:t xml:space="preserve">“Victoria is blessed with a world class wind </w:t>
      </w:r>
      <w:proofErr w:type="gramStart"/>
      <w:r w:rsidRPr="003654D9">
        <w:rPr>
          <w:lang w:val="en-AU"/>
        </w:rPr>
        <w:t>resource</w:t>
      </w:r>
      <w:proofErr w:type="gramEnd"/>
      <w:r w:rsidRPr="003654D9">
        <w:rPr>
          <w:lang w:val="en-AU"/>
        </w:rPr>
        <w:t xml:space="preserve"> and the Golden Plains Wind Farm site is traversed by a double circuit 500 kV transmission line, giving it one of the strongest and most reliable connection points into the national electricity network in the country”</w:t>
      </w:r>
    </w:p>
    <w:p w14:paraId="6EA4CFD9" w14:textId="58EC173A" w:rsidR="00C7041B" w:rsidRPr="003654D9" w:rsidRDefault="00C7041B" w:rsidP="00C7041B">
      <w:pPr>
        <w:pStyle w:val="BodyText"/>
        <w:rPr>
          <w:lang w:val="en-AU"/>
        </w:rPr>
      </w:pPr>
      <w:r w:rsidRPr="003654D9">
        <w:rPr>
          <w:lang w:val="en-AU"/>
        </w:rPr>
        <w:t>Westwind Energy</w:t>
      </w:r>
    </w:p>
    <w:p w14:paraId="0671D688" w14:textId="4E69BAD7" w:rsidR="007F515F" w:rsidRPr="003654D9" w:rsidRDefault="00C7041B" w:rsidP="00C7041B">
      <w:pPr>
        <w:pStyle w:val="Heading1"/>
        <w:pageBreakBefore/>
        <w:rPr>
          <w:lang w:val="en-AU"/>
        </w:rPr>
      </w:pPr>
      <w:bookmarkStart w:id="9" w:name="_Toc212113428"/>
      <w:r w:rsidRPr="003654D9">
        <w:rPr>
          <w:lang w:val="en-AU"/>
        </w:rPr>
        <w:lastRenderedPageBreak/>
        <w:t>A world class supply chain to support</w:t>
      </w:r>
      <w:r w:rsidR="006A026F" w:rsidRPr="003654D9">
        <w:rPr>
          <w:lang w:val="en-AU"/>
        </w:rPr>
        <w:t xml:space="preserve"> </w:t>
      </w:r>
      <w:r w:rsidRPr="003654D9">
        <w:rPr>
          <w:lang w:val="en-AU"/>
        </w:rPr>
        <w:t>a</w:t>
      </w:r>
      <w:r w:rsidR="006A026F" w:rsidRPr="003654D9">
        <w:rPr>
          <w:lang w:val="en-AU"/>
        </w:rPr>
        <w:t> </w:t>
      </w:r>
      <w:r w:rsidRPr="003654D9">
        <w:rPr>
          <w:lang w:val="en-AU"/>
        </w:rPr>
        <w:t>thriving wind industry</w:t>
      </w:r>
      <w:bookmarkEnd w:id="9"/>
    </w:p>
    <w:p w14:paraId="4C351B9D" w14:textId="77777777" w:rsidR="00C7041B" w:rsidRPr="003654D9" w:rsidRDefault="00C7041B" w:rsidP="006A026F">
      <w:pPr>
        <w:pStyle w:val="Body-Intro"/>
        <w:rPr>
          <w:lang w:val="en-AU"/>
        </w:rPr>
      </w:pPr>
      <w:r w:rsidRPr="003654D9">
        <w:rPr>
          <w:lang w:val="en-AU"/>
        </w:rPr>
        <w:t>Victoria’s wind farm manufacturing and supply chain capabilities have been growing progressively since the early 2000s, meaning that local businesses are well-equipped to contribute to project development across the entire supply chain.</w:t>
      </w:r>
    </w:p>
    <w:p w14:paraId="2C7122C3" w14:textId="77777777" w:rsidR="00C7041B" w:rsidRPr="003654D9" w:rsidRDefault="00C7041B" w:rsidP="006A026F">
      <w:pPr>
        <w:pStyle w:val="BodyText"/>
        <w:rPr>
          <w:lang w:val="en-AU"/>
        </w:rPr>
      </w:pPr>
      <w:r w:rsidRPr="003654D9">
        <w:rPr>
          <w:lang w:val="en-AU"/>
        </w:rPr>
        <w:t>Victoria is also home to a wide range of specialist manufacturing, research and development facilities that keep the state at the cutting edge of Australian manufacturing innovation.</w:t>
      </w:r>
    </w:p>
    <w:p w14:paraId="05D7DD8F" w14:textId="77777777" w:rsidR="006A026F" w:rsidRPr="003654D9" w:rsidRDefault="006A026F" w:rsidP="006A026F">
      <w:pPr>
        <w:pStyle w:val="Heading2"/>
        <w:rPr>
          <w:lang w:val="en-AU"/>
        </w:rPr>
      </w:pPr>
      <w:r w:rsidRPr="003654D9">
        <w:rPr>
          <w:lang w:val="en-AU"/>
        </w:rPr>
        <w:t>Manufacturing Opportunity</w:t>
      </w:r>
    </w:p>
    <w:p w14:paraId="129333C2" w14:textId="2A97EF6A" w:rsidR="006A026F" w:rsidRPr="003654D9" w:rsidRDefault="006A026F" w:rsidP="006A026F">
      <w:pPr>
        <w:pStyle w:val="BodyText"/>
        <w:rPr>
          <w:lang w:val="en-AU"/>
        </w:rPr>
      </w:pPr>
      <w:r w:rsidRPr="003654D9">
        <w:rPr>
          <w:lang w:val="en-AU"/>
        </w:rPr>
        <w:t>Victoria is estimated to need an additional 1,100 onshore wind turbines by 2035.</w:t>
      </w:r>
      <w:r w:rsidR="00BE60C0" w:rsidRPr="003654D9">
        <w:rPr>
          <w:rStyle w:val="FootnoteReference"/>
          <w:lang w:val="en-AU"/>
        </w:rPr>
        <w:footnoteReference w:id="5"/>
      </w:r>
      <w:r w:rsidRPr="003654D9">
        <w:rPr>
          <w:lang w:val="en-AU"/>
        </w:rPr>
        <w:t xml:space="preserve"> Initial Victorian demand for turbines creates a foundation for providing original equipment manufacturers with long-term pipeline certainty.</w:t>
      </w:r>
    </w:p>
    <w:p w14:paraId="7F7DD1E2" w14:textId="3F0BB847" w:rsidR="006A026F" w:rsidRPr="003654D9" w:rsidRDefault="006A026F" w:rsidP="006A026F">
      <w:pPr>
        <w:pStyle w:val="Heading2"/>
        <w:rPr>
          <w:lang w:val="en-AU"/>
        </w:rPr>
      </w:pPr>
      <w:r w:rsidRPr="003654D9">
        <w:rPr>
          <w:lang w:val="en-AU"/>
        </w:rPr>
        <w:t>Mining to manufacturing opportunities</w:t>
      </w:r>
    </w:p>
    <w:p w14:paraId="18E9D7D2" w14:textId="77777777" w:rsidR="006A026F" w:rsidRPr="003654D9" w:rsidRDefault="006A026F" w:rsidP="006A026F">
      <w:pPr>
        <w:pStyle w:val="BodyText"/>
        <w:rPr>
          <w:lang w:val="en-AU"/>
        </w:rPr>
      </w:pPr>
      <w:r w:rsidRPr="003654D9">
        <w:rPr>
          <w:lang w:val="en-AU"/>
        </w:rPr>
        <w:t>Australia is home to some of the largest recoverable critical mineral deposits on earth, including high-quality cobalt, lithium, manganese, rare-earth elements, tungsten and vanadium.</w:t>
      </w:r>
    </w:p>
    <w:p w14:paraId="5E094B69" w14:textId="77777777" w:rsidR="006A026F" w:rsidRPr="003654D9" w:rsidRDefault="006A026F" w:rsidP="006A026F">
      <w:pPr>
        <w:pStyle w:val="BodyText"/>
        <w:rPr>
          <w:lang w:val="en-AU"/>
        </w:rPr>
      </w:pPr>
      <w:r w:rsidRPr="003654D9">
        <w:rPr>
          <w:lang w:val="en-AU"/>
        </w:rPr>
        <w:lastRenderedPageBreak/>
        <w:t>There is the option to refine critical minerals near their source or co-locate a refinery with manufacturing in Victoria.</w:t>
      </w:r>
    </w:p>
    <w:p w14:paraId="259ED6DC" w14:textId="3FA955B5" w:rsidR="006A026F" w:rsidRPr="003654D9" w:rsidRDefault="006A026F" w:rsidP="006A026F">
      <w:pPr>
        <w:pStyle w:val="BodyText"/>
        <w:rPr>
          <w:lang w:val="en-AU"/>
        </w:rPr>
      </w:pPr>
      <w:r w:rsidRPr="003654D9">
        <w:rPr>
          <w:lang w:val="en-AU"/>
        </w:rPr>
        <w:t>The North-west region of Victoria hosts globally significant deposits of mineral sands, including rare-earth elements in high demand as inputs to the permanent magnets utilised in electric vehicles and wind turbines.</w:t>
      </w:r>
    </w:p>
    <w:p w14:paraId="59A575FC" w14:textId="77777777" w:rsidR="006A026F" w:rsidRPr="003654D9" w:rsidRDefault="006A026F" w:rsidP="006A026F">
      <w:pPr>
        <w:pStyle w:val="Normalbeforebullets"/>
      </w:pPr>
      <w:r w:rsidRPr="003654D9">
        <w:t>Victoria has:</w:t>
      </w:r>
    </w:p>
    <w:p w14:paraId="3BAC2A00" w14:textId="77777777" w:rsidR="006A026F" w:rsidRPr="003654D9" w:rsidRDefault="006A026F" w:rsidP="006A026F">
      <w:pPr>
        <w:pStyle w:val="ListBullet"/>
        <w:rPr>
          <w:lang w:val="en-AU"/>
        </w:rPr>
      </w:pPr>
      <w:r w:rsidRPr="003654D9">
        <w:rPr>
          <w:lang w:val="en-AU"/>
        </w:rPr>
        <w:t>22% of Australia’s ilmenite (~7% of global economically demonstrated resource)</w:t>
      </w:r>
    </w:p>
    <w:p w14:paraId="56D41997" w14:textId="77777777" w:rsidR="006A026F" w:rsidRPr="003654D9" w:rsidRDefault="006A026F" w:rsidP="006A026F">
      <w:pPr>
        <w:pStyle w:val="ListBullet"/>
        <w:rPr>
          <w:lang w:val="en-AU"/>
        </w:rPr>
      </w:pPr>
      <w:r w:rsidRPr="003654D9">
        <w:rPr>
          <w:lang w:val="en-AU"/>
        </w:rPr>
        <w:t>51% of Australia’s rutile (~32% of global economically demonstrated resource)</w:t>
      </w:r>
    </w:p>
    <w:p w14:paraId="21E69CA9" w14:textId="77777777" w:rsidR="006A026F" w:rsidRPr="003654D9" w:rsidRDefault="006A026F" w:rsidP="006A026F">
      <w:pPr>
        <w:pStyle w:val="LastBulletinList"/>
        <w:rPr>
          <w:lang w:val="en-AU"/>
        </w:rPr>
      </w:pPr>
      <w:r w:rsidRPr="003654D9">
        <w:rPr>
          <w:lang w:val="en-AU"/>
        </w:rPr>
        <w:t>39% of Australia’s zircon (~27% of global economically demonstrated resource).</w:t>
      </w:r>
    </w:p>
    <w:p w14:paraId="2714BAF7" w14:textId="77777777" w:rsidR="006A026F" w:rsidRPr="003654D9" w:rsidRDefault="006A026F" w:rsidP="006A026F">
      <w:pPr>
        <w:pStyle w:val="Heading3"/>
        <w:rPr>
          <w:lang w:val="en-AU"/>
        </w:rPr>
      </w:pPr>
      <w:r w:rsidRPr="003654D9">
        <w:rPr>
          <w:lang w:val="en-AU"/>
        </w:rPr>
        <w:t>Victoria’s Critical Mineral Roadmap</w:t>
      </w:r>
    </w:p>
    <w:p w14:paraId="615558B7" w14:textId="77777777" w:rsidR="006A026F" w:rsidRPr="003654D9" w:rsidRDefault="006A026F" w:rsidP="006A026F">
      <w:pPr>
        <w:pStyle w:val="BodyText"/>
        <w:rPr>
          <w:lang w:val="en-AU"/>
        </w:rPr>
      </w:pPr>
      <w:r w:rsidRPr="003654D9">
        <w:rPr>
          <w:lang w:val="en-AU"/>
        </w:rPr>
        <w:t>The Victorian Government has released its Critical Mineral Roadmap, which creates the foundations for a coordinated and integrated approach to foster this new industry – tailored to Victoria.</w:t>
      </w:r>
    </w:p>
    <w:p w14:paraId="6E0A71FF" w14:textId="5E49D964" w:rsidR="007F515F" w:rsidRPr="003654D9" w:rsidRDefault="006A026F" w:rsidP="00C7041B">
      <w:pPr>
        <w:pStyle w:val="BodyText"/>
        <w:rPr>
          <w:lang w:val="en-AU"/>
        </w:rPr>
      </w:pPr>
      <w:r w:rsidRPr="003654D9">
        <w:rPr>
          <w:lang w:val="en-AU"/>
        </w:rPr>
        <w:t xml:space="preserve">For more information, visit: </w:t>
      </w:r>
      <w:hyperlink r:id="rId27" w:tooltip="Hyperlink to the Resources Victoria website" w:history="1">
        <w:r w:rsidRPr="003654D9">
          <w:rPr>
            <w:rStyle w:val="Hyperlink"/>
            <w:lang w:val="en-AU"/>
          </w:rPr>
          <w:t>resources.vic.gov.au/critical-minerals</w:t>
        </w:r>
      </w:hyperlink>
    </w:p>
    <w:p w14:paraId="745E13BC" w14:textId="5C9109E2" w:rsidR="004120AC" w:rsidRPr="003654D9" w:rsidRDefault="004120AC" w:rsidP="004120AC">
      <w:pPr>
        <w:pStyle w:val="Heading1"/>
        <w:pageBreakBefore/>
        <w:rPr>
          <w:lang w:val="en-AU"/>
        </w:rPr>
      </w:pPr>
      <w:bookmarkStart w:id="10" w:name="_Toc212113429"/>
      <w:r w:rsidRPr="003654D9">
        <w:rPr>
          <w:lang w:val="en-AU"/>
        </w:rPr>
        <w:lastRenderedPageBreak/>
        <w:t>Key Victorian Government entities</w:t>
      </w:r>
      <w:bookmarkEnd w:id="10"/>
    </w:p>
    <w:p w14:paraId="6BE115D9" w14:textId="5AF4ADF6" w:rsidR="004120AC" w:rsidRPr="003654D9" w:rsidRDefault="004120AC" w:rsidP="004120AC">
      <w:pPr>
        <w:pStyle w:val="Body-Intro"/>
        <w:rPr>
          <w:lang w:val="en-AU"/>
        </w:rPr>
      </w:pPr>
      <w:r w:rsidRPr="003654D9">
        <w:rPr>
          <w:lang w:val="en-AU"/>
        </w:rPr>
        <w:t>We can help facilitate connections with key Victorian Government entities and industry members across our renewable energy sector.</w:t>
      </w:r>
    </w:p>
    <w:p w14:paraId="32046C50" w14:textId="39733351" w:rsidR="004120AC" w:rsidRPr="003654D9" w:rsidRDefault="004120AC" w:rsidP="005B21DE">
      <w:pPr>
        <w:pStyle w:val="Heading2"/>
        <w:spacing w:after="240"/>
        <w:rPr>
          <w:lang w:val="en-AU"/>
        </w:rPr>
      </w:pPr>
      <w:r w:rsidRPr="003654D9">
        <w:rPr>
          <w:lang w:val="en-AU"/>
        </w:rPr>
        <w:t>Department of Energy, Environment and</w:t>
      </w:r>
      <w:r w:rsidR="006A026F" w:rsidRPr="003654D9">
        <w:rPr>
          <w:lang w:val="en-AU"/>
        </w:rPr>
        <w:t> </w:t>
      </w:r>
      <w:r w:rsidRPr="003654D9">
        <w:rPr>
          <w:lang w:val="en-AU"/>
        </w:rPr>
        <w:t>Climate Action (DEECA)</w:t>
      </w:r>
    </w:p>
    <w:p w14:paraId="6EBC197E" w14:textId="77777777" w:rsidR="004120AC" w:rsidRPr="003654D9" w:rsidRDefault="004120AC" w:rsidP="004120AC">
      <w:pPr>
        <w:pStyle w:val="BodyText"/>
        <w:rPr>
          <w:lang w:val="en-AU"/>
        </w:rPr>
      </w:pPr>
      <w:r w:rsidRPr="003654D9">
        <w:rPr>
          <w:lang w:val="en-AU"/>
        </w:rPr>
        <w:t>DEECA works with industry and the community to develop Victoria's secure and sustainable energy future.</w:t>
      </w:r>
    </w:p>
    <w:p w14:paraId="412AEE36" w14:textId="7D3C0AB9" w:rsidR="004120AC" w:rsidRPr="003654D9" w:rsidRDefault="004120AC" w:rsidP="004120AC">
      <w:pPr>
        <w:pStyle w:val="BodyText"/>
        <w:rPr>
          <w:lang w:val="en-AU"/>
        </w:rPr>
      </w:pPr>
      <w:r w:rsidRPr="003654D9">
        <w:rPr>
          <w:lang w:val="en-AU"/>
        </w:rPr>
        <w:t xml:space="preserve">For information on Victoria’s energy policy landscape and facilitated connections across the Victorian Government and renewable energy sector, contact the Business and Industry Engagement team at: </w:t>
      </w:r>
      <w:hyperlink r:id="rId28" w:tooltip="Send an email to the Business and Industry Engagement team" w:history="1">
        <w:r w:rsidRPr="003654D9">
          <w:rPr>
            <w:rStyle w:val="Hyperlink"/>
            <w:lang w:val="en-AU"/>
          </w:rPr>
          <w:t>BIE@deeca.vic.gov.au</w:t>
        </w:r>
      </w:hyperlink>
    </w:p>
    <w:p w14:paraId="4FF03957" w14:textId="207C4CFC" w:rsidR="004120AC" w:rsidRPr="003654D9" w:rsidRDefault="004120AC" w:rsidP="004120AC">
      <w:pPr>
        <w:pStyle w:val="BodyText"/>
        <w:rPr>
          <w:lang w:val="en-AU"/>
        </w:rPr>
      </w:pPr>
      <w:r w:rsidRPr="003654D9">
        <w:rPr>
          <w:lang w:val="en-AU"/>
        </w:rPr>
        <w:t xml:space="preserve">For more information, visit: </w:t>
      </w:r>
      <w:hyperlink r:id="rId29" w:tooltip="Hyperlink to Energy Victoria website" w:history="1">
        <w:r w:rsidRPr="003654D9">
          <w:rPr>
            <w:rStyle w:val="Hyperlink"/>
            <w:lang w:val="en-AU"/>
          </w:rPr>
          <w:t>energy.vic.gov.au/industry/investment-opportunities</w:t>
        </w:r>
      </w:hyperlink>
    </w:p>
    <w:p w14:paraId="0017E59E" w14:textId="77777777" w:rsidR="006A026F" w:rsidRPr="003654D9" w:rsidRDefault="006A026F" w:rsidP="006A026F">
      <w:pPr>
        <w:pStyle w:val="Heading2"/>
        <w:spacing w:after="120"/>
        <w:rPr>
          <w:lang w:val="en-AU"/>
        </w:rPr>
      </w:pPr>
      <w:r w:rsidRPr="003654D9">
        <w:rPr>
          <w:lang w:val="en-AU"/>
        </w:rPr>
        <w:t>SEC</w:t>
      </w:r>
    </w:p>
    <w:p w14:paraId="2FD093D3" w14:textId="77777777" w:rsidR="006A026F" w:rsidRPr="003654D9" w:rsidRDefault="006A026F" w:rsidP="006A026F">
      <w:pPr>
        <w:pStyle w:val="BodyText"/>
        <w:spacing w:after="120"/>
        <w:rPr>
          <w:lang w:val="en-AU"/>
        </w:rPr>
      </w:pPr>
      <w:r w:rsidRPr="003654D9">
        <w:rPr>
          <w:lang w:val="en-AU"/>
        </w:rPr>
        <w:t>SEC is a Victorian Government-owned renewable energy company. It is partnering with the private sector to deliver 4.5 GW of new renewable energy and storage projects with an initial investment of $1 billion.</w:t>
      </w:r>
    </w:p>
    <w:p w14:paraId="18CF5D86" w14:textId="7624E34D" w:rsidR="006A026F" w:rsidRPr="003654D9" w:rsidRDefault="006A026F" w:rsidP="006A026F">
      <w:pPr>
        <w:pStyle w:val="BodyText"/>
        <w:spacing w:after="120"/>
        <w:rPr>
          <w:lang w:val="en-AU"/>
        </w:rPr>
      </w:pPr>
      <w:r w:rsidRPr="003654D9">
        <w:rPr>
          <w:lang w:val="en-AU"/>
        </w:rPr>
        <w:t xml:space="preserve">For more information, visit: </w:t>
      </w:r>
      <w:hyperlink r:id="rId30" w:tooltip="Hyperlink to the State Electricity Commission of Victoria website" w:history="1">
        <w:r w:rsidRPr="003654D9">
          <w:rPr>
            <w:rStyle w:val="Hyperlink"/>
            <w:lang w:val="en-AU"/>
          </w:rPr>
          <w:t>secvictoria.com.au</w:t>
        </w:r>
      </w:hyperlink>
    </w:p>
    <w:p w14:paraId="555E0016" w14:textId="1F33945C" w:rsidR="003D7E07" w:rsidRPr="003654D9" w:rsidRDefault="003D7E07" w:rsidP="00212BFE">
      <w:pPr>
        <w:pStyle w:val="Heading2"/>
        <w:spacing w:after="120"/>
        <w:rPr>
          <w:lang w:val="en-AU"/>
        </w:rPr>
      </w:pPr>
      <w:proofErr w:type="spellStart"/>
      <w:r w:rsidRPr="003654D9">
        <w:rPr>
          <w:lang w:val="en-AU"/>
        </w:rPr>
        <w:t>VicGrid</w:t>
      </w:r>
      <w:proofErr w:type="spellEnd"/>
    </w:p>
    <w:p w14:paraId="12362DA0" w14:textId="77777777" w:rsidR="003D7E07" w:rsidRPr="003654D9" w:rsidRDefault="003D7E07" w:rsidP="00212BFE">
      <w:pPr>
        <w:pStyle w:val="BodyText"/>
        <w:spacing w:after="120"/>
        <w:rPr>
          <w:lang w:val="en-AU"/>
        </w:rPr>
      </w:pPr>
      <w:proofErr w:type="spellStart"/>
      <w:r w:rsidRPr="003654D9">
        <w:rPr>
          <w:lang w:val="en-AU"/>
        </w:rPr>
        <w:t>VicGrid</w:t>
      </w:r>
      <w:proofErr w:type="spellEnd"/>
      <w:r w:rsidRPr="003654D9">
        <w:rPr>
          <w:lang w:val="en-AU"/>
        </w:rPr>
        <w:t xml:space="preserve"> coordinates the planning and development of Victorian Renewable Energy Zones (REZs). It also oversees the $480 million REZ fund that will be used to strengthen the grid and develop each REZ.</w:t>
      </w:r>
    </w:p>
    <w:p w14:paraId="4381209A" w14:textId="73A505E7" w:rsidR="003D7E07" w:rsidRPr="003654D9" w:rsidRDefault="003D7E07" w:rsidP="003D7E07">
      <w:pPr>
        <w:pStyle w:val="BodyText"/>
        <w:rPr>
          <w:lang w:val="en-AU"/>
        </w:rPr>
      </w:pPr>
      <w:r w:rsidRPr="003654D9">
        <w:rPr>
          <w:lang w:val="en-AU"/>
        </w:rPr>
        <w:t xml:space="preserve">For more information, visit: </w:t>
      </w:r>
      <w:hyperlink r:id="rId31" w:tooltip="Hyperlink to Energy Victoria website" w:history="1">
        <w:r w:rsidRPr="003654D9">
          <w:rPr>
            <w:rStyle w:val="Hyperlink"/>
            <w:lang w:val="en-AU"/>
          </w:rPr>
          <w:t>energy.vic.gov.au/renewable-energy/renewable-energy-zones</w:t>
        </w:r>
      </w:hyperlink>
    </w:p>
    <w:p w14:paraId="4CECA951" w14:textId="77777777" w:rsidR="006A026F" w:rsidRPr="003654D9" w:rsidRDefault="006A026F" w:rsidP="006A026F">
      <w:pPr>
        <w:pStyle w:val="Heading2"/>
        <w:spacing w:after="240"/>
        <w:rPr>
          <w:lang w:val="en-AU"/>
        </w:rPr>
      </w:pPr>
      <w:r w:rsidRPr="003654D9">
        <w:rPr>
          <w:lang w:val="en-AU"/>
        </w:rPr>
        <w:lastRenderedPageBreak/>
        <w:t>Invest Victoria</w:t>
      </w:r>
    </w:p>
    <w:p w14:paraId="2E2870BA" w14:textId="77777777" w:rsidR="006A026F" w:rsidRPr="003654D9" w:rsidRDefault="006A026F" w:rsidP="006A026F">
      <w:pPr>
        <w:pStyle w:val="Normalbeforebullets"/>
        <w:ind w:right="-285"/>
      </w:pPr>
      <w:r w:rsidRPr="003654D9">
        <w:t>Invest Victoria is the Victorian Government’s investment attraction agency. Services include:</w:t>
      </w:r>
    </w:p>
    <w:p w14:paraId="6079636A" w14:textId="77777777" w:rsidR="006A026F" w:rsidRPr="003654D9" w:rsidRDefault="006A026F" w:rsidP="006A026F">
      <w:pPr>
        <w:pStyle w:val="ListBullet"/>
        <w:spacing w:after="60"/>
        <w:rPr>
          <w:lang w:val="en-AU"/>
        </w:rPr>
      </w:pPr>
      <w:r w:rsidRPr="003654D9">
        <w:rPr>
          <w:lang w:val="en-AU"/>
        </w:rPr>
        <w:t>market regulatory information</w:t>
      </w:r>
    </w:p>
    <w:p w14:paraId="2BE7BD2A" w14:textId="77777777" w:rsidR="006A026F" w:rsidRPr="003654D9" w:rsidRDefault="006A026F" w:rsidP="006A026F">
      <w:pPr>
        <w:pStyle w:val="ListBullet"/>
        <w:spacing w:after="60"/>
        <w:rPr>
          <w:lang w:val="en-AU"/>
        </w:rPr>
      </w:pPr>
      <w:r w:rsidRPr="003654D9">
        <w:rPr>
          <w:lang w:val="en-AU"/>
        </w:rPr>
        <w:t>statutory approvals coordination</w:t>
      </w:r>
    </w:p>
    <w:p w14:paraId="7450BE0F" w14:textId="77777777" w:rsidR="006A026F" w:rsidRPr="003654D9" w:rsidRDefault="006A026F" w:rsidP="006A026F">
      <w:pPr>
        <w:pStyle w:val="ListBullet"/>
        <w:spacing w:after="60"/>
        <w:rPr>
          <w:lang w:val="en-AU"/>
        </w:rPr>
      </w:pPr>
      <w:r w:rsidRPr="003654D9">
        <w:rPr>
          <w:lang w:val="en-AU"/>
        </w:rPr>
        <w:t>site location services</w:t>
      </w:r>
    </w:p>
    <w:p w14:paraId="5898426E" w14:textId="77777777" w:rsidR="006A026F" w:rsidRPr="003654D9" w:rsidRDefault="006A026F" w:rsidP="006A026F">
      <w:pPr>
        <w:pStyle w:val="ListBullet"/>
        <w:spacing w:after="60"/>
        <w:rPr>
          <w:lang w:val="en-AU"/>
        </w:rPr>
      </w:pPr>
      <w:r w:rsidRPr="003654D9">
        <w:rPr>
          <w:lang w:val="en-AU"/>
        </w:rPr>
        <w:t>identification of infrastructure and utility requirements</w:t>
      </w:r>
    </w:p>
    <w:p w14:paraId="64394EE6" w14:textId="77777777" w:rsidR="006A026F" w:rsidRPr="003654D9" w:rsidRDefault="006A026F" w:rsidP="006A026F">
      <w:pPr>
        <w:pStyle w:val="LastBulletinList"/>
        <w:rPr>
          <w:lang w:val="en-AU"/>
        </w:rPr>
      </w:pPr>
      <w:r w:rsidRPr="003654D9">
        <w:rPr>
          <w:lang w:val="en-AU"/>
        </w:rPr>
        <w:t>advocacy within government.</w:t>
      </w:r>
    </w:p>
    <w:p w14:paraId="0594BEB3" w14:textId="77777777" w:rsidR="006A026F" w:rsidRPr="003654D9" w:rsidRDefault="006A026F" w:rsidP="006A026F">
      <w:pPr>
        <w:pStyle w:val="BodyText"/>
        <w:ind w:right="-285"/>
        <w:rPr>
          <w:lang w:val="en-AU"/>
        </w:rPr>
      </w:pPr>
      <w:r w:rsidRPr="003654D9">
        <w:rPr>
          <w:lang w:val="en-AU"/>
        </w:rPr>
        <w:t xml:space="preserve">The Investment Coordinator-General role and function also </w:t>
      </w:r>
      <w:proofErr w:type="gramStart"/>
      <w:r w:rsidRPr="003654D9">
        <w:rPr>
          <w:lang w:val="en-AU"/>
        </w:rPr>
        <w:t>sits</w:t>
      </w:r>
      <w:proofErr w:type="gramEnd"/>
      <w:r w:rsidRPr="003654D9">
        <w:rPr>
          <w:lang w:val="en-AU"/>
        </w:rPr>
        <w:t xml:space="preserve"> within Invest Victoria, working across agencies to ensure approvals deadlines are met and helping to reduce delays.</w:t>
      </w:r>
    </w:p>
    <w:p w14:paraId="52B48E23" w14:textId="6989B304" w:rsidR="006A026F" w:rsidRPr="003654D9" w:rsidRDefault="006A026F" w:rsidP="006A026F">
      <w:pPr>
        <w:pStyle w:val="BodyText"/>
        <w:rPr>
          <w:u w:val="thick"/>
          <w:lang w:val="en-AU"/>
        </w:rPr>
      </w:pPr>
      <w:r w:rsidRPr="003654D9">
        <w:rPr>
          <w:lang w:val="en-AU"/>
        </w:rPr>
        <w:t xml:space="preserve">For more information, visit: </w:t>
      </w:r>
      <w:hyperlink r:id="rId32" w:tooltip="Hyperlink to Invest Victoria website" w:history="1">
        <w:r w:rsidRPr="003654D9">
          <w:rPr>
            <w:rStyle w:val="Hyperlink"/>
            <w:lang w:val="en-AU"/>
          </w:rPr>
          <w:t>invest.vic.gov.au</w:t>
        </w:r>
      </w:hyperlink>
    </w:p>
    <w:p w14:paraId="2A56FEB6" w14:textId="4AA262C9" w:rsidR="00832374" w:rsidRPr="003654D9" w:rsidRDefault="00832374" w:rsidP="00BE60C0">
      <w:pPr>
        <w:pStyle w:val="Heading2"/>
        <w:spacing w:after="240"/>
        <w:rPr>
          <w:lang w:val="en-AU"/>
        </w:rPr>
      </w:pPr>
      <w:r w:rsidRPr="003654D9">
        <w:rPr>
          <w:lang w:val="en-AU"/>
        </w:rPr>
        <w:t xml:space="preserve">Contact a local Victorian Government Trade and Investment Office to help you: </w:t>
      </w:r>
    </w:p>
    <w:p w14:paraId="66764489" w14:textId="77777777" w:rsidR="00832374" w:rsidRPr="003654D9" w:rsidRDefault="00832374" w:rsidP="00212BFE">
      <w:pPr>
        <w:pStyle w:val="ListBullet"/>
        <w:spacing w:after="40"/>
        <w:rPr>
          <w:lang w:val="en-AU"/>
        </w:rPr>
      </w:pPr>
      <w:r w:rsidRPr="003654D9">
        <w:rPr>
          <w:lang w:val="en-AU"/>
        </w:rPr>
        <w:t xml:space="preserve">navigate investment opportunities in Victoria’s new energy technology sector </w:t>
      </w:r>
    </w:p>
    <w:p w14:paraId="6230335A" w14:textId="77777777" w:rsidR="00832374" w:rsidRPr="003654D9" w:rsidRDefault="00832374" w:rsidP="00212BFE">
      <w:pPr>
        <w:pStyle w:val="ListBullet"/>
        <w:spacing w:after="40"/>
        <w:rPr>
          <w:lang w:val="en-AU"/>
        </w:rPr>
      </w:pPr>
      <w:r w:rsidRPr="003654D9">
        <w:rPr>
          <w:lang w:val="en-AU"/>
        </w:rPr>
        <w:t xml:space="preserve">set up a briefing with energy specialists </w:t>
      </w:r>
    </w:p>
    <w:p w14:paraId="6E2F0000" w14:textId="77777777" w:rsidR="00832374" w:rsidRPr="003654D9" w:rsidRDefault="00832374" w:rsidP="00212BFE">
      <w:pPr>
        <w:pStyle w:val="ListBullet"/>
        <w:spacing w:after="40"/>
        <w:rPr>
          <w:lang w:val="en-AU"/>
        </w:rPr>
      </w:pPr>
      <w:r w:rsidRPr="003654D9">
        <w:rPr>
          <w:lang w:val="en-AU"/>
        </w:rPr>
        <w:t xml:space="preserve">arrange inbound market visits </w:t>
      </w:r>
    </w:p>
    <w:p w14:paraId="1C1FE6F4" w14:textId="77777777" w:rsidR="00832374" w:rsidRPr="003654D9" w:rsidRDefault="00832374" w:rsidP="00B67EBE">
      <w:pPr>
        <w:pStyle w:val="LastBulletinList"/>
        <w:rPr>
          <w:lang w:val="en-AU"/>
        </w:rPr>
      </w:pPr>
      <w:r w:rsidRPr="003654D9">
        <w:rPr>
          <w:lang w:val="en-AU"/>
        </w:rPr>
        <w:t xml:space="preserve">introduce you to the Victorian Government’s Energy Business and Industry Engagement team and Invest Victoria. </w:t>
      </w:r>
    </w:p>
    <w:p w14:paraId="0EEBE826" w14:textId="03F4E288" w:rsidR="00832374" w:rsidRPr="003654D9" w:rsidRDefault="00832374" w:rsidP="00832374">
      <w:pPr>
        <w:pStyle w:val="BodyText"/>
        <w:rPr>
          <w:lang w:val="en-AU"/>
        </w:rPr>
      </w:pPr>
      <w:r w:rsidRPr="003654D9">
        <w:rPr>
          <w:lang w:val="en-AU"/>
        </w:rPr>
        <w:t xml:space="preserve">For more information, visit: </w:t>
      </w:r>
      <w:hyperlink r:id="rId33" w:tooltip="Hyperlink to Global Victoria website" w:history="1">
        <w:r w:rsidRPr="003654D9">
          <w:rPr>
            <w:rStyle w:val="Hyperlink"/>
            <w:lang w:val="en-AU"/>
          </w:rPr>
          <w:t>global.vic.gov.au/meet-our-global-team/all-office-locations</w:t>
        </w:r>
      </w:hyperlink>
    </w:p>
    <w:p w14:paraId="6948B0BB" w14:textId="77777777" w:rsidR="00222FF2" w:rsidRPr="003654D9" w:rsidRDefault="00222FF2" w:rsidP="00885AAB">
      <w:pPr>
        <w:pStyle w:val="Heading1"/>
        <w:pageBreakBefore/>
        <w:spacing w:after="240"/>
        <w:rPr>
          <w:lang w:val="en-AU"/>
        </w:rPr>
      </w:pPr>
      <w:bookmarkStart w:id="11" w:name="_Toc184285036"/>
      <w:bookmarkStart w:id="12" w:name="_Toc212113430"/>
      <w:r w:rsidRPr="003654D9">
        <w:rPr>
          <w:lang w:val="en-AU"/>
        </w:rPr>
        <w:lastRenderedPageBreak/>
        <w:t>Publication information</w:t>
      </w:r>
      <w:bookmarkEnd w:id="11"/>
      <w:bookmarkEnd w:id="12"/>
    </w:p>
    <w:p w14:paraId="24B0DE63" w14:textId="77777777" w:rsidR="00222FF2" w:rsidRPr="003654D9" w:rsidRDefault="00222FF2" w:rsidP="00755F80">
      <w:pPr>
        <w:pStyle w:val="Heading2"/>
        <w:spacing w:after="240"/>
        <w:rPr>
          <w:sz w:val="32"/>
          <w:szCs w:val="32"/>
          <w:lang w:val="en-AU"/>
        </w:rPr>
      </w:pPr>
      <w:r w:rsidRPr="003654D9">
        <w:rPr>
          <w:sz w:val="32"/>
          <w:szCs w:val="32"/>
          <w:lang w:val="en-AU"/>
        </w:rPr>
        <w:t>Acknowledgements</w:t>
      </w:r>
    </w:p>
    <w:p w14:paraId="30503762" w14:textId="77777777" w:rsidR="00FF45EB" w:rsidRPr="003654D9" w:rsidRDefault="00FF45EB" w:rsidP="00FF45EB">
      <w:pPr>
        <w:pStyle w:val="BodyText"/>
        <w:spacing w:after="120"/>
        <w:rPr>
          <w:lang w:val="en-AU"/>
        </w:rPr>
      </w:pPr>
      <w:r w:rsidRPr="003654D9">
        <w:rPr>
          <w:lang w:val="en-AU"/>
        </w:rPr>
        <w:t>We acknowledge and respect Victorian Traditional Owners as the original custodians of Victoria’s land and waters, their unique ability to care for Country and deep spiritual connection to it.</w:t>
      </w:r>
    </w:p>
    <w:p w14:paraId="10698604" w14:textId="77777777" w:rsidR="00FF45EB" w:rsidRPr="003654D9" w:rsidRDefault="00FF45EB" w:rsidP="00FF45EB">
      <w:pPr>
        <w:pStyle w:val="BodyText"/>
        <w:spacing w:after="120"/>
        <w:rPr>
          <w:lang w:val="en-AU"/>
        </w:rPr>
      </w:pPr>
      <w:r w:rsidRPr="003654D9">
        <w:rPr>
          <w:lang w:val="en-AU"/>
        </w:rPr>
        <w:t xml:space="preserve">We honour Elders past and present whose </w:t>
      </w:r>
      <w:proofErr w:type="gramStart"/>
      <w:r w:rsidRPr="003654D9">
        <w:rPr>
          <w:lang w:val="en-AU"/>
        </w:rPr>
        <w:t>knowledge</w:t>
      </w:r>
      <w:proofErr w:type="gramEnd"/>
      <w:r w:rsidRPr="003654D9">
        <w:rPr>
          <w:lang w:val="en-AU"/>
        </w:rPr>
        <w:t xml:space="preserve"> and wisdom has ensured the continuation of culture and traditional practices.</w:t>
      </w:r>
    </w:p>
    <w:p w14:paraId="3B471202" w14:textId="77777777" w:rsidR="00222FF2" w:rsidRPr="003654D9" w:rsidRDefault="00FF45EB" w:rsidP="00C51A83">
      <w:pPr>
        <w:pStyle w:val="BodyText"/>
        <w:spacing w:after="120"/>
        <w:rPr>
          <w:lang w:val="en-AU"/>
        </w:rPr>
      </w:pPr>
      <w:r w:rsidRPr="003654D9">
        <w:rPr>
          <w:lang w:val="en-AU"/>
        </w:rPr>
        <w:t>DEECA is committed to genuinely partnering with Victorian Traditional Owners and Victoria’s Aboriginal community to progress their aspirations.</w:t>
      </w:r>
    </w:p>
    <w:p w14:paraId="308AA64D" w14:textId="77777777" w:rsidR="00222FF2" w:rsidRPr="003654D9" w:rsidRDefault="00222FF2" w:rsidP="00755F80">
      <w:pPr>
        <w:pStyle w:val="Heading2"/>
        <w:spacing w:after="240"/>
        <w:rPr>
          <w:sz w:val="32"/>
          <w:szCs w:val="32"/>
          <w:lang w:val="en-AU"/>
        </w:rPr>
      </w:pPr>
      <w:r w:rsidRPr="003654D9">
        <w:rPr>
          <w:sz w:val="32"/>
          <w:szCs w:val="32"/>
          <w:lang w:val="en-AU"/>
        </w:rPr>
        <w:t>Copyright</w:t>
      </w:r>
    </w:p>
    <w:p w14:paraId="521AAE11" w14:textId="2E48F467" w:rsidR="00222FF2" w:rsidRPr="003654D9" w:rsidRDefault="00222FF2" w:rsidP="00C51A83">
      <w:pPr>
        <w:pStyle w:val="BodyText"/>
        <w:spacing w:after="120"/>
        <w:ind w:right="-285"/>
        <w:rPr>
          <w:lang w:val="en-AU"/>
        </w:rPr>
      </w:pPr>
      <w:r w:rsidRPr="003654D9">
        <w:rPr>
          <w:lang w:val="en-AU"/>
        </w:rPr>
        <w:t xml:space="preserve">© The State of Victoria Department of Energy, Environment and Climate Action, </w:t>
      </w:r>
      <w:r w:rsidR="00755F80" w:rsidRPr="003654D9">
        <w:rPr>
          <w:color w:val="000000" w:themeColor="text1"/>
          <w:lang w:val="en-AU"/>
        </w:rPr>
        <w:t>September</w:t>
      </w:r>
      <w:r w:rsidRPr="003654D9">
        <w:rPr>
          <w:color w:val="000000" w:themeColor="text1"/>
          <w:lang w:val="en-AU"/>
        </w:rPr>
        <w:t xml:space="preserve"> </w:t>
      </w:r>
      <w:r w:rsidRPr="003654D9">
        <w:rPr>
          <w:lang w:val="en-AU"/>
        </w:rPr>
        <w:t>202</w:t>
      </w:r>
      <w:r w:rsidR="00FF45EB" w:rsidRPr="003654D9">
        <w:rPr>
          <w:lang w:val="en-AU"/>
        </w:rPr>
        <w:t>5</w:t>
      </w:r>
      <w:r w:rsidRPr="003654D9">
        <w:rPr>
          <w:lang w:val="en-AU"/>
        </w:rPr>
        <w:t>.</w:t>
      </w:r>
    </w:p>
    <w:p w14:paraId="649490B3" w14:textId="77777777" w:rsidR="00222FF2" w:rsidRPr="003654D9" w:rsidRDefault="00222FF2" w:rsidP="00755F80">
      <w:pPr>
        <w:pStyle w:val="Heading2"/>
        <w:spacing w:after="240"/>
        <w:rPr>
          <w:sz w:val="32"/>
          <w:szCs w:val="32"/>
          <w:lang w:val="en-AU"/>
        </w:rPr>
      </w:pPr>
      <w:r w:rsidRPr="003654D9">
        <w:rPr>
          <w:sz w:val="32"/>
          <w:szCs w:val="32"/>
          <w:lang w:val="en-AU"/>
        </w:rPr>
        <w:t>Creative Commons</w:t>
      </w:r>
    </w:p>
    <w:p w14:paraId="32800AA8" w14:textId="5636AB73" w:rsidR="00222FF2" w:rsidRPr="003654D9" w:rsidRDefault="00222FF2" w:rsidP="00222FF2">
      <w:pPr>
        <w:pStyle w:val="BodyText"/>
        <w:ind w:right="-285"/>
        <w:rPr>
          <w:lang w:val="en-AU"/>
        </w:rPr>
      </w:pPr>
      <w:r w:rsidRPr="003654D9">
        <w:rPr>
          <w:lang w:val="en-AU"/>
        </w:rPr>
        <w:t xml:space="preserve">This work is licensed under a Creative Commons Attribution 4.0 International licence, visit the </w:t>
      </w:r>
      <w:hyperlink r:id="rId34" w:tooltip="Hyperlink to Creative Commons website" w:history="1">
        <w:r w:rsidRPr="003654D9">
          <w:rPr>
            <w:rStyle w:val="Hyperlink"/>
            <w:lang w:val="en-AU"/>
          </w:rPr>
          <w:t>Creative Commons website</w:t>
        </w:r>
      </w:hyperlink>
      <w:r w:rsidRPr="003654D9">
        <w:rPr>
          <w:lang w:val="en-AU"/>
        </w:rPr>
        <w:t xml:space="preserve"> (</w:t>
      </w:r>
      <w:hyperlink r:id="rId35" w:tooltip="Hyperlink to Creative Commons website" w:history="1">
        <w:r w:rsidRPr="003654D9">
          <w:rPr>
            <w:rStyle w:val="Hyperlink"/>
            <w:lang w:val="en-AU"/>
          </w:rPr>
          <w:t>http://creativecommons.org/licenses/by/4.0/</w:t>
        </w:r>
      </w:hyperlink>
      <w:r w:rsidRPr="003654D9">
        <w:rPr>
          <w:lang w:val="en-AU"/>
        </w:rPr>
        <w:t>).</w:t>
      </w:r>
    </w:p>
    <w:p w14:paraId="75258A85" w14:textId="77777777" w:rsidR="00222FF2" w:rsidRPr="003654D9" w:rsidRDefault="00222FF2" w:rsidP="00222FF2">
      <w:pPr>
        <w:pStyle w:val="BodyText"/>
        <w:ind w:right="-285"/>
        <w:rPr>
          <w:lang w:val="en-AU"/>
        </w:rPr>
      </w:pPr>
      <w:r w:rsidRPr="003654D9">
        <w:rPr>
          <w:lang w:val="en-AU"/>
        </w:rPr>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3F700037" w14:textId="2652F619" w:rsidR="00755F80" w:rsidRPr="003654D9" w:rsidRDefault="00755F80" w:rsidP="00755F80">
      <w:pPr>
        <w:pStyle w:val="BodyText"/>
        <w:spacing w:after="0"/>
        <w:ind w:right="-285"/>
        <w:rPr>
          <w:b/>
          <w:bCs/>
          <w:lang w:val="en-AU"/>
        </w:rPr>
      </w:pPr>
      <w:r w:rsidRPr="003654D9">
        <w:rPr>
          <w:b/>
          <w:bCs/>
          <w:lang w:val="en-AU"/>
        </w:rPr>
        <w:t xml:space="preserve">ISBN </w:t>
      </w:r>
      <w:r w:rsidR="00BE60C0" w:rsidRPr="003654D9">
        <w:rPr>
          <w:lang w:val="en-AU"/>
        </w:rPr>
        <w:t>978-1-76176-609-1</w:t>
      </w:r>
      <w:r w:rsidRPr="003654D9">
        <w:rPr>
          <w:b/>
          <w:bCs/>
          <w:lang w:val="en-AU"/>
        </w:rPr>
        <w:t xml:space="preserve"> (Print) </w:t>
      </w:r>
    </w:p>
    <w:p w14:paraId="020E4153" w14:textId="508AE94B" w:rsidR="00222FF2" w:rsidRPr="003654D9" w:rsidRDefault="00755F80" w:rsidP="00755F80">
      <w:pPr>
        <w:pStyle w:val="BodyText"/>
        <w:spacing w:after="120"/>
        <w:ind w:right="-285"/>
        <w:rPr>
          <w:lang w:val="en-AU"/>
        </w:rPr>
      </w:pPr>
      <w:r w:rsidRPr="003654D9">
        <w:rPr>
          <w:b/>
          <w:bCs/>
          <w:lang w:val="en-AU"/>
        </w:rPr>
        <w:t xml:space="preserve">ISBN </w:t>
      </w:r>
      <w:r w:rsidR="00BE60C0" w:rsidRPr="003654D9">
        <w:rPr>
          <w:lang w:val="en-AU"/>
        </w:rPr>
        <w:t xml:space="preserve">978-1-76176-610-7 </w:t>
      </w:r>
      <w:r w:rsidRPr="003654D9">
        <w:rPr>
          <w:b/>
          <w:bCs/>
          <w:lang w:val="en-AU"/>
        </w:rPr>
        <w:t>(pdf/online/MS word)</w:t>
      </w:r>
      <w:r w:rsidR="00222FF2" w:rsidRPr="003654D9">
        <w:rPr>
          <w:b/>
          <w:bCs/>
          <w:lang w:val="en-AU"/>
        </w:rPr>
        <w:t>)</w:t>
      </w:r>
    </w:p>
    <w:p w14:paraId="77ECBDB4" w14:textId="77777777" w:rsidR="00222FF2" w:rsidRPr="003654D9" w:rsidRDefault="00222FF2" w:rsidP="00755F80">
      <w:pPr>
        <w:pStyle w:val="Heading2"/>
        <w:spacing w:after="240"/>
        <w:rPr>
          <w:sz w:val="32"/>
          <w:szCs w:val="32"/>
          <w:lang w:val="en-AU"/>
        </w:rPr>
      </w:pPr>
      <w:r w:rsidRPr="003654D9">
        <w:rPr>
          <w:sz w:val="32"/>
          <w:szCs w:val="32"/>
          <w:lang w:val="en-AU"/>
        </w:rPr>
        <w:lastRenderedPageBreak/>
        <w:t>Disclaimer</w:t>
      </w:r>
    </w:p>
    <w:p w14:paraId="50369735" w14:textId="77777777" w:rsidR="00222FF2" w:rsidRPr="003654D9" w:rsidRDefault="00222FF2" w:rsidP="00C51A83">
      <w:pPr>
        <w:pStyle w:val="BodyText"/>
        <w:spacing w:after="120"/>
        <w:rPr>
          <w:lang w:val="en-AU"/>
        </w:rPr>
      </w:pPr>
      <w:r w:rsidRPr="003654D9">
        <w:rPr>
          <w:lang w:val="en-AU"/>
        </w:rPr>
        <w:t xml:space="preserve">This publication may be of assistance to </w:t>
      </w:r>
      <w:proofErr w:type="gramStart"/>
      <w:r w:rsidRPr="003654D9">
        <w:rPr>
          <w:lang w:val="en-AU"/>
        </w:rPr>
        <w:t>you</w:t>
      </w:r>
      <w:proofErr w:type="gramEnd"/>
      <w:r w:rsidRPr="003654D9">
        <w:rPr>
          <w:lang w:val="en-AU"/>
        </w:rPr>
        <w:t xml:space="preserve"> but the State of Victoria and its employees do not guarantee that the publication is without flaw of any kind or is wholly appropriate for your </w:t>
      </w:r>
      <w:proofErr w:type="gramStart"/>
      <w:r w:rsidRPr="003654D9">
        <w:rPr>
          <w:lang w:val="en-AU"/>
        </w:rPr>
        <w:t>particular purposes</w:t>
      </w:r>
      <w:proofErr w:type="gramEnd"/>
      <w:r w:rsidRPr="003654D9">
        <w:rPr>
          <w:lang w:val="en-AU"/>
        </w:rPr>
        <w:t xml:space="preserve"> and therefore disclaims all liability for any error, loss or other consequence which may arise from you relying on any information in this publication.</w:t>
      </w:r>
    </w:p>
    <w:p w14:paraId="59539D8D" w14:textId="77777777" w:rsidR="00222FF2" w:rsidRPr="003654D9" w:rsidRDefault="00222FF2" w:rsidP="00755F80">
      <w:pPr>
        <w:pStyle w:val="Heading2"/>
        <w:spacing w:after="240"/>
        <w:rPr>
          <w:sz w:val="32"/>
          <w:szCs w:val="32"/>
          <w:lang w:val="en-AU"/>
        </w:rPr>
      </w:pPr>
      <w:r w:rsidRPr="003654D9">
        <w:rPr>
          <w:sz w:val="32"/>
          <w:szCs w:val="32"/>
          <w:lang w:val="en-AU"/>
        </w:rPr>
        <w:t>Accessibility</w:t>
      </w:r>
    </w:p>
    <w:p w14:paraId="77D00721" w14:textId="30C54705" w:rsidR="00222FF2" w:rsidRPr="003654D9" w:rsidRDefault="00222FF2" w:rsidP="00C51A83">
      <w:pPr>
        <w:pStyle w:val="BodyText"/>
        <w:spacing w:after="120"/>
        <w:rPr>
          <w:lang w:val="en-AU"/>
        </w:rPr>
      </w:pPr>
      <w:r w:rsidRPr="003654D9">
        <w:rPr>
          <w:lang w:val="en-AU"/>
        </w:rPr>
        <w:t xml:space="preserve">To receive this document in an alternative format, phone the Customer Service Centre on 136 186, email </w:t>
      </w:r>
      <w:hyperlink r:id="rId36" w:tooltip="Send an email to customer service" w:history="1">
        <w:r w:rsidRPr="003654D9">
          <w:rPr>
            <w:rStyle w:val="Hyperlink"/>
            <w:lang w:val="en-AU"/>
          </w:rPr>
          <w:t>customer.service@delwp.vic.gov.au</w:t>
        </w:r>
      </w:hyperlink>
      <w:r w:rsidRPr="003654D9">
        <w:rPr>
          <w:lang w:val="en-AU"/>
        </w:rPr>
        <w:t>, or contact National Relay Service on 133 677. Available at DEECA website (</w:t>
      </w:r>
      <w:hyperlink r:id="rId37" w:tooltip="Hyperlink to the DEECA website" w:history="1">
        <w:r w:rsidRPr="003654D9">
          <w:rPr>
            <w:rStyle w:val="Hyperlink"/>
            <w:lang w:val="en-AU"/>
          </w:rPr>
          <w:t>www.deeca.vic.gov.au</w:t>
        </w:r>
      </w:hyperlink>
      <w:r w:rsidRPr="003654D9">
        <w:rPr>
          <w:lang w:val="en-AU"/>
        </w:rPr>
        <w:t>).</w:t>
      </w:r>
    </w:p>
    <w:p w14:paraId="02AE8630" w14:textId="77777777" w:rsidR="00F767CD" w:rsidRPr="003654D9" w:rsidRDefault="00222FF2" w:rsidP="00755F80">
      <w:pPr>
        <w:pStyle w:val="BodyText"/>
        <w:spacing w:before="1200" w:after="0"/>
        <w:rPr>
          <w:b/>
          <w:bCs/>
          <w:lang w:val="en-AU"/>
        </w:rPr>
      </w:pPr>
      <w:r w:rsidRPr="003654D9">
        <w:rPr>
          <w:b/>
          <w:bCs/>
          <w:lang w:val="en-AU"/>
        </w:rPr>
        <w:t>End of document.</w:t>
      </w:r>
    </w:p>
    <w:sectPr w:rsidR="00F767CD" w:rsidRPr="003654D9" w:rsidSect="006B5F18">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112AC" w14:textId="77777777" w:rsidR="009B7623" w:rsidRDefault="009B7623" w:rsidP="00F2730B">
      <w:pPr>
        <w:spacing w:after="0" w:line="240" w:lineRule="auto"/>
      </w:pPr>
      <w:r>
        <w:separator/>
      </w:r>
    </w:p>
  </w:endnote>
  <w:endnote w:type="continuationSeparator" w:id="0">
    <w:p w14:paraId="1FC0D8C7" w14:textId="77777777" w:rsidR="009B7623" w:rsidRDefault="009B7623"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OTF) Light Italic">
    <w:altName w:val="VIC"/>
    <w:panose1 w:val="00000400000000000000"/>
    <w:charset w:val="4D"/>
    <w:family w:val="auto"/>
    <w:notTrueType/>
    <w:pitch w:val="variable"/>
    <w:sig w:usb0="00000007" w:usb1="00000000" w:usb2="00000000" w:usb3="00000000" w:csb0="00000093" w:csb1="00000000"/>
  </w:font>
  <w:font w:name="VIC (OTF) SemiBold">
    <w:altName w:val="VIC"/>
    <w:panose1 w:val="000007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Arial (Headings)">
    <w:altName w:val="Arial"/>
    <w:panose1 w:val="020B0604020202020204"/>
    <w:charset w:val="00"/>
    <w:family w:val="roman"/>
    <w:pitch w:val="default"/>
  </w:font>
  <w:font w:name="VIC">
    <w:panose1 w:val="00000500000000000000"/>
    <w:charset w:val="4D"/>
    <w:family w:val="auto"/>
    <w:notTrueType/>
    <w:pitch w:val="variable"/>
    <w:sig w:usb0="00000007" w:usb1="00000000"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4707089"/>
      <w:docPartObj>
        <w:docPartGallery w:val="Page Numbers (Bottom of Page)"/>
        <w:docPartUnique/>
      </w:docPartObj>
    </w:sdtPr>
    <w:sdtContent>
      <w:p w14:paraId="367015EF" w14:textId="77777777" w:rsidR="00B165A7" w:rsidRDefault="00B165A7" w:rsidP="00885A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063051" w14:textId="77777777" w:rsidR="00B165A7" w:rsidRDefault="00B165A7" w:rsidP="00B165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4635306"/>
      <w:docPartObj>
        <w:docPartGallery w:val="Page Numbers (Bottom of Page)"/>
        <w:docPartUnique/>
      </w:docPartObj>
    </w:sdtPr>
    <w:sdtContent>
      <w:p w14:paraId="79137D41" w14:textId="77777777" w:rsidR="00EB277B" w:rsidRDefault="00EB277B" w:rsidP="00EB27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7BB92BE8" w14:textId="0C9DEFD0" w:rsidR="00EB277B" w:rsidRDefault="00362E21" w:rsidP="00362E21">
    <w:pPr>
      <w:pStyle w:val="Footer"/>
      <w:ind w:right="360"/>
    </w:pPr>
    <w:r w:rsidRPr="00362E21">
      <w:t>Victoria's Investment Prospectus ONSHORE WIND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Content>
      <w:p w14:paraId="0182547C" w14:textId="77777777" w:rsidR="00885AAB" w:rsidRDefault="00885AAB" w:rsidP="00FE2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FEFDD3A" w14:textId="4DD98979" w:rsidR="00B165A7" w:rsidRDefault="00362E21" w:rsidP="00362E21">
    <w:pPr>
      <w:pStyle w:val="Footer"/>
      <w:ind w:right="360"/>
    </w:pPr>
    <w:r w:rsidRPr="00362E21">
      <w:t>Victoria's Investment Prospectus ONSHORE WIND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C7369" w14:textId="77777777" w:rsidR="009B7623" w:rsidRDefault="009B7623" w:rsidP="00F2730B">
      <w:pPr>
        <w:spacing w:after="0" w:line="240" w:lineRule="auto"/>
      </w:pPr>
      <w:r>
        <w:separator/>
      </w:r>
    </w:p>
  </w:footnote>
  <w:footnote w:type="continuationSeparator" w:id="0">
    <w:p w14:paraId="19F26F31" w14:textId="77777777" w:rsidR="009B7623" w:rsidRDefault="009B7623" w:rsidP="00F2730B">
      <w:pPr>
        <w:spacing w:after="0" w:line="240" w:lineRule="auto"/>
      </w:pPr>
      <w:r>
        <w:continuationSeparator/>
      </w:r>
    </w:p>
  </w:footnote>
  <w:footnote w:id="1">
    <w:p w14:paraId="4EE7EA4F" w14:textId="77777777" w:rsidR="00622F6A" w:rsidRDefault="00622F6A" w:rsidP="00B67EBE">
      <w:pPr>
        <w:pStyle w:val="FootnoteText"/>
        <w:ind w:left="170" w:hanging="170"/>
      </w:pPr>
      <w:r>
        <w:rPr>
          <w:rStyle w:val="FootnoteReference"/>
        </w:rPr>
        <w:footnoteRef/>
      </w:r>
      <w:r>
        <w:t xml:space="preserve"> </w:t>
      </w:r>
      <w:r w:rsidRPr="001136C6">
        <w:t xml:space="preserve">Cheaper, cleaner, renewable: our plan for Victoria's electricity future, </w:t>
      </w:r>
      <w:hyperlink r:id="rId1" w:tooltip="Hyperlink to Energy Victoria website" w:history="1">
        <w:r>
          <w:rPr>
            <w:rStyle w:val="Hyperlink"/>
          </w:rPr>
          <w:t>http://energy.vic.gov.au/renewable-energy/victorias-electricity-future</w:t>
        </w:r>
      </w:hyperlink>
      <w:r w:rsidRPr="001136C6">
        <w:t>. Note this figure will be updated following the release of the draft AEMO 2026 Integrated System Plan in December 2025</w:t>
      </w:r>
    </w:p>
  </w:footnote>
  <w:footnote w:id="2">
    <w:p w14:paraId="3214AB45" w14:textId="77777777" w:rsidR="00622F6A" w:rsidRDefault="00622F6A" w:rsidP="00B67EBE">
      <w:pPr>
        <w:pStyle w:val="FootnoteText"/>
        <w:ind w:left="170" w:hanging="170"/>
      </w:pPr>
      <w:r>
        <w:rPr>
          <w:rStyle w:val="FootnoteReference"/>
        </w:rPr>
        <w:footnoteRef/>
      </w:r>
      <w:r>
        <w:t xml:space="preserve"> </w:t>
      </w:r>
      <w:r w:rsidRPr="001136C6">
        <w:t xml:space="preserve">Manufacturing Statement, </w:t>
      </w:r>
      <w:hyperlink r:id="rId2" w:tooltip="Hyperlink to the Department of Jobs, Skills, Industry and Regions website" w:history="1">
        <w:r w:rsidRPr="001136C6">
          <w:rPr>
            <w:rStyle w:val="Hyperlink"/>
          </w:rPr>
          <w:t>djsir.vic.gov.au/made-in-</w:t>
        </w:r>
        <w:proofErr w:type="spellStart"/>
        <w:r w:rsidRPr="001136C6">
          <w:rPr>
            <w:rStyle w:val="Hyperlink"/>
          </w:rPr>
          <w:t>victoria</w:t>
        </w:r>
        <w:proofErr w:type="spellEnd"/>
        <w:r w:rsidRPr="001136C6">
          <w:rPr>
            <w:rStyle w:val="Hyperlink"/>
          </w:rPr>
          <w:t>/manufacturing-statement</w:t>
        </w:r>
      </w:hyperlink>
    </w:p>
  </w:footnote>
  <w:footnote w:id="3">
    <w:p w14:paraId="455D6D71" w14:textId="7DBAC4F8" w:rsidR="00406D31" w:rsidRDefault="00406D31">
      <w:pPr>
        <w:pStyle w:val="FootnoteText"/>
      </w:pPr>
      <w:r>
        <w:rPr>
          <w:rStyle w:val="FootnoteReference"/>
        </w:rPr>
        <w:footnoteRef/>
      </w:r>
      <w:r>
        <w:t xml:space="preserve"> </w:t>
      </w:r>
      <w:r w:rsidRPr="00406D31">
        <w:t>Internal register figures from the Department of Energy, Environment and Climate Action, September 2025</w:t>
      </w:r>
    </w:p>
  </w:footnote>
  <w:footnote w:id="4">
    <w:p w14:paraId="40DB54C8" w14:textId="77777777" w:rsidR="003C6686" w:rsidRDefault="003C6686" w:rsidP="003C6686">
      <w:pPr>
        <w:pStyle w:val="FootnoteText"/>
      </w:pPr>
      <w:r>
        <w:rPr>
          <w:rStyle w:val="FootnoteReference"/>
        </w:rPr>
        <w:footnoteRef/>
      </w:r>
      <w:r>
        <w:t xml:space="preserve"> </w:t>
      </w:r>
      <w:r w:rsidRPr="00B042D4">
        <w:t xml:space="preserve">QS World University Rankings, June 2025, </w:t>
      </w:r>
      <w:hyperlink r:id="rId3" w:tooltip="Hyperlink to top universities website" w:history="1">
        <w:r>
          <w:rPr>
            <w:rStyle w:val="Hyperlink"/>
          </w:rPr>
          <w:t>topuniversities.com/world-university-rankings</w:t>
        </w:r>
      </w:hyperlink>
    </w:p>
  </w:footnote>
  <w:footnote w:id="5">
    <w:p w14:paraId="21C87007" w14:textId="3D8A5DA4" w:rsidR="00BE60C0" w:rsidRDefault="00BE60C0" w:rsidP="00BE60C0">
      <w:pPr>
        <w:pStyle w:val="FootnoteText"/>
        <w:ind w:left="170" w:hanging="170"/>
      </w:pPr>
      <w:r>
        <w:rPr>
          <w:rStyle w:val="FootnoteReference"/>
        </w:rPr>
        <w:footnoteRef/>
      </w:r>
      <w:r>
        <w:t xml:space="preserve"> </w:t>
      </w:r>
      <w:r w:rsidRPr="00BE60C0">
        <w:t>Estimates are based on internal forecasts and modelling by the Department of Energy, Environment and Climate Action and are subject to change.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A55995"/>
    <w:multiLevelType w:val="hybridMultilevel"/>
    <w:tmpl w:val="1F16E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7F46DE"/>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5B07F5"/>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9D62FFB"/>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305E37BC"/>
    <w:multiLevelType w:val="multilevel"/>
    <w:tmpl w:val="4AB455C8"/>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4AF5816"/>
    <w:multiLevelType w:val="multilevel"/>
    <w:tmpl w:val="FCC470D2"/>
    <w:lvl w:ilvl="0">
      <w:start w:val="6"/>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9049C5"/>
    <w:multiLevelType w:val="hybridMultilevel"/>
    <w:tmpl w:val="222C6B0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C25B72"/>
    <w:multiLevelType w:val="hybridMultilevel"/>
    <w:tmpl w:val="0672B8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46F0C5E"/>
    <w:multiLevelType w:val="hybridMultilevel"/>
    <w:tmpl w:val="C8AC28D0"/>
    <w:lvl w:ilvl="0" w:tplc="B7C21A1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694661C"/>
    <w:multiLevelType w:val="hybridMultilevel"/>
    <w:tmpl w:val="204E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7"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3"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610019"/>
    <w:multiLevelType w:val="hybridMultilevel"/>
    <w:tmpl w:val="FDFE90EC"/>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8D6458"/>
    <w:multiLevelType w:val="hybridMultilevel"/>
    <w:tmpl w:val="82C4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0C7030"/>
    <w:multiLevelType w:val="hybridMultilevel"/>
    <w:tmpl w:val="3F7C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0E50A4"/>
    <w:multiLevelType w:val="hybridMultilevel"/>
    <w:tmpl w:val="268E65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FB24E9B"/>
    <w:multiLevelType w:val="hybridMultilevel"/>
    <w:tmpl w:val="A9FE1D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1" w15:restartNumberingAfterBreak="0">
    <w:nsid w:val="75175492"/>
    <w:multiLevelType w:val="hybridMultilevel"/>
    <w:tmpl w:val="5EB474DC"/>
    <w:lvl w:ilvl="0" w:tplc="08090011">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2"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4981408">
    <w:abstractNumId w:val="17"/>
  </w:num>
  <w:num w:numId="2" w16cid:durableId="601570190">
    <w:abstractNumId w:val="42"/>
  </w:num>
  <w:num w:numId="3" w16cid:durableId="1813522522">
    <w:abstractNumId w:val="3"/>
  </w:num>
  <w:num w:numId="4" w16cid:durableId="533276510">
    <w:abstractNumId w:val="40"/>
  </w:num>
  <w:num w:numId="5" w16cid:durableId="771362055">
    <w:abstractNumId w:val="2"/>
  </w:num>
  <w:num w:numId="6" w16cid:durableId="3823149">
    <w:abstractNumId w:val="27"/>
  </w:num>
  <w:num w:numId="7" w16cid:durableId="338390637">
    <w:abstractNumId w:val="5"/>
  </w:num>
  <w:num w:numId="8" w16cid:durableId="182984412">
    <w:abstractNumId w:val="32"/>
  </w:num>
  <w:num w:numId="9" w16cid:durableId="853954488">
    <w:abstractNumId w:val="25"/>
  </w:num>
  <w:num w:numId="10" w16cid:durableId="307325374">
    <w:abstractNumId w:val="10"/>
  </w:num>
  <w:num w:numId="11" w16cid:durableId="1207567416">
    <w:abstractNumId w:val="16"/>
  </w:num>
  <w:num w:numId="12" w16cid:durableId="1714499310">
    <w:abstractNumId w:val="15"/>
  </w:num>
  <w:num w:numId="13" w16cid:durableId="1557817223">
    <w:abstractNumId w:val="29"/>
  </w:num>
  <w:num w:numId="14" w16cid:durableId="766468131">
    <w:abstractNumId w:val="7"/>
  </w:num>
  <w:num w:numId="15" w16cid:durableId="401634644">
    <w:abstractNumId w:val="4"/>
  </w:num>
  <w:num w:numId="16" w16cid:durableId="2004504209">
    <w:abstractNumId w:val="20"/>
    <w:lvlOverride w:ilvl="0">
      <w:lvl w:ilvl="0">
        <w:start w:val="1"/>
        <w:numFmt w:val="bullet"/>
        <w:lvlText w:val=""/>
        <w:lvlJc w:val="left"/>
        <w:pPr>
          <w:ind w:left="360" w:hanging="360"/>
        </w:pPr>
        <w:rPr>
          <w:rFonts w:ascii="Symbol" w:hAnsi="Symbol" w:hint="default"/>
        </w:rPr>
      </w:lvl>
    </w:lvlOverride>
  </w:num>
  <w:num w:numId="17" w16cid:durableId="1333338980">
    <w:abstractNumId w:val="8"/>
  </w:num>
  <w:num w:numId="18" w16cid:durableId="2077896738">
    <w:abstractNumId w:val="23"/>
  </w:num>
  <w:num w:numId="19" w16cid:durableId="318195612">
    <w:abstractNumId w:val="0"/>
  </w:num>
  <w:num w:numId="20" w16cid:durableId="172572898">
    <w:abstractNumId w:val="26"/>
  </w:num>
  <w:num w:numId="21" w16cid:durableId="1306818322">
    <w:abstractNumId w:val="1"/>
  </w:num>
  <w:num w:numId="22" w16cid:durableId="1536767415">
    <w:abstractNumId w:val="33"/>
  </w:num>
  <w:num w:numId="23" w16cid:durableId="54209663">
    <w:abstractNumId w:val="6"/>
  </w:num>
  <w:num w:numId="24" w16cid:durableId="1347441872">
    <w:abstractNumId w:val="36"/>
  </w:num>
  <w:num w:numId="25" w16cid:durableId="1336883623">
    <w:abstractNumId w:val="31"/>
  </w:num>
  <w:num w:numId="26" w16cid:durableId="1859196455">
    <w:abstractNumId w:val="9"/>
  </w:num>
  <w:num w:numId="27" w16cid:durableId="1643851276">
    <w:abstractNumId w:val="21"/>
  </w:num>
  <w:num w:numId="28" w16cid:durableId="1329362202">
    <w:abstractNumId w:val="19"/>
  </w:num>
  <w:num w:numId="29" w16cid:durableId="1795561713">
    <w:abstractNumId w:val="33"/>
  </w:num>
  <w:num w:numId="30" w16cid:durableId="71048478">
    <w:abstractNumId w:val="33"/>
  </w:num>
  <w:num w:numId="31" w16cid:durableId="755857827">
    <w:abstractNumId w:val="24"/>
  </w:num>
  <w:num w:numId="32" w16cid:durableId="1933396817">
    <w:abstractNumId w:val="33"/>
  </w:num>
  <w:num w:numId="33" w16cid:durableId="1457986831">
    <w:abstractNumId w:val="33"/>
  </w:num>
  <w:num w:numId="34" w16cid:durableId="1703019878">
    <w:abstractNumId w:val="33"/>
  </w:num>
  <w:num w:numId="35" w16cid:durableId="1865440867">
    <w:abstractNumId w:val="33"/>
  </w:num>
  <w:num w:numId="36" w16cid:durableId="829516848">
    <w:abstractNumId w:val="33"/>
  </w:num>
  <w:num w:numId="37" w16cid:durableId="2076001543">
    <w:abstractNumId w:val="35"/>
  </w:num>
  <w:num w:numId="38" w16cid:durableId="1204173423">
    <w:abstractNumId w:val="30"/>
  </w:num>
  <w:num w:numId="39" w16cid:durableId="1448893088">
    <w:abstractNumId w:val="41"/>
  </w:num>
  <w:num w:numId="40" w16cid:durableId="1900021242">
    <w:abstractNumId w:val="38"/>
  </w:num>
  <w:num w:numId="41" w16cid:durableId="995105162">
    <w:abstractNumId w:val="37"/>
  </w:num>
  <w:num w:numId="42" w16cid:durableId="1581451535">
    <w:abstractNumId w:val="13"/>
  </w:num>
  <w:num w:numId="43" w16cid:durableId="1752506282">
    <w:abstractNumId w:val="3"/>
  </w:num>
  <w:num w:numId="44" w16cid:durableId="1456093856">
    <w:abstractNumId w:val="3"/>
  </w:num>
  <w:num w:numId="45" w16cid:durableId="1900241663">
    <w:abstractNumId w:val="3"/>
  </w:num>
  <w:num w:numId="46" w16cid:durableId="1535843761">
    <w:abstractNumId w:val="22"/>
  </w:num>
  <w:num w:numId="47" w16cid:durableId="1818298069">
    <w:abstractNumId w:val="14"/>
  </w:num>
  <w:num w:numId="48" w16cid:durableId="2061048727">
    <w:abstractNumId w:val="12"/>
  </w:num>
  <w:num w:numId="49" w16cid:durableId="1849246280">
    <w:abstractNumId w:val="11"/>
  </w:num>
  <w:num w:numId="50" w16cid:durableId="785197264">
    <w:abstractNumId w:val="34"/>
  </w:num>
  <w:num w:numId="51" w16cid:durableId="1299335420">
    <w:abstractNumId w:val="18"/>
  </w:num>
  <w:num w:numId="52" w16cid:durableId="1754938255">
    <w:abstractNumId w:val="20"/>
  </w:num>
  <w:num w:numId="53" w16cid:durableId="1013340051">
    <w:abstractNumId w:val="39"/>
  </w:num>
  <w:num w:numId="54" w16cid:durableId="88830118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708"/>
    <w:rsid w:val="00001E7A"/>
    <w:rsid w:val="000031BB"/>
    <w:rsid w:val="000055D4"/>
    <w:rsid w:val="00010851"/>
    <w:rsid w:val="00010D69"/>
    <w:rsid w:val="000138AF"/>
    <w:rsid w:val="000159E0"/>
    <w:rsid w:val="00016269"/>
    <w:rsid w:val="0001795D"/>
    <w:rsid w:val="00017FCE"/>
    <w:rsid w:val="000210D8"/>
    <w:rsid w:val="00021E90"/>
    <w:rsid w:val="00024973"/>
    <w:rsid w:val="00024EED"/>
    <w:rsid w:val="00026504"/>
    <w:rsid w:val="0003252D"/>
    <w:rsid w:val="00033D9B"/>
    <w:rsid w:val="00034DB4"/>
    <w:rsid w:val="00035E6B"/>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3F92"/>
    <w:rsid w:val="00093136"/>
    <w:rsid w:val="00095997"/>
    <w:rsid w:val="00096052"/>
    <w:rsid w:val="00096F20"/>
    <w:rsid w:val="000A06C8"/>
    <w:rsid w:val="000A07D7"/>
    <w:rsid w:val="000A09C6"/>
    <w:rsid w:val="000A2C96"/>
    <w:rsid w:val="000A2E17"/>
    <w:rsid w:val="000A49E3"/>
    <w:rsid w:val="000A4CB4"/>
    <w:rsid w:val="000B0305"/>
    <w:rsid w:val="000B181D"/>
    <w:rsid w:val="000B62B5"/>
    <w:rsid w:val="000B67F7"/>
    <w:rsid w:val="000C021F"/>
    <w:rsid w:val="000C1776"/>
    <w:rsid w:val="000C259F"/>
    <w:rsid w:val="000C377A"/>
    <w:rsid w:val="000C4A37"/>
    <w:rsid w:val="000C4B11"/>
    <w:rsid w:val="000D4E1A"/>
    <w:rsid w:val="000D775C"/>
    <w:rsid w:val="000D7F89"/>
    <w:rsid w:val="000F00F6"/>
    <w:rsid w:val="000F1864"/>
    <w:rsid w:val="000F2ED2"/>
    <w:rsid w:val="000F3D21"/>
    <w:rsid w:val="000F4892"/>
    <w:rsid w:val="000F491B"/>
    <w:rsid w:val="000F4C2F"/>
    <w:rsid w:val="000F7ED6"/>
    <w:rsid w:val="00101019"/>
    <w:rsid w:val="00104647"/>
    <w:rsid w:val="00105A0B"/>
    <w:rsid w:val="001069F6"/>
    <w:rsid w:val="00106C73"/>
    <w:rsid w:val="001073C1"/>
    <w:rsid w:val="001104F7"/>
    <w:rsid w:val="00114402"/>
    <w:rsid w:val="00114AA6"/>
    <w:rsid w:val="00114AFF"/>
    <w:rsid w:val="0011571F"/>
    <w:rsid w:val="001164EC"/>
    <w:rsid w:val="00121F0D"/>
    <w:rsid w:val="00122F5B"/>
    <w:rsid w:val="00124CDD"/>
    <w:rsid w:val="00125150"/>
    <w:rsid w:val="001252BF"/>
    <w:rsid w:val="001273C5"/>
    <w:rsid w:val="00130812"/>
    <w:rsid w:val="00131B14"/>
    <w:rsid w:val="00132474"/>
    <w:rsid w:val="001326C2"/>
    <w:rsid w:val="0013327E"/>
    <w:rsid w:val="00135B36"/>
    <w:rsid w:val="001450B6"/>
    <w:rsid w:val="001475FA"/>
    <w:rsid w:val="001500AB"/>
    <w:rsid w:val="00150D75"/>
    <w:rsid w:val="00151489"/>
    <w:rsid w:val="00152A8B"/>
    <w:rsid w:val="0015442F"/>
    <w:rsid w:val="00156D15"/>
    <w:rsid w:val="00161946"/>
    <w:rsid w:val="00163F36"/>
    <w:rsid w:val="00164E6C"/>
    <w:rsid w:val="0016764A"/>
    <w:rsid w:val="001679C2"/>
    <w:rsid w:val="001708FE"/>
    <w:rsid w:val="00170B1E"/>
    <w:rsid w:val="00171185"/>
    <w:rsid w:val="00172357"/>
    <w:rsid w:val="00175022"/>
    <w:rsid w:val="00185ABC"/>
    <w:rsid w:val="00185F2D"/>
    <w:rsid w:val="00187524"/>
    <w:rsid w:val="00187BEB"/>
    <w:rsid w:val="00191553"/>
    <w:rsid w:val="001920A5"/>
    <w:rsid w:val="00192DC5"/>
    <w:rsid w:val="0019451B"/>
    <w:rsid w:val="001950EE"/>
    <w:rsid w:val="001A118C"/>
    <w:rsid w:val="001A358E"/>
    <w:rsid w:val="001A4A2B"/>
    <w:rsid w:val="001A5DB2"/>
    <w:rsid w:val="001A6F8B"/>
    <w:rsid w:val="001A714A"/>
    <w:rsid w:val="001B0255"/>
    <w:rsid w:val="001B02D0"/>
    <w:rsid w:val="001B1361"/>
    <w:rsid w:val="001B1B3A"/>
    <w:rsid w:val="001B2A51"/>
    <w:rsid w:val="001B37AF"/>
    <w:rsid w:val="001B3B9D"/>
    <w:rsid w:val="001B4C0B"/>
    <w:rsid w:val="001B72F0"/>
    <w:rsid w:val="001C10D8"/>
    <w:rsid w:val="001C1D65"/>
    <w:rsid w:val="001C2B23"/>
    <w:rsid w:val="001C35FD"/>
    <w:rsid w:val="001C7E9F"/>
    <w:rsid w:val="001D023D"/>
    <w:rsid w:val="001D3828"/>
    <w:rsid w:val="001D441D"/>
    <w:rsid w:val="001D5686"/>
    <w:rsid w:val="001E065E"/>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2BFE"/>
    <w:rsid w:val="00214345"/>
    <w:rsid w:val="002143C5"/>
    <w:rsid w:val="0021482C"/>
    <w:rsid w:val="002152A5"/>
    <w:rsid w:val="00215E01"/>
    <w:rsid w:val="00220839"/>
    <w:rsid w:val="00222FF2"/>
    <w:rsid w:val="00231129"/>
    <w:rsid w:val="002336CC"/>
    <w:rsid w:val="0023386C"/>
    <w:rsid w:val="00233B8B"/>
    <w:rsid w:val="00236EB6"/>
    <w:rsid w:val="00241796"/>
    <w:rsid w:val="00241E12"/>
    <w:rsid w:val="00244E10"/>
    <w:rsid w:val="0024556C"/>
    <w:rsid w:val="002460FA"/>
    <w:rsid w:val="00246623"/>
    <w:rsid w:val="00246B3C"/>
    <w:rsid w:val="002528F3"/>
    <w:rsid w:val="00252A99"/>
    <w:rsid w:val="00252B69"/>
    <w:rsid w:val="002533B0"/>
    <w:rsid w:val="00253B39"/>
    <w:rsid w:val="00253CE5"/>
    <w:rsid w:val="00253E2B"/>
    <w:rsid w:val="002565F3"/>
    <w:rsid w:val="0026107A"/>
    <w:rsid w:val="002612BF"/>
    <w:rsid w:val="0026182E"/>
    <w:rsid w:val="002623BE"/>
    <w:rsid w:val="002629BE"/>
    <w:rsid w:val="0026417C"/>
    <w:rsid w:val="00266DF9"/>
    <w:rsid w:val="0027313B"/>
    <w:rsid w:val="002742CF"/>
    <w:rsid w:val="00276F9F"/>
    <w:rsid w:val="00277984"/>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CE3"/>
    <w:rsid w:val="002965BA"/>
    <w:rsid w:val="002A2BEF"/>
    <w:rsid w:val="002A3002"/>
    <w:rsid w:val="002A3641"/>
    <w:rsid w:val="002B01C3"/>
    <w:rsid w:val="002C2BAC"/>
    <w:rsid w:val="002C3499"/>
    <w:rsid w:val="002C41F0"/>
    <w:rsid w:val="002C75FC"/>
    <w:rsid w:val="002C7725"/>
    <w:rsid w:val="002D0B3A"/>
    <w:rsid w:val="002D2205"/>
    <w:rsid w:val="002D26FB"/>
    <w:rsid w:val="002D5D38"/>
    <w:rsid w:val="002D70AB"/>
    <w:rsid w:val="002D75AD"/>
    <w:rsid w:val="002E11AB"/>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25B1"/>
    <w:rsid w:val="00305C9D"/>
    <w:rsid w:val="0030735D"/>
    <w:rsid w:val="00307463"/>
    <w:rsid w:val="00307AE3"/>
    <w:rsid w:val="0031002A"/>
    <w:rsid w:val="00310309"/>
    <w:rsid w:val="003116DC"/>
    <w:rsid w:val="00311725"/>
    <w:rsid w:val="00320AAB"/>
    <w:rsid w:val="00320E94"/>
    <w:rsid w:val="003211A9"/>
    <w:rsid w:val="003226E3"/>
    <w:rsid w:val="00324579"/>
    <w:rsid w:val="00332FE6"/>
    <w:rsid w:val="003360B7"/>
    <w:rsid w:val="003367D8"/>
    <w:rsid w:val="00336EEE"/>
    <w:rsid w:val="00337320"/>
    <w:rsid w:val="0034155C"/>
    <w:rsid w:val="0034757B"/>
    <w:rsid w:val="00350920"/>
    <w:rsid w:val="00352F44"/>
    <w:rsid w:val="003549D4"/>
    <w:rsid w:val="003560A1"/>
    <w:rsid w:val="003616B0"/>
    <w:rsid w:val="00362E21"/>
    <w:rsid w:val="00365074"/>
    <w:rsid w:val="003654D9"/>
    <w:rsid w:val="00365844"/>
    <w:rsid w:val="0036602E"/>
    <w:rsid w:val="00367F37"/>
    <w:rsid w:val="00370565"/>
    <w:rsid w:val="003761BA"/>
    <w:rsid w:val="003815C1"/>
    <w:rsid w:val="0038278D"/>
    <w:rsid w:val="0038291F"/>
    <w:rsid w:val="00383785"/>
    <w:rsid w:val="00384270"/>
    <w:rsid w:val="003842AB"/>
    <w:rsid w:val="003857A1"/>
    <w:rsid w:val="00387EBD"/>
    <w:rsid w:val="003931F4"/>
    <w:rsid w:val="003939D3"/>
    <w:rsid w:val="00395B17"/>
    <w:rsid w:val="00395DD4"/>
    <w:rsid w:val="00397BEF"/>
    <w:rsid w:val="003A0ADE"/>
    <w:rsid w:val="003A1991"/>
    <w:rsid w:val="003A374A"/>
    <w:rsid w:val="003A393C"/>
    <w:rsid w:val="003A42CC"/>
    <w:rsid w:val="003A5555"/>
    <w:rsid w:val="003A6086"/>
    <w:rsid w:val="003A7094"/>
    <w:rsid w:val="003A72CF"/>
    <w:rsid w:val="003B25BA"/>
    <w:rsid w:val="003B4284"/>
    <w:rsid w:val="003B4A00"/>
    <w:rsid w:val="003C005B"/>
    <w:rsid w:val="003C0AAC"/>
    <w:rsid w:val="003C2291"/>
    <w:rsid w:val="003C43C1"/>
    <w:rsid w:val="003C6686"/>
    <w:rsid w:val="003C7412"/>
    <w:rsid w:val="003C7DED"/>
    <w:rsid w:val="003D0365"/>
    <w:rsid w:val="003D16D7"/>
    <w:rsid w:val="003D1F96"/>
    <w:rsid w:val="003D4796"/>
    <w:rsid w:val="003D7E07"/>
    <w:rsid w:val="003E2730"/>
    <w:rsid w:val="003E3C61"/>
    <w:rsid w:val="003E5B1D"/>
    <w:rsid w:val="003E6B4D"/>
    <w:rsid w:val="003E76E9"/>
    <w:rsid w:val="003F0FE0"/>
    <w:rsid w:val="003F1409"/>
    <w:rsid w:val="003F26AC"/>
    <w:rsid w:val="003F3BF3"/>
    <w:rsid w:val="003F3D0A"/>
    <w:rsid w:val="003F5AFF"/>
    <w:rsid w:val="003F5CCE"/>
    <w:rsid w:val="003F682C"/>
    <w:rsid w:val="0040019B"/>
    <w:rsid w:val="00400E4D"/>
    <w:rsid w:val="0040225E"/>
    <w:rsid w:val="00402AA5"/>
    <w:rsid w:val="00404042"/>
    <w:rsid w:val="00404B9B"/>
    <w:rsid w:val="00404F0E"/>
    <w:rsid w:val="00406D31"/>
    <w:rsid w:val="00407A5A"/>
    <w:rsid w:val="004120AC"/>
    <w:rsid w:val="00413A1C"/>
    <w:rsid w:val="004153F9"/>
    <w:rsid w:val="004163B5"/>
    <w:rsid w:val="00423210"/>
    <w:rsid w:val="004233C0"/>
    <w:rsid w:val="00433E87"/>
    <w:rsid w:val="00434824"/>
    <w:rsid w:val="00434D39"/>
    <w:rsid w:val="00434D8A"/>
    <w:rsid w:val="00450334"/>
    <w:rsid w:val="004511D5"/>
    <w:rsid w:val="00451ABC"/>
    <w:rsid w:val="00452CA4"/>
    <w:rsid w:val="00453609"/>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2A73"/>
    <w:rsid w:val="004A4826"/>
    <w:rsid w:val="004A68CA"/>
    <w:rsid w:val="004B12B2"/>
    <w:rsid w:val="004B20C4"/>
    <w:rsid w:val="004B30FB"/>
    <w:rsid w:val="004B44F8"/>
    <w:rsid w:val="004B752D"/>
    <w:rsid w:val="004B791C"/>
    <w:rsid w:val="004C32A5"/>
    <w:rsid w:val="004C5429"/>
    <w:rsid w:val="004D2B01"/>
    <w:rsid w:val="004D2D64"/>
    <w:rsid w:val="004D2E96"/>
    <w:rsid w:val="004D4014"/>
    <w:rsid w:val="004D5F6A"/>
    <w:rsid w:val="004D603C"/>
    <w:rsid w:val="004E2D9F"/>
    <w:rsid w:val="004E4CB9"/>
    <w:rsid w:val="004E6D88"/>
    <w:rsid w:val="004F3F5B"/>
    <w:rsid w:val="004F7042"/>
    <w:rsid w:val="004F724A"/>
    <w:rsid w:val="004F77CA"/>
    <w:rsid w:val="00506B0D"/>
    <w:rsid w:val="00510677"/>
    <w:rsid w:val="005122BD"/>
    <w:rsid w:val="00513A03"/>
    <w:rsid w:val="00515813"/>
    <w:rsid w:val="00515C9C"/>
    <w:rsid w:val="00515EE5"/>
    <w:rsid w:val="0051674C"/>
    <w:rsid w:val="005204D5"/>
    <w:rsid w:val="00524941"/>
    <w:rsid w:val="00526D8B"/>
    <w:rsid w:val="00526FFF"/>
    <w:rsid w:val="00527384"/>
    <w:rsid w:val="00532EA0"/>
    <w:rsid w:val="0053353B"/>
    <w:rsid w:val="005350D9"/>
    <w:rsid w:val="0053537A"/>
    <w:rsid w:val="00535FEF"/>
    <w:rsid w:val="00536DD7"/>
    <w:rsid w:val="005400B9"/>
    <w:rsid w:val="005406CC"/>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95BC4"/>
    <w:rsid w:val="00597962"/>
    <w:rsid w:val="005A0001"/>
    <w:rsid w:val="005A0FCC"/>
    <w:rsid w:val="005A1B66"/>
    <w:rsid w:val="005A1BCD"/>
    <w:rsid w:val="005A235A"/>
    <w:rsid w:val="005A2D1B"/>
    <w:rsid w:val="005A35B7"/>
    <w:rsid w:val="005A3AC9"/>
    <w:rsid w:val="005A4483"/>
    <w:rsid w:val="005A5FCD"/>
    <w:rsid w:val="005A6B8F"/>
    <w:rsid w:val="005A7BF4"/>
    <w:rsid w:val="005B0BB4"/>
    <w:rsid w:val="005B21DE"/>
    <w:rsid w:val="005B56E3"/>
    <w:rsid w:val="005B593D"/>
    <w:rsid w:val="005B5FC2"/>
    <w:rsid w:val="005C1D42"/>
    <w:rsid w:val="005C4602"/>
    <w:rsid w:val="005C4CEF"/>
    <w:rsid w:val="005C53CF"/>
    <w:rsid w:val="005C79C1"/>
    <w:rsid w:val="005D14B1"/>
    <w:rsid w:val="005D1F35"/>
    <w:rsid w:val="005D2DCB"/>
    <w:rsid w:val="005D357B"/>
    <w:rsid w:val="005D4BBC"/>
    <w:rsid w:val="005D4D35"/>
    <w:rsid w:val="005D5FC8"/>
    <w:rsid w:val="005D632D"/>
    <w:rsid w:val="005D72B8"/>
    <w:rsid w:val="005E06E2"/>
    <w:rsid w:val="005E0BF1"/>
    <w:rsid w:val="005E2112"/>
    <w:rsid w:val="005E2B4C"/>
    <w:rsid w:val="005E393E"/>
    <w:rsid w:val="005E3F95"/>
    <w:rsid w:val="005E730C"/>
    <w:rsid w:val="005E7912"/>
    <w:rsid w:val="005E7E0B"/>
    <w:rsid w:val="005F05E4"/>
    <w:rsid w:val="005F1A1C"/>
    <w:rsid w:val="005F1D94"/>
    <w:rsid w:val="005F28AC"/>
    <w:rsid w:val="00600114"/>
    <w:rsid w:val="00601DBE"/>
    <w:rsid w:val="00605A83"/>
    <w:rsid w:val="0061034E"/>
    <w:rsid w:val="00611355"/>
    <w:rsid w:val="006116FA"/>
    <w:rsid w:val="0061249E"/>
    <w:rsid w:val="006125D7"/>
    <w:rsid w:val="00614C33"/>
    <w:rsid w:val="00616CF4"/>
    <w:rsid w:val="00620098"/>
    <w:rsid w:val="00620937"/>
    <w:rsid w:val="00622F6A"/>
    <w:rsid w:val="0062672B"/>
    <w:rsid w:val="0062675C"/>
    <w:rsid w:val="00627C9D"/>
    <w:rsid w:val="00635211"/>
    <w:rsid w:val="006353A0"/>
    <w:rsid w:val="00636344"/>
    <w:rsid w:val="006368F9"/>
    <w:rsid w:val="006415EE"/>
    <w:rsid w:val="00642F1E"/>
    <w:rsid w:val="00642FFB"/>
    <w:rsid w:val="00643044"/>
    <w:rsid w:val="00643DDC"/>
    <w:rsid w:val="006445E6"/>
    <w:rsid w:val="00645230"/>
    <w:rsid w:val="006462C8"/>
    <w:rsid w:val="006466AF"/>
    <w:rsid w:val="00646D7A"/>
    <w:rsid w:val="00650CD2"/>
    <w:rsid w:val="006528C9"/>
    <w:rsid w:val="0065528D"/>
    <w:rsid w:val="00655413"/>
    <w:rsid w:val="0065671E"/>
    <w:rsid w:val="006568C7"/>
    <w:rsid w:val="00657E61"/>
    <w:rsid w:val="00661813"/>
    <w:rsid w:val="00661920"/>
    <w:rsid w:val="0066651F"/>
    <w:rsid w:val="00671AEB"/>
    <w:rsid w:val="00673096"/>
    <w:rsid w:val="006738F0"/>
    <w:rsid w:val="00674F4A"/>
    <w:rsid w:val="00677128"/>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026F"/>
    <w:rsid w:val="006A25FE"/>
    <w:rsid w:val="006A3A6E"/>
    <w:rsid w:val="006A4557"/>
    <w:rsid w:val="006A4DC0"/>
    <w:rsid w:val="006B1AFC"/>
    <w:rsid w:val="006B35A1"/>
    <w:rsid w:val="006B3913"/>
    <w:rsid w:val="006B4853"/>
    <w:rsid w:val="006B4C87"/>
    <w:rsid w:val="006B5F18"/>
    <w:rsid w:val="006B6218"/>
    <w:rsid w:val="006C279D"/>
    <w:rsid w:val="006C3278"/>
    <w:rsid w:val="006C32E8"/>
    <w:rsid w:val="006C3AE4"/>
    <w:rsid w:val="006C66A6"/>
    <w:rsid w:val="006D30B7"/>
    <w:rsid w:val="006D4F10"/>
    <w:rsid w:val="006D5080"/>
    <w:rsid w:val="006D5699"/>
    <w:rsid w:val="006E5AC4"/>
    <w:rsid w:val="006E5B70"/>
    <w:rsid w:val="006E6F37"/>
    <w:rsid w:val="006E7774"/>
    <w:rsid w:val="006E786E"/>
    <w:rsid w:val="006F1B27"/>
    <w:rsid w:val="006F6B4C"/>
    <w:rsid w:val="00700646"/>
    <w:rsid w:val="00700BF1"/>
    <w:rsid w:val="007012DF"/>
    <w:rsid w:val="00706908"/>
    <w:rsid w:val="00711DF8"/>
    <w:rsid w:val="0071440E"/>
    <w:rsid w:val="0071469C"/>
    <w:rsid w:val="00715677"/>
    <w:rsid w:val="0071597B"/>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50D1B"/>
    <w:rsid w:val="007520C4"/>
    <w:rsid w:val="00752E0C"/>
    <w:rsid w:val="00753D3B"/>
    <w:rsid w:val="00753ECA"/>
    <w:rsid w:val="007547F5"/>
    <w:rsid w:val="00755F80"/>
    <w:rsid w:val="00760099"/>
    <w:rsid w:val="00764EAB"/>
    <w:rsid w:val="00766336"/>
    <w:rsid w:val="00766822"/>
    <w:rsid w:val="00767C6C"/>
    <w:rsid w:val="00772A54"/>
    <w:rsid w:val="00775061"/>
    <w:rsid w:val="0077748E"/>
    <w:rsid w:val="00782B24"/>
    <w:rsid w:val="007854D0"/>
    <w:rsid w:val="00785918"/>
    <w:rsid w:val="0079068A"/>
    <w:rsid w:val="00791177"/>
    <w:rsid w:val="00792C27"/>
    <w:rsid w:val="00793193"/>
    <w:rsid w:val="00793EC8"/>
    <w:rsid w:val="00794D7A"/>
    <w:rsid w:val="007968FE"/>
    <w:rsid w:val="007972D5"/>
    <w:rsid w:val="007A006C"/>
    <w:rsid w:val="007A019C"/>
    <w:rsid w:val="007A02EE"/>
    <w:rsid w:val="007A1227"/>
    <w:rsid w:val="007A16FB"/>
    <w:rsid w:val="007A261A"/>
    <w:rsid w:val="007A526F"/>
    <w:rsid w:val="007A5657"/>
    <w:rsid w:val="007A5FC5"/>
    <w:rsid w:val="007A7536"/>
    <w:rsid w:val="007A7ED1"/>
    <w:rsid w:val="007B211D"/>
    <w:rsid w:val="007B23BC"/>
    <w:rsid w:val="007B37C8"/>
    <w:rsid w:val="007B509C"/>
    <w:rsid w:val="007B65B8"/>
    <w:rsid w:val="007C0899"/>
    <w:rsid w:val="007C1092"/>
    <w:rsid w:val="007C1E53"/>
    <w:rsid w:val="007C23F2"/>
    <w:rsid w:val="007C24A9"/>
    <w:rsid w:val="007C41AA"/>
    <w:rsid w:val="007C4DAC"/>
    <w:rsid w:val="007C7776"/>
    <w:rsid w:val="007D3A61"/>
    <w:rsid w:val="007D5225"/>
    <w:rsid w:val="007D58CB"/>
    <w:rsid w:val="007D6A91"/>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15F"/>
    <w:rsid w:val="007F58BA"/>
    <w:rsid w:val="007F6BDB"/>
    <w:rsid w:val="007F748D"/>
    <w:rsid w:val="00801702"/>
    <w:rsid w:val="00801F8F"/>
    <w:rsid w:val="00803E96"/>
    <w:rsid w:val="00807062"/>
    <w:rsid w:val="008071AB"/>
    <w:rsid w:val="008118D0"/>
    <w:rsid w:val="00811E7F"/>
    <w:rsid w:val="008124B6"/>
    <w:rsid w:val="00812580"/>
    <w:rsid w:val="0081450E"/>
    <w:rsid w:val="00820C1E"/>
    <w:rsid w:val="00821025"/>
    <w:rsid w:val="00823811"/>
    <w:rsid w:val="0082692C"/>
    <w:rsid w:val="0082776C"/>
    <w:rsid w:val="00827815"/>
    <w:rsid w:val="00827C53"/>
    <w:rsid w:val="00832374"/>
    <w:rsid w:val="008325FC"/>
    <w:rsid w:val="008335CF"/>
    <w:rsid w:val="00834303"/>
    <w:rsid w:val="008364D5"/>
    <w:rsid w:val="0083693A"/>
    <w:rsid w:val="00840BF8"/>
    <w:rsid w:val="00840E7A"/>
    <w:rsid w:val="0084376B"/>
    <w:rsid w:val="008452F6"/>
    <w:rsid w:val="00846AB0"/>
    <w:rsid w:val="008475CB"/>
    <w:rsid w:val="00852A79"/>
    <w:rsid w:val="008562E7"/>
    <w:rsid w:val="008563EE"/>
    <w:rsid w:val="00857C5C"/>
    <w:rsid w:val="008620C1"/>
    <w:rsid w:val="00862D18"/>
    <w:rsid w:val="00863E6B"/>
    <w:rsid w:val="008655B4"/>
    <w:rsid w:val="00874D3A"/>
    <w:rsid w:val="00875B2C"/>
    <w:rsid w:val="008766CE"/>
    <w:rsid w:val="00876D01"/>
    <w:rsid w:val="00876FBF"/>
    <w:rsid w:val="00880B31"/>
    <w:rsid w:val="0088165C"/>
    <w:rsid w:val="00881924"/>
    <w:rsid w:val="00883471"/>
    <w:rsid w:val="00883DBD"/>
    <w:rsid w:val="008847C1"/>
    <w:rsid w:val="00884818"/>
    <w:rsid w:val="00885AAB"/>
    <w:rsid w:val="00886D42"/>
    <w:rsid w:val="008935B5"/>
    <w:rsid w:val="008941D0"/>
    <w:rsid w:val="008944C5"/>
    <w:rsid w:val="0089467E"/>
    <w:rsid w:val="00897169"/>
    <w:rsid w:val="008A06F8"/>
    <w:rsid w:val="008A150E"/>
    <w:rsid w:val="008A2489"/>
    <w:rsid w:val="008A440E"/>
    <w:rsid w:val="008A44D0"/>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347F"/>
    <w:rsid w:val="008D5755"/>
    <w:rsid w:val="008D5EA9"/>
    <w:rsid w:val="008D6C60"/>
    <w:rsid w:val="008D6FD9"/>
    <w:rsid w:val="008E06BF"/>
    <w:rsid w:val="008E0DEB"/>
    <w:rsid w:val="008E0E71"/>
    <w:rsid w:val="008E3973"/>
    <w:rsid w:val="008E6603"/>
    <w:rsid w:val="008E69E6"/>
    <w:rsid w:val="008F350A"/>
    <w:rsid w:val="00900F9F"/>
    <w:rsid w:val="009033BD"/>
    <w:rsid w:val="00904039"/>
    <w:rsid w:val="0090795E"/>
    <w:rsid w:val="00910401"/>
    <w:rsid w:val="00911A34"/>
    <w:rsid w:val="00912683"/>
    <w:rsid w:val="00912B69"/>
    <w:rsid w:val="00912DD1"/>
    <w:rsid w:val="009200A1"/>
    <w:rsid w:val="00920E49"/>
    <w:rsid w:val="009226AE"/>
    <w:rsid w:val="0092332B"/>
    <w:rsid w:val="00926553"/>
    <w:rsid w:val="00932E1F"/>
    <w:rsid w:val="009337EB"/>
    <w:rsid w:val="00933FE2"/>
    <w:rsid w:val="0093403C"/>
    <w:rsid w:val="00935387"/>
    <w:rsid w:val="009434B7"/>
    <w:rsid w:val="00944A06"/>
    <w:rsid w:val="0094720E"/>
    <w:rsid w:val="009506BB"/>
    <w:rsid w:val="00953CAC"/>
    <w:rsid w:val="00955571"/>
    <w:rsid w:val="0096063F"/>
    <w:rsid w:val="009620CC"/>
    <w:rsid w:val="009628AD"/>
    <w:rsid w:val="00962DA1"/>
    <w:rsid w:val="0096541E"/>
    <w:rsid w:val="00965F42"/>
    <w:rsid w:val="00967BC8"/>
    <w:rsid w:val="009746FC"/>
    <w:rsid w:val="00975227"/>
    <w:rsid w:val="00977A95"/>
    <w:rsid w:val="00980033"/>
    <w:rsid w:val="0098122F"/>
    <w:rsid w:val="00990684"/>
    <w:rsid w:val="0099081D"/>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B7623"/>
    <w:rsid w:val="009C1A6D"/>
    <w:rsid w:val="009C55EA"/>
    <w:rsid w:val="009C565D"/>
    <w:rsid w:val="009D0070"/>
    <w:rsid w:val="009D1A61"/>
    <w:rsid w:val="009D1E59"/>
    <w:rsid w:val="009D3FEB"/>
    <w:rsid w:val="009D538A"/>
    <w:rsid w:val="009D675B"/>
    <w:rsid w:val="009D7B95"/>
    <w:rsid w:val="009E0BD1"/>
    <w:rsid w:val="009E2BDB"/>
    <w:rsid w:val="009E417E"/>
    <w:rsid w:val="009E52C9"/>
    <w:rsid w:val="009E52EF"/>
    <w:rsid w:val="009E5947"/>
    <w:rsid w:val="009E761C"/>
    <w:rsid w:val="009F26C0"/>
    <w:rsid w:val="009F308A"/>
    <w:rsid w:val="009F57D1"/>
    <w:rsid w:val="009F5E71"/>
    <w:rsid w:val="009F6E97"/>
    <w:rsid w:val="00A012C7"/>
    <w:rsid w:val="00A03959"/>
    <w:rsid w:val="00A03AD7"/>
    <w:rsid w:val="00A07F91"/>
    <w:rsid w:val="00A107D7"/>
    <w:rsid w:val="00A10D57"/>
    <w:rsid w:val="00A13E2A"/>
    <w:rsid w:val="00A14049"/>
    <w:rsid w:val="00A16B81"/>
    <w:rsid w:val="00A16E58"/>
    <w:rsid w:val="00A2352C"/>
    <w:rsid w:val="00A2445D"/>
    <w:rsid w:val="00A30B87"/>
    <w:rsid w:val="00A32194"/>
    <w:rsid w:val="00A32BCC"/>
    <w:rsid w:val="00A36EBA"/>
    <w:rsid w:val="00A3703E"/>
    <w:rsid w:val="00A3713E"/>
    <w:rsid w:val="00A3786E"/>
    <w:rsid w:val="00A42F8A"/>
    <w:rsid w:val="00A4312D"/>
    <w:rsid w:val="00A470ED"/>
    <w:rsid w:val="00A509D3"/>
    <w:rsid w:val="00A51734"/>
    <w:rsid w:val="00A51AD4"/>
    <w:rsid w:val="00A54117"/>
    <w:rsid w:val="00A56B9D"/>
    <w:rsid w:val="00A57789"/>
    <w:rsid w:val="00A639B8"/>
    <w:rsid w:val="00A6633B"/>
    <w:rsid w:val="00A6651F"/>
    <w:rsid w:val="00A66710"/>
    <w:rsid w:val="00A67B1E"/>
    <w:rsid w:val="00A72005"/>
    <w:rsid w:val="00A73005"/>
    <w:rsid w:val="00A74C09"/>
    <w:rsid w:val="00A75B0D"/>
    <w:rsid w:val="00A76292"/>
    <w:rsid w:val="00A76DC6"/>
    <w:rsid w:val="00A803C5"/>
    <w:rsid w:val="00A80DB1"/>
    <w:rsid w:val="00A80EB7"/>
    <w:rsid w:val="00A842C0"/>
    <w:rsid w:val="00A93914"/>
    <w:rsid w:val="00A9514F"/>
    <w:rsid w:val="00A96FA1"/>
    <w:rsid w:val="00AA45F8"/>
    <w:rsid w:val="00AA76D7"/>
    <w:rsid w:val="00AB025E"/>
    <w:rsid w:val="00AB048F"/>
    <w:rsid w:val="00AB395B"/>
    <w:rsid w:val="00AB4ACE"/>
    <w:rsid w:val="00AB6104"/>
    <w:rsid w:val="00AB79D2"/>
    <w:rsid w:val="00AB7BD4"/>
    <w:rsid w:val="00AC112E"/>
    <w:rsid w:val="00AC1CA0"/>
    <w:rsid w:val="00AC494F"/>
    <w:rsid w:val="00AC5812"/>
    <w:rsid w:val="00AC5CFD"/>
    <w:rsid w:val="00AC6D47"/>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24B3"/>
    <w:rsid w:val="00B23663"/>
    <w:rsid w:val="00B25450"/>
    <w:rsid w:val="00B314A2"/>
    <w:rsid w:val="00B32B6F"/>
    <w:rsid w:val="00B33E41"/>
    <w:rsid w:val="00B35AD1"/>
    <w:rsid w:val="00B40E55"/>
    <w:rsid w:val="00B437D8"/>
    <w:rsid w:val="00B470DA"/>
    <w:rsid w:val="00B51AC8"/>
    <w:rsid w:val="00B520CF"/>
    <w:rsid w:val="00B52269"/>
    <w:rsid w:val="00B54217"/>
    <w:rsid w:val="00B573B1"/>
    <w:rsid w:val="00B614A3"/>
    <w:rsid w:val="00B64711"/>
    <w:rsid w:val="00B65755"/>
    <w:rsid w:val="00B658CD"/>
    <w:rsid w:val="00B66945"/>
    <w:rsid w:val="00B67EBE"/>
    <w:rsid w:val="00B712B3"/>
    <w:rsid w:val="00B71F5A"/>
    <w:rsid w:val="00B74969"/>
    <w:rsid w:val="00B74A19"/>
    <w:rsid w:val="00B75868"/>
    <w:rsid w:val="00B77E61"/>
    <w:rsid w:val="00B8049E"/>
    <w:rsid w:val="00B80711"/>
    <w:rsid w:val="00B80DD2"/>
    <w:rsid w:val="00B84C3C"/>
    <w:rsid w:val="00B868B3"/>
    <w:rsid w:val="00B95309"/>
    <w:rsid w:val="00B97B9C"/>
    <w:rsid w:val="00BA2CB8"/>
    <w:rsid w:val="00BA2EE9"/>
    <w:rsid w:val="00BA4CD9"/>
    <w:rsid w:val="00BA5EAE"/>
    <w:rsid w:val="00BB0870"/>
    <w:rsid w:val="00BB1EA5"/>
    <w:rsid w:val="00BB4AFE"/>
    <w:rsid w:val="00BB7BE8"/>
    <w:rsid w:val="00BC02FA"/>
    <w:rsid w:val="00BC0A72"/>
    <w:rsid w:val="00BC0CD6"/>
    <w:rsid w:val="00BC2466"/>
    <w:rsid w:val="00BC579A"/>
    <w:rsid w:val="00BC661C"/>
    <w:rsid w:val="00BD0024"/>
    <w:rsid w:val="00BD0533"/>
    <w:rsid w:val="00BD22FE"/>
    <w:rsid w:val="00BD34D3"/>
    <w:rsid w:val="00BD69CF"/>
    <w:rsid w:val="00BE09DE"/>
    <w:rsid w:val="00BE0B32"/>
    <w:rsid w:val="00BE0BA2"/>
    <w:rsid w:val="00BE1755"/>
    <w:rsid w:val="00BE1D2C"/>
    <w:rsid w:val="00BE3BB8"/>
    <w:rsid w:val="00BE60C0"/>
    <w:rsid w:val="00BF02CA"/>
    <w:rsid w:val="00BF1AD6"/>
    <w:rsid w:val="00BF1C64"/>
    <w:rsid w:val="00BF1C8B"/>
    <w:rsid w:val="00BF6DBE"/>
    <w:rsid w:val="00C02DDE"/>
    <w:rsid w:val="00C03FBA"/>
    <w:rsid w:val="00C07867"/>
    <w:rsid w:val="00C103A5"/>
    <w:rsid w:val="00C10BA8"/>
    <w:rsid w:val="00C122AF"/>
    <w:rsid w:val="00C1246C"/>
    <w:rsid w:val="00C12668"/>
    <w:rsid w:val="00C13A95"/>
    <w:rsid w:val="00C14708"/>
    <w:rsid w:val="00C14FE6"/>
    <w:rsid w:val="00C15AB0"/>
    <w:rsid w:val="00C173AC"/>
    <w:rsid w:val="00C17C49"/>
    <w:rsid w:val="00C20104"/>
    <w:rsid w:val="00C20D01"/>
    <w:rsid w:val="00C2301E"/>
    <w:rsid w:val="00C23328"/>
    <w:rsid w:val="00C26A0D"/>
    <w:rsid w:val="00C3751A"/>
    <w:rsid w:val="00C412FF"/>
    <w:rsid w:val="00C41C42"/>
    <w:rsid w:val="00C41F25"/>
    <w:rsid w:val="00C41F5D"/>
    <w:rsid w:val="00C43336"/>
    <w:rsid w:val="00C4444E"/>
    <w:rsid w:val="00C44560"/>
    <w:rsid w:val="00C44F82"/>
    <w:rsid w:val="00C45CF0"/>
    <w:rsid w:val="00C47BD5"/>
    <w:rsid w:val="00C51A83"/>
    <w:rsid w:val="00C52ADC"/>
    <w:rsid w:val="00C55187"/>
    <w:rsid w:val="00C6259B"/>
    <w:rsid w:val="00C62E58"/>
    <w:rsid w:val="00C638FE"/>
    <w:rsid w:val="00C64186"/>
    <w:rsid w:val="00C65271"/>
    <w:rsid w:val="00C7041B"/>
    <w:rsid w:val="00C70A9E"/>
    <w:rsid w:val="00C71AEC"/>
    <w:rsid w:val="00C77C1E"/>
    <w:rsid w:val="00C81AC2"/>
    <w:rsid w:val="00C8369D"/>
    <w:rsid w:val="00C84AD9"/>
    <w:rsid w:val="00C8500E"/>
    <w:rsid w:val="00C85C5D"/>
    <w:rsid w:val="00C92318"/>
    <w:rsid w:val="00C92D1B"/>
    <w:rsid w:val="00C9496D"/>
    <w:rsid w:val="00CA0627"/>
    <w:rsid w:val="00CA0A25"/>
    <w:rsid w:val="00CA0E01"/>
    <w:rsid w:val="00CA2E3E"/>
    <w:rsid w:val="00CA310C"/>
    <w:rsid w:val="00CA3282"/>
    <w:rsid w:val="00CA33D3"/>
    <w:rsid w:val="00CA71CC"/>
    <w:rsid w:val="00CB2252"/>
    <w:rsid w:val="00CB2A99"/>
    <w:rsid w:val="00CB3B62"/>
    <w:rsid w:val="00CB4B87"/>
    <w:rsid w:val="00CB7C85"/>
    <w:rsid w:val="00CC6C44"/>
    <w:rsid w:val="00CD0AA8"/>
    <w:rsid w:val="00CD2217"/>
    <w:rsid w:val="00CD3108"/>
    <w:rsid w:val="00CD3404"/>
    <w:rsid w:val="00CD4E49"/>
    <w:rsid w:val="00CD5B1C"/>
    <w:rsid w:val="00CE21D3"/>
    <w:rsid w:val="00CE2599"/>
    <w:rsid w:val="00CE394E"/>
    <w:rsid w:val="00CE420F"/>
    <w:rsid w:val="00CE4D84"/>
    <w:rsid w:val="00CE60C5"/>
    <w:rsid w:val="00CF0272"/>
    <w:rsid w:val="00CF1E94"/>
    <w:rsid w:val="00CF2858"/>
    <w:rsid w:val="00CF423E"/>
    <w:rsid w:val="00CF4417"/>
    <w:rsid w:val="00D00A75"/>
    <w:rsid w:val="00D00FF2"/>
    <w:rsid w:val="00D03821"/>
    <w:rsid w:val="00D07714"/>
    <w:rsid w:val="00D10094"/>
    <w:rsid w:val="00D10395"/>
    <w:rsid w:val="00D121C3"/>
    <w:rsid w:val="00D12634"/>
    <w:rsid w:val="00D1334E"/>
    <w:rsid w:val="00D1720D"/>
    <w:rsid w:val="00D17B1A"/>
    <w:rsid w:val="00D209D5"/>
    <w:rsid w:val="00D20D87"/>
    <w:rsid w:val="00D2282F"/>
    <w:rsid w:val="00D2439B"/>
    <w:rsid w:val="00D24556"/>
    <w:rsid w:val="00D26A00"/>
    <w:rsid w:val="00D2747B"/>
    <w:rsid w:val="00D2758B"/>
    <w:rsid w:val="00D27AF4"/>
    <w:rsid w:val="00D35365"/>
    <w:rsid w:val="00D3729B"/>
    <w:rsid w:val="00D37662"/>
    <w:rsid w:val="00D40B37"/>
    <w:rsid w:val="00D44761"/>
    <w:rsid w:val="00D44E97"/>
    <w:rsid w:val="00D45A25"/>
    <w:rsid w:val="00D46731"/>
    <w:rsid w:val="00D50B49"/>
    <w:rsid w:val="00D50E9F"/>
    <w:rsid w:val="00D50EA0"/>
    <w:rsid w:val="00D528C9"/>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65B9"/>
    <w:rsid w:val="00D76D6A"/>
    <w:rsid w:val="00D7738C"/>
    <w:rsid w:val="00D816A3"/>
    <w:rsid w:val="00D8189F"/>
    <w:rsid w:val="00D81AAB"/>
    <w:rsid w:val="00D8403B"/>
    <w:rsid w:val="00D86BCD"/>
    <w:rsid w:val="00D86EDE"/>
    <w:rsid w:val="00D871E0"/>
    <w:rsid w:val="00D877EA"/>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D1C0A"/>
    <w:rsid w:val="00DD342E"/>
    <w:rsid w:val="00DD60E7"/>
    <w:rsid w:val="00DD6767"/>
    <w:rsid w:val="00DE1E42"/>
    <w:rsid w:val="00DE3999"/>
    <w:rsid w:val="00DE416A"/>
    <w:rsid w:val="00DE76BB"/>
    <w:rsid w:val="00DE76F0"/>
    <w:rsid w:val="00DF0241"/>
    <w:rsid w:val="00DF071B"/>
    <w:rsid w:val="00DF177E"/>
    <w:rsid w:val="00DF1A7E"/>
    <w:rsid w:val="00DF27D7"/>
    <w:rsid w:val="00DF649F"/>
    <w:rsid w:val="00E00C8A"/>
    <w:rsid w:val="00E01FCC"/>
    <w:rsid w:val="00E040C6"/>
    <w:rsid w:val="00E07A62"/>
    <w:rsid w:val="00E11A71"/>
    <w:rsid w:val="00E157A5"/>
    <w:rsid w:val="00E23117"/>
    <w:rsid w:val="00E2494E"/>
    <w:rsid w:val="00E25D0B"/>
    <w:rsid w:val="00E25DD9"/>
    <w:rsid w:val="00E27AC3"/>
    <w:rsid w:val="00E27B9E"/>
    <w:rsid w:val="00E27D9E"/>
    <w:rsid w:val="00E33504"/>
    <w:rsid w:val="00E33DED"/>
    <w:rsid w:val="00E34982"/>
    <w:rsid w:val="00E3623C"/>
    <w:rsid w:val="00E37BF1"/>
    <w:rsid w:val="00E43E76"/>
    <w:rsid w:val="00E44349"/>
    <w:rsid w:val="00E540DA"/>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2872"/>
    <w:rsid w:val="00E859FE"/>
    <w:rsid w:val="00E91B13"/>
    <w:rsid w:val="00E924A5"/>
    <w:rsid w:val="00E924AC"/>
    <w:rsid w:val="00E93CA1"/>
    <w:rsid w:val="00E9437E"/>
    <w:rsid w:val="00E95B04"/>
    <w:rsid w:val="00E9678C"/>
    <w:rsid w:val="00E97655"/>
    <w:rsid w:val="00E97FAE"/>
    <w:rsid w:val="00EA1D8F"/>
    <w:rsid w:val="00EB0A04"/>
    <w:rsid w:val="00EB1FFC"/>
    <w:rsid w:val="00EB209D"/>
    <w:rsid w:val="00EB277B"/>
    <w:rsid w:val="00EB323D"/>
    <w:rsid w:val="00EB3DDE"/>
    <w:rsid w:val="00EB3FBA"/>
    <w:rsid w:val="00EB5B27"/>
    <w:rsid w:val="00EC5782"/>
    <w:rsid w:val="00EC5D45"/>
    <w:rsid w:val="00EC5DAC"/>
    <w:rsid w:val="00ED1DE9"/>
    <w:rsid w:val="00ED1FD5"/>
    <w:rsid w:val="00ED208D"/>
    <w:rsid w:val="00ED4AE2"/>
    <w:rsid w:val="00ED4D4B"/>
    <w:rsid w:val="00ED5E53"/>
    <w:rsid w:val="00ED6853"/>
    <w:rsid w:val="00ED735E"/>
    <w:rsid w:val="00EE5012"/>
    <w:rsid w:val="00EE52CC"/>
    <w:rsid w:val="00EE6E3F"/>
    <w:rsid w:val="00EF11FD"/>
    <w:rsid w:val="00EF522C"/>
    <w:rsid w:val="00EF5372"/>
    <w:rsid w:val="00EF5936"/>
    <w:rsid w:val="00EF5E0B"/>
    <w:rsid w:val="00F01488"/>
    <w:rsid w:val="00F017F7"/>
    <w:rsid w:val="00F03033"/>
    <w:rsid w:val="00F03720"/>
    <w:rsid w:val="00F05C50"/>
    <w:rsid w:val="00F138D1"/>
    <w:rsid w:val="00F148EB"/>
    <w:rsid w:val="00F14FDC"/>
    <w:rsid w:val="00F1500A"/>
    <w:rsid w:val="00F15770"/>
    <w:rsid w:val="00F15923"/>
    <w:rsid w:val="00F1720B"/>
    <w:rsid w:val="00F177F3"/>
    <w:rsid w:val="00F21414"/>
    <w:rsid w:val="00F21502"/>
    <w:rsid w:val="00F22E6E"/>
    <w:rsid w:val="00F24F84"/>
    <w:rsid w:val="00F253F6"/>
    <w:rsid w:val="00F26E05"/>
    <w:rsid w:val="00F2730B"/>
    <w:rsid w:val="00F27576"/>
    <w:rsid w:val="00F32C3C"/>
    <w:rsid w:val="00F32F35"/>
    <w:rsid w:val="00F33A7A"/>
    <w:rsid w:val="00F33DF2"/>
    <w:rsid w:val="00F3506F"/>
    <w:rsid w:val="00F35C0A"/>
    <w:rsid w:val="00F419FE"/>
    <w:rsid w:val="00F41B13"/>
    <w:rsid w:val="00F46B85"/>
    <w:rsid w:val="00F47930"/>
    <w:rsid w:val="00F50E2C"/>
    <w:rsid w:val="00F5165D"/>
    <w:rsid w:val="00F526A1"/>
    <w:rsid w:val="00F52BB0"/>
    <w:rsid w:val="00F55E1C"/>
    <w:rsid w:val="00F56A1C"/>
    <w:rsid w:val="00F56F97"/>
    <w:rsid w:val="00F60B10"/>
    <w:rsid w:val="00F60FA6"/>
    <w:rsid w:val="00F64F1C"/>
    <w:rsid w:val="00F65380"/>
    <w:rsid w:val="00F66D1B"/>
    <w:rsid w:val="00F763EC"/>
    <w:rsid w:val="00F767CD"/>
    <w:rsid w:val="00F80708"/>
    <w:rsid w:val="00F81B23"/>
    <w:rsid w:val="00F8500A"/>
    <w:rsid w:val="00F864C4"/>
    <w:rsid w:val="00F86A04"/>
    <w:rsid w:val="00F87B42"/>
    <w:rsid w:val="00F87BF8"/>
    <w:rsid w:val="00F93983"/>
    <w:rsid w:val="00F93CBE"/>
    <w:rsid w:val="00F958EF"/>
    <w:rsid w:val="00F96DD0"/>
    <w:rsid w:val="00F97E91"/>
    <w:rsid w:val="00F97ED2"/>
    <w:rsid w:val="00FA1214"/>
    <w:rsid w:val="00FA1F9A"/>
    <w:rsid w:val="00FA4755"/>
    <w:rsid w:val="00FA5FA6"/>
    <w:rsid w:val="00FA5FBC"/>
    <w:rsid w:val="00FA7197"/>
    <w:rsid w:val="00FB0893"/>
    <w:rsid w:val="00FB2469"/>
    <w:rsid w:val="00FB2E83"/>
    <w:rsid w:val="00FB5D6E"/>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27F9"/>
    <w:rsid w:val="00FE28C9"/>
    <w:rsid w:val="00FE53F9"/>
    <w:rsid w:val="00FE5CE0"/>
    <w:rsid w:val="00FF2F9B"/>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5516A8"/>
  <w14:defaultImageDpi w14:val="0"/>
  <w15:docId w15:val="{77C2BDDF-0A88-5E4B-8AE6-F59E1F8DF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39B"/>
    <w:pPr>
      <w:suppressAutoHyphens/>
      <w:spacing w:after="200"/>
    </w:pPr>
    <w:rPr>
      <w:sz w:val="24"/>
    </w:rPr>
  </w:style>
  <w:style w:type="paragraph" w:styleId="Heading1">
    <w:name w:val="heading 1"/>
    <w:basedOn w:val="Normal"/>
    <w:next w:val="Normal"/>
    <w:link w:val="Heading1Char"/>
    <w:uiPriority w:val="9"/>
    <w:qFormat/>
    <w:rsid w:val="00C64186"/>
    <w:pPr>
      <w:keepNext/>
      <w:keepLines/>
      <w:spacing w:after="360" w:line="700" w:lineRule="exact"/>
      <w:outlineLvl w:val="0"/>
    </w:pPr>
    <w:rPr>
      <w:rFonts w:asciiTheme="majorHAnsi" w:eastAsiaTheme="majorEastAsia" w:hAnsiTheme="majorHAnsi" w:cs="Times New Roman (Headings CS)"/>
      <w:b/>
      <w:bCs/>
      <w:sz w:val="48"/>
      <w:szCs w:val="36"/>
      <w:lang w:val="en-GB"/>
    </w:rPr>
  </w:style>
  <w:style w:type="paragraph" w:styleId="Heading2">
    <w:name w:val="heading 2"/>
    <w:basedOn w:val="Normal"/>
    <w:next w:val="Normal"/>
    <w:link w:val="Heading2Char"/>
    <w:uiPriority w:val="9"/>
    <w:unhideWhenUsed/>
    <w:qFormat/>
    <w:rsid w:val="006415EE"/>
    <w:pPr>
      <w:keepNext/>
      <w:keepLines/>
      <w:spacing w:before="120" w:after="360" w:line="520" w:lineRule="exact"/>
      <w:outlineLvl w:val="1"/>
    </w:pPr>
    <w:rPr>
      <w:rFonts w:asciiTheme="majorHAnsi" w:eastAsiaTheme="majorEastAsia" w:hAnsiTheme="majorHAnsi" w:cs="Times New Roman (Headings CS)"/>
      <w:b/>
      <w:bCs/>
      <w:color w:val="000000" w:themeColor="text1"/>
      <w:sz w:val="36"/>
      <w:szCs w:val="36"/>
      <w:lang w:val="en-GB"/>
    </w:rPr>
  </w:style>
  <w:style w:type="paragraph" w:styleId="Heading3">
    <w:name w:val="heading 3"/>
    <w:basedOn w:val="Normal"/>
    <w:next w:val="Normal"/>
    <w:link w:val="Heading3Char"/>
    <w:uiPriority w:val="9"/>
    <w:unhideWhenUsed/>
    <w:qFormat/>
    <w:rsid w:val="001E065E"/>
    <w:pPr>
      <w:keepNext/>
      <w:keepLines/>
      <w:spacing w:after="360" w:line="500" w:lineRule="exact"/>
      <w:outlineLvl w:val="2"/>
    </w:pPr>
    <w:rPr>
      <w:rFonts w:asciiTheme="majorHAnsi" w:eastAsiaTheme="majorEastAsia" w:hAnsiTheme="majorHAnsi" w:cstheme="majorBidi"/>
      <w:b/>
      <w:bCs/>
      <w:sz w:val="32"/>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52"/>
      </w:numPr>
    </w:pPr>
  </w:style>
  <w:style w:type="character" w:customStyle="1" w:styleId="Bold">
    <w:name w:val="Bold"/>
    <w:uiPriority w:val="99"/>
    <w:rPr>
      <w:b/>
      <w:bCs/>
    </w:rPr>
  </w:style>
  <w:style w:type="numbering" w:customStyle="1" w:styleId="CurrentList17">
    <w:name w:val="Current List17"/>
    <w:uiPriority w:val="99"/>
    <w:rsid w:val="00BC02FA"/>
    <w:pPr>
      <w:numPr>
        <w:numId w:val="53"/>
      </w:numPr>
    </w:pPr>
  </w:style>
  <w:style w:type="numbering" w:customStyle="1" w:styleId="CurrentList18">
    <w:name w:val="Current List18"/>
    <w:uiPriority w:val="99"/>
    <w:rsid w:val="00BC02FA"/>
    <w:pPr>
      <w:numPr>
        <w:numId w:val="54"/>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7"/>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F47930"/>
    <w:pPr>
      <w:spacing w:after="240" w:line="1000" w:lineRule="exact"/>
    </w:pPr>
    <w:rPr>
      <w:rFonts w:asciiTheme="majorHAnsi" w:eastAsiaTheme="majorEastAsia" w:hAnsiTheme="majorHAnsi" w:cs="Times New Roman (Headings CS)"/>
      <w:b/>
      <w:bCs/>
      <w:spacing w:val="8"/>
      <w:kern w:val="28"/>
      <w:sz w:val="68"/>
      <w:szCs w:val="58"/>
      <w:lang w:val="en-GB"/>
    </w:rPr>
  </w:style>
  <w:style w:type="character" w:customStyle="1" w:styleId="TitleChar">
    <w:name w:val="Title Char"/>
    <w:basedOn w:val="DefaultParagraphFont"/>
    <w:link w:val="Title"/>
    <w:uiPriority w:val="10"/>
    <w:rsid w:val="00F47930"/>
    <w:rPr>
      <w:rFonts w:asciiTheme="majorHAnsi" w:eastAsiaTheme="majorEastAsia" w:hAnsiTheme="majorHAnsi" w:cs="Times New Roman (Headings CS)"/>
      <w:b/>
      <w:bCs/>
      <w:spacing w:val="8"/>
      <w:kern w:val="28"/>
      <w:sz w:val="68"/>
      <w:szCs w:val="58"/>
      <w:lang w:val="en-GB"/>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C64186"/>
    <w:rPr>
      <w:rFonts w:asciiTheme="majorHAnsi" w:eastAsiaTheme="majorEastAsia" w:hAnsiTheme="majorHAnsi" w:cs="Times New Roman (Headings CS)"/>
      <w:b/>
      <w:bCs/>
      <w:sz w:val="48"/>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2"/>
      </w:numPr>
      <w:spacing w:after="120" w:line="288" w:lineRule="auto"/>
      <w:contextualSpacing w:val="0"/>
    </w:pPr>
    <w:rPr>
      <w:lang w:val="en-GB"/>
    </w:rPr>
  </w:style>
  <w:style w:type="character" w:customStyle="1" w:styleId="Heading2Char">
    <w:name w:val="Heading 2 Char"/>
    <w:basedOn w:val="DefaultParagraphFont"/>
    <w:link w:val="Heading2"/>
    <w:uiPriority w:val="9"/>
    <w:rsid w:val="006415EE"/>
    <w:rPr>
      <w:rFonts w:asciiTheme="majorHAnsi" w:eastAsiaTheme="majorEastAsia" w:hAnsiTheme="majorHAnsi" w:cs="Times New Roman (Headings CS)"/>
      <w:b/>
      <w:bCs/>
      <w:color w:val="000000" w:themeColor="text1"/>
      <w:sz w:val="36"/>
      <w:szCs w:val="36"/>
      <w:lang w:val="en-GB"/>
    </w:rPr>
  </w:style>
  <w:style w:type="character" w:customStyle="1" w:styleId="Heading3Char">
    <w:name w:val="Heading 3 Char"/>
    <w:basedOn w:val="DefaultParagraphFont"/>
    <w:link w:val="Heading3"/>
    <w:uiPriority w:val="9"/>
    <w:rsid w:val="001E065E"/>
    <w:rPr>
      <w:rFonts w:asciiTheme="majorHAnsi" w:eastAsiaTheme="majorEastAsia" w:hAnsiTheme="majorHAnsi" w:cstheme="majorBidi"/>
      <w:b/>
      <w:bCs/>
      <w:sz w:val="32"/>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8"/>
      </w:numPr>
    </w:pPr>
  </w:style>
  <w:style w:type="paragraph" w:customStyle="1" w:styleId="Bullet2">
    <w:name w:val="Bullet 2"/>
    <w:basedOn w:val="Normal"/>
    <w:qFormat/>
    <w:rsid w:val="008B38A1"/>
    <w:pPr>
      <w:numPr>
        <w:numId w:val="2"/>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8"/>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82776C"/>
    <w:pPr>
      <w:spacing w:after="120" w:line="480" w:lineRule="auto"/>
    </w:pPr>
    <w:rPr>
      <w:rFonts w:asciiTheme="majorHAnsi" w:hAnsiTheme="majorHAnsi" w:cs="Arial (Headings)"/>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3"/>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4"/>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5"/>
      </w:numPr>
      <w:snapToGrid w:val="0"/>
      <w:ind w:left="357" w:hanging="357"/>
    </w:pPr>
  </w:style>
  <w:style w:type="paragraph" w:styleId="ListNumber2">
    <w:name w:val="List Number 2"/>
    <w:basedOn w:val="Normal"/>
    <w:uiPriority w:val="99"/>
    <w:unhideWhenUsed/>
    <w:rsid w:val="001D3828"/>
    <w:pPr>
      <w:numPr>
        <w:numId w:val="19"/>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6"/>
      </w:numPr>
    </w:pPr>
  </w:style>
  <w:style w:type="numbering" w:customStyle="1" w:styleId="CurrentList2">
    <w:name w:val="Current List2"/>
    <w:uiPriority w:val="99"/>
    <w:rsid w:val="00E11A71"/>
    <w:pPr>
      <w:numPr>
        <w:numId w:val="7"/>
      </w:numPr>
    </w:pPr>
  </w:style>
  <w:style w:type="numbering" w:customStyle="1" w:styleId="CurrentList3">
    <w:name w:val="Current List3"/>
    <w:uiPriority w:val="99"/>
    <w:rsid w:val="00E11A71"/>
    <w:pPr>
      <w:numPr>
        <w:numId w:val="9"/>
      </w:numPr>
    </w:pPr>
  </w:style>
  <w:style w:type="numbering" w:customStyle="1" w:styleId="CurrentList4">
    <w:name w:val="Current List4"/>
    <w:uiPriority w:val="99"/>
    <w:rsid w:val="00E11A71"/>
    <w:pPr>
      <w:numPr>
        <w:numId w:val="10"/>
      </w:numPr>
    </w:pPr>
  </w:style>
  <w:style w:type="numbering" w:customStyle="1" w:styleId="CurrentList5">
    <w:name w:val="Current List5"/>
    <w:uiPriority w:val="99"/>
    <w:rsid w:val="00E11A71"/>
    <w:pPr>
      <w:numPr>
        <w:numId w:val="11"/>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3"/>
      </w:numPr>
    </w:pPr>
  </w:style>
  <w:style w:type="numbering" w:customStyle="1" w:styleId="CurrentList7">
    <w:name w:val="Current List7"/>
    <w:uiPriority w:val="99"/>
    <w:rsid w:val="00904039"/>
    <w:pPr>
      <w:numPr>
        <w:numId w:val="14"/>
      </w:numPr>
    </w:pPr>
  </w:style>
  <w:style w:type="numbering" w:customStyle="1" w:styleId="CurrentList8">
    <w:name w:val="Current List8"/>
    <w:uiPriority w:val="99"/>
    <w:rsid w:val="00241796"/>
    <w:pPr>
      <w:numPr>
        <w:numId w:val="15"/>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20"/>
      </w:numPr>
    </w:pPr>
  </w:style>
  <w:style w:type="paragraph" w:styleId="ListBullet3">
    <w:name w:val="List Bullet 3"/>
    <w:basedOn w:val="ListBullet2"/>
    <w:uiPriority w:val="99"/>
    <w:unhideWhenUsed/>
    <w:rsid w:val="00452CA4"/>
    <w:pPr>
      <w:numPr>
        <w:numId w:val="21"/>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u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2"/>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3"/>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5"/>
      </w:numPr>
    </w:pPr>
  </w:style>
  <w:style w:type="numbering" w:customStyle="1" w:styleId="CurrentList15">
    <w:name w:val="Current List15"/>
    <w:uiPriority w:val="99"/>
    <w:rsid w:val="0074162B"/>
    <w:pPr>
      <w:numPr>
        <w:numId w:val="38"/>
      </w:numPr>
    </w:pPr>
  </w:style>
  <w:style w:type="numbering" w:customStyle="1" w:styleId="CurrentList16">
    <w:name w:val="Current List16"/>
    <w:uiPriority w:val="99"/>
    <w:rsid w:val="00B54217"/>
    <w:pPr>
      <w:numPr>
        <w:numId w:val="42"/>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paragraph" w:styleId="FootnoteText">
    <w:name w:val="footnote text"/>
    <w:basedOn w:val="Normal"/>
    <w:link w:val="FootnoteTextChar"/>
    <w:uiPriority w:val="99"/>
    <w:semiHidden/>
    <w:unhideWhenUsed/>
    <w:rsid w:val="003C005B"/>
    <w:pPr>
      <w:spacing w:after="120" w:line="360" w:lineRule="auto"/>
      <w:ind w:left="227" w:hanging="227"/>
    </w:pPr>
    <w:rPr>
      <w:sz w:val="20"/>
      <w:szCs w:val="20"/>
    </w:rPr>
  </w:style>
  <w:style w:type="character" w:customStyle="1" w:styleId="FootnoteTextChar">
    <w:name w:val="Footnote Text Char"/>
    <w:basedOn w:val="DefaultParagraphFont"/>
    <w:link w:val="FootnoteText"/>
    <w:uiPriority w:val="99"/>
    <w:semiHidden/>
    <w:rsid w:val="003C005B"/>
    <w:rPr>
      <w:sz w:val="20"/>
      <w:szCs w:val="20"/>
    </w:rPr>
  </w:style>
  <w:style w:type="character" w:styleId="FootnoteReference">
    <w:name w:val="footnote reference"/>
    <w:basedOn w:val="DefaultParagraphFont"/>
    <w:semiHidden/>
    <w:unhideWhenUsed/>
    <w:rsid w:val="006415EE"/>
    <w:rPr>
      <w:vertAlign w:val="superscript"/>
    </w:rPr>
  </w:style>
  <w:style w:type="character" w:styleId="UnresolvedMention">
    <w:name w:val="Unresolved Mention"/>
    <w:basedOn w:val="DefaultParagraphFont"/>
    <w:uiPriority w:val="99"/>
    <w:semiHidden/>
    <w:unhideWhenUsed/>
    <w:rsid w:val="00D86EDE"/>
    <w:rPr>
      <w:color w:val="605E5C"/>
      <w:shd w:val="clear" w:color="auto" w:fill="E1DFDD"/>
    </w:rPr>
  </w:style>
  <w:style w:type="paragraph" w:customStyle="1" w:styleId="BodyNETIStyles">
    <w:name w:val="_Body (NETI_Styles)"/>
    <w:basedOn w:val="NoParagraphStyle"/>
    <w:uiPriority w:val="99"/>
    <w:rsid w:val="007D6A91"/>
    <w:pPr>
      <w:widowControl/>
      <w:suppressAutoHyphens/>
      <w:spacing w:after="113" w:line="260" w:lineRule="atLeast"/>
    </w:pPr>
    <w:rPr>
      <w:rFonts w:ascii="VIC" w:hAnsi="VIC" w:cs="VIC"/>
      <w:sz w:val="21"/>
      <w:szCs w:val="21"/>
      <w:lang w:val="en-GB"/>
    </w:rPr>
  </w:style>
  <w:style w:type="paragraph" w:customStyle="1" w:styleId="Body-Intro">
    <w:name w:val="Body - Intro"/>
    <w:basedOn w:val="BodyText"/>
    <w:qFormat/>
    <w:rsid w:val="009E52C9"/>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dcceew.gov.au/energy/renewable/capacity-investment-scheme" TargetMode="External"/><Relationship Id="rId26" Type="http://schemas.openxmlformats.org/officeDocument/2006/relationships/hyperlink" Target="http://bulganagreenpowerhub.com.au/" TargetMode="External"/><Relationship Id="rId39" Type="http://schemas.openxmlformats.org/officeDocument/2006/relationships/theme" Target="theme/theme1.xml"/><Relationship Id="rId21" Type="http://schemas.openxmlformats.org/officeDocument/2006/relationships/image" Target="media/image4.jpg"/><Relationship Id="rId34" Type="http://schemas.openxmlformats.org/officeDocument/2006/relationships/hyperlink" Target="http://creativecommons.org/licenses/by/4.0/"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vic.gov.au/economic-growth-statement" TargetMode="External"/><Relationship Id="rId25" Type="http://schemas.openxmlformats.org/officeDocument/2006/relationships/hyperlink" Target="http://tiltrenewables.com/portfolio/dundonnell-wind-farm" TargetMode="External"/><Relationship Id="rId33" Type="http://schemas.openxmlformats.org/officeDocument/2006/relationships/hyperlink" Target="http://global.vic.gov.au/meet-our-global-team/all-office-location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lanning.vic.gov.au/planning-approvals/planning-enquiries-and-requests/development-facilitation-program" TargetMode="External"/><Relationship Id="rId20" Type="http://schemas.openxmlformats.org/officeDocument/2006/relationships/hyperlink" Target="http://energy.vic.gov.au/renewable-energy/vicgrid/the-victorian-transmission-plan" TargetMode="External"/><Relationship Id="rId29" Type="http://schemas.openxmlformats.org/officeDocument/2006/relationships/hyperlink" Target="http://energy.vic.gov.au/industry/investment-opportunit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energy.vic.gov.au/for-industry/investment-opportunities." TargetMode="External"/><Relationship Id="rId32" Type="http://schemas.openxmlformats.org/officeDocument/2006/relationships/hyperlink" Target="http://invest.vic.gov.au/" TargetMode="External"/><Relationship Id="rId37" Type="http://schemas.openxmlformats.org/officeDocument/2006/relationships/hyperlink" Target="http://www.deeca.vic.gov.au/" TargetMode="External"/><Relationship Id="rId5" Type="http://schemas.openxmlformats.org/officeDocument/2006/relationships/webSettings" Target="webSettings.xml"/><Relationship Id="rId15" Type="http://schemas.openxmlformats.org/officeDocument/2006/relationships/hyperlink" Target="http://planning.vic.gov.au/planning-approvals/planning-enquiries-and-requests/development-facilitation-program" TargetMode="External"/><Relationship Id="rId23" Type="http://schemas.openxmlformats.org/officeDocument/2006/relationships/hyperlink" Target="http://energy.vic.gov.au/renewable-energy/victorian-renewable-energy-and-storage-targets" TargetMode="External"/><Relationship Id="rId28" Type="http://schemas.openxmlformats.org/officeDocument/2006/relationships/hyperlink" Target="mailto:BIE@deeca.vic.gov.au" TargetMode="External"/><Relationship Id="rId36" Type="http://schemas.openxmlformats.org/officeDocument/2006/relationships/hyperlink" Target="mailto:customer.service@delwp.vic.gov.au" TargetMode="External"/><Relationship Id="rId10" Type="http://schemas.openxmlformats.org/officeDocument/2006/relationships/hyperlink" Target="http://deeca.vic.gov.au/aboriginalselfdetermination/self-determination-reform-strategy" TargetMode="External"/><Relationship Id="rId19" Type="http://schemas.openxmlformats.org/officeDocument/2006/relationships/hyperlink" Target="http://treasury.gov.au/publication/p2024-526942" TargetMode="External"/><Relationship Id="rId31" Type="http://schemas.openxmlformats.org/officeDocument/2006/relationships/hyperlink" Target="http://energy.vic.gov.au/renewable-energy/renewable-energy-zone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jpeg"/><Relationship Id="rId22" Type="http://schemas.openxmlformats.org/officeDocument/2006/relationships/hyperlink" Target="http://secvictoria.com.au/" TargetMode="External"/><Relationship Id="rId27" Type="http://schemas.openxmlformats.org/officeDocument/2006/relationships/hyperlink" Target="http://resources.vic.gov.au/critical-minerals" TargetMode="External"/><Relationship Id="rId30" Type="http://schemas.openxmlformats.org/officeDocument/2006/relationships/hyperlink" Target="http://secvictoria.com.au/" TargetMode="External"/><Relationship Id="rId35" Type="http://schemas.openxmlformats.org/officeDocument/2006/relationships/hyperlink" Target="http://creativecommons.org/licenses/by/4.0/" TargetMode="External"/><Relationship Id="rId8" Type="http://schemas.openxmlformats.org/officeDocument/2006/relationships/footer" Target="foot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topuniversities.com/world-university-rankings" TargetMode="External"/><Relationship Id="rId2" Type="http://schemas.openxmlformats.org/officeDocument/2006/relationships/hyperlink" Target="http://djsir.vic.gov.au/made-in-victoria/manufacturing-statement" TargetMode="External"/><Relationship Id="rId1" Type="http://schemas.openxmlformats.org/officeDocument/2006/relationships/hyperlink" Target="http://energy.vic.gov.au/renewable-energy/victorias-electricity-fu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Samsung%20Backup/DEECA%20Work/Document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Document_accessible.dotx</Template>
  <TotalTime>11</TotalTime>
  <Pages>23</Pages>
  <Words>3367</Words>
  <Characters>21349</Characters>
  <Application>Microsoft Office Word</Application>
  <DocSecurity>0</DocSecurity>
  <Lines>454</Lines>
  <Paragraphs>287</Paragraphs>
  <ScaleCrop>false</ScaleCrop>
  <HeadingPairs>
    <vt:vector size="2" baseType="variant">
      <vt:variant>
        <vt:lpstr>Title</vt:lpstr>
      </vt:variant>
      <vt:variant>
        <vt:i4>1</vt:i4>
      </vt:variant>
    </vt:vector>
  </HeadingPairs>
  <TitlesOfParts>
    <vt:vector size="1" baseType="lpstr">
      <vt:lpstr>Victoria's Investment Prospectus ONSHORE WIND</vt:lpstr>
    </vt:vector>
  </TitlesOfParts>
  <Manager>N/A</Manager>
  <Company>Department of Energy, Environment and Climate Action </Company>
  <LinksUpToDate>false</LinksUpToDate>
  <CharactersWithSpaces>24429</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Victoria's Investment Prospectus ONSHORE WIND</dc:title>
  <dc:subject>Victoria's Investment Prospectus ONSHORE WIND</dc:subject>
  <dc:creator>Department of Energy, Environment and Climate Action </dc:creator>
  <cp:keywords>Onshore wind</cp:keywords>
  <dc:description>© October 2025 The State of Victoria Department of Energy, Environment and Climate Action </dc:description>
  <cp:lastModifiedBy>John Allen</cp:lastModifiedBy>
  <cp:revision>9</cp:revision>
  <dcterms:created xsi:type="dcterms:W3CDTF">2025-10-23T01:06:00Z</dcterms:created>
  <dcterms:modified xsi:type="dcterms:W3CDTF">2025-10-23T05:09:00Z</dcterms:modified>
  <cp:category>Prospectus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