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B7852" w14:textId="77777777" w:rsidR="00B66323" w:rsidRDefault="00B66323" w:rsidP="00B66323">
      <w:pPr>
        <w:pStyle w:val="Heading1"/>
      </w:pPr>
      <w:r>
        <w:t>Part 1 – Summary Table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00"/>
        <w:gridCol w:w="4846"/>
      </w:tblGrid>
      <w:tr w:rsidR="00A40B4D" w:rsidRPr="001065B4" w14:paraId="4DDE4044" w14:textId="77777777" w:rsidTr="00B0418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5AC4E050" w14:textId="77777777" w:rsidR="00A40B4D" w:rsidRPr="001065B4" w:rsidRDefault="00A40B4D" w:rsidP="00B009A4">
            <w:pPr>
              <w:spacing w:after="0" w:line="240" w:lineRule="auto"/>
              <w:rPr>
                <w:rFonts w:ascii="Times New Roman" w:eastAsia="Times New Roman" w:hAnsi="Times New Roman" w:cs="Times New Roman"/>
                <w:b/>
                <w:bCs/>
                <w:sz w:val="24"/>
                <w:szCs w:val="24"/>
                <w:lang w:eastAsia="en-AU"/>
              </w:rPr>
            </w:pPr>
            <w:bookmarkStart w:id="0" w:name="_GoBack"/>
            <w:bookmarkEnd w:id="0"/>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A40B4D" w:rsidRPr="001065B4" w14:paraId="5990E794" w14:textId="77777777" w:rsidTr="00B0418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62545D6C"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A40B4D" w:rsidRPr="001065B4" w14:paraId="7657182A"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2710EF76"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2618" w:type="pct"/>
            <w:tcBorders>
              <w:top w:val="outset" w:sz="6" w:space="0" w:color="auto"/>
              <w:left w:val="outset" w:sz="6" w:space="0" w:color="auto"/>
              <w:bottom w:val="outset" w:sz="6" w:space="0" w:color="auto"/>
              <w:right w:val="outset" w:sz="6" w:space="0" w:color="auto"/>
            </w:tcBorders>
            <w:vAlign w:val="center"/>
            <w:hideMark/>
          </w:tcPr>
          <w:p w14:paraId="4FBF3B69" w14:textId="77777777" w:rsidR="00A40B4D" w:rsidRPr="001065B4" w:rsidRDefault="000D3B16" w:rsidP="00B009A4">
            <w:pPr>
              <w:spacing w:after="0" w:line="240" w:lineRule="auto"/>
              <w:rPr>
                <w:rFonts w:ascii="Times New Roman" w:eastAsia="Times New Roman" w:hAnsi="Times New Roman" w:cs="Times New Roman"/>
                <w:sz w:val="24"/>
                <w:szCs w:val="24"/>
                <w:lang w:eastAsia="en-AU"/>
              </w:rPr>
            </w:pPr>
            <w:r w:rsidRPr="00854701">
              <w:rPr>
                <w:rFonts w:ascii="Times New Roman" w:eastAsia="Times New Roman" w:hAnsi="Times New Roman" w:cs="Times New Roman"/>
                <w:sz w:val="24"/>
                <w:szCs w:val="24"/>
                <w:lang w:eastAsia="en-AU"/>
              </w:rPr>
              <w:t>11 December 2015</w:t>
            </w:r>
          </w:p>
        </w:tc>
      </w:tr>
      <w:tr w:rsidR="00A40B4D" w:rsidRPr="001065B4" w14:paraId="59CF282C"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0646E81D"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2618" w:type="pct"/>
            <w:tcBorders>
              <w:top w:val="outset" w:sz="6" w:space="0" w:color="auto"/>
              <w:left w:val="outset" w:sz="6" w:space="0" w:color="auto"/>
              <w:bottom w:val="outset" w:sz="6" w:space="0" w:color="auto"/>
              <w:right w:val="outset" w:sz="6" w:space="0" w:color="auto"/>
            </w:tcBorders>
            <w:vAlign w:val="center"/>
            <w:hideMark/>
          </w:tcPr>
          <w:p w14:paraId="694366E4"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Edge Electrons Pty Ltd</w:t>
            </w:r>
          </w:p>
        </w:tc>
      </w:tr>
      <w:tr w:rsidR="00A40B4D" w:rsidRPr="001065B4" w14:paraId="774D1B22"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7B44F6AC"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2618" w:type="pct"/>
            <w:tcBorders>
              <w:top w:val="outset" w:sz="6" w:space="0" w:color="auto"/>
              <w:left w:val="outset" w:sz="6" w:space="0" w:color="auto"/>
              <w:bottom w:val="outset" w:sz="6" w:space="0" w:color="auto"/>
              <w:right w:val="outset" w:sz="6" w:space="0" w:color="auto"/>
            </w:tcBorders>
            <w:vAlign w:val="center"/>
            <w:hideMark/>
          </w:tcPr>
          <w:p w14:paraId="1FB82AC2" w14:textId="77777777" w:rsidR="00A40B4D" w:rsidRPr="001065B4" w:rsidRDefault="006A552C" w:rsidP="00B009A4">
            <w:pPr>
              <w:spacing w:after="0" w:line="240" w:lineRule="auto"/>
              <w:rPr>
                <w:rFonts w:ascii="Times New Roman" w:eastAsia="Times New Roman" w:hAnsi="Times New Roman" w:cs="Times New Roman"/>
                <w:sz w:val="24"/>
                <w:szCs w:val="24"/>
                <w:lang w:eastAsia="en-AU"/>
              </w:rPr>
            </w:pPr>
            <w:r w:rsidRPr="006A552C">
              <w:rPr>
                <w:rFonts w:ascii="Times New Roman" w:eastAsia="Times New Roman" w:hAnsi="Times New Roman" w:cs="Times New Roman"/>
                <w:sz w:val="24"/>
                <w:szCs w:val="24"/>
                <w:lang w:eastAsia="en-AU"/>
              </w:rPr>
              <w:t>94 168 621 565</w:t>
            </w:r>
          </w:p>
        </w:tc>
      </w:tr>
      <w:tr w:rsidR="00A40B4D" w:rsidRPr="001065B4" w14:paraId="5A4F2B25"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6416CC34"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2618" w:type="pct"/>
            <w:tcBorders>
              <w:top w:val="outset" w:sz="6" w:space="0" w:color="auto"/>
              <w:left w:val="outset" w:sz="6" w:space="0" w:color="auto"/>
              <w:bottom w:val="outset" w:sz="6" w:space="0" w:color="auto"/>
              <w:right w:val="outset" w:sz="6" w:space="0" w:color="auto"/>
            </w:tcBorders>
            <w:vAlign w:val="center"/>
            <w:hideMark/>
          </w:tcPr>
          <w:p w14:paraId="4B69F46B" w14:textId="3AD27AF2" w:rsidR="00E96C3F" w:rsidRDefault="00E96C3F"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Edge Electrons (Australia) Pty Ltd</w:t>
            </w:r>
          </w:p>
          <w:p w14:paraId="37C37A18" w14:textId="79B72B30" w:rsidR="00E96C3F" w:rsidRDefault="00E96C3F"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Level 5, Lend Lease Building</w:t>
            </w:r>
          </w:p>
          <w:p w14:paraId="0300BF09" w14:textId="77777777" w:rsidR="00E96C3F" w:rsidRDefault="00E96C3F"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476 St Kilda Rd</w:t>
            </w:r>
          </w:p>
          <w:p w14:paraId="6249FDC3" w14:textId="7A3D1271" w:rsidR="00E96C3F" w:rsidRDefault="00E96C3F"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Melbourne, VIC</w:t>
            </w:r>
            <w:r w:rsidRPr="00E96C3F">
              <w:rPr>
                <w:rFonts w:ascii="Times New Roman" w:eastAsia="Times New Roman" w:hAnsi="Times New Roman" w:cs="Times New Roman"/>
                <w:sz w:val="24"/>
                <w:szCs w:val="24"/>
                <w:lang w:eastAsia="en-AU"/>
              </w:rPr>
              <w:t> 3004</w:t>
            </w:r>
          </w:p>
          <w:p w14:paraId="4B990412" w14:textId="77777777" w:rsidR="00E96C3F" w:rsidRDefault="00E96C3F" w:rsidP="006A552C">
            <w:pPr>
              <w:spacing w:after="0" w:line="240" w:lineRule="auto"/>
              <w:rPr>
                <w:rFonts w:ascii="Times New Roman" w:eastAsia="Times New Roman" w:hAnsi="Times New Roman" w:cs="Times New Roman"/>
                <w:sz w:val="24"/>
                <w:szCs w:val="24"/>
                <w:lang w:eastAsia="en-AU"/>
              </w:rPr>
            </w:pPr>
          </w:p>
          <w:p w14:paraId="59A4D39C" w14:textId="77777777" w:rsidR="006A552C" w:rsidRPr="006A552C" w:rsidRDefault="006A552C" w:rsidP="006A552C">
            <w:pPr>
              <w:spacing w:after="0" w:line="240" w:lineRule="auto"/>
              <w:rPr>
                <w:rFonts w:ascii="Times New Roman" w:eastAsia="Times New Roman" w:hAnsi="Times New Roman" w:cs="Times New Roman"/>
                <w:sz w:val="24"/>
                <w:szCs w:val="24"/>
                <w:lang w:eastAsia="en-AU"/>
              </w:rPr>
            </w:pPr>
            <w:r w:rsidRPr="006A552C">
              <w:rPr>
                <w:rFonts w:ascii="Times New Roman" w:eastAsia="Times New Roman" w:hAnsi="Times New Roman" w:cs="Times New Roman"/>
                <w:sz w:val="24"/>
                <w:szCs w:val="24"/>
                <w:lang w:eastAsia="en-AU"/>
              </w:rPr>
              <w:t>Edge Electrons Limited</w:t>
            </w:r>
          </w:p>
          <w:p w14:paraId="2356F704" w14:textId="77777777" w:rsidR="00A40B4D" w:rsidRPr="001065B4" w:rsidRDefault="006A552C" w:rsidP="006A552C">
            <w:pPr>
              <w:spacing w:after="0" w:line="240" w:lineRule="auto"/>
              <w:rPr>
                <w:rFonts w:ascii="Times New Roman" w:eastAsia="Times New Roman" w:hAnsi="Times New Roman" w:cs="Times New Roman"/>
                <w:sz w:val="24"/>
                <w:szCs w:val="24"/>
                <w:lang w:eastAsia="en-AU"/>
              </w:rPr>
            </w:pPr>
            <w:r w:rsidRPr="006A552C">
              <w:rPr>
                <w:rFonts w:ascii="Times New Roman" w:eastAsia="Times New Roman" w:hAnsi="Times New Roman" w:cs="Times New Roman"/>
                <w:sz w:val="24"/>
                <w:szCs w:val="24"/>
                <w:lang w:eastAsia="en-AU"/>
              </w:rPr>
              <w:t xml:space="preserve">Suite 2, 1st Floor, Shun </w:t>
            </w:r>
            <w:proofErr w:type="spellStart"/>
            <w:r w:rsidRPr="006A552C">
              <w:rPr>
                <w:rFonts w:ascii="Times New Roman" w:eastAsia="Times New Roman" w:hAnsi="Times New Roman" w:cs="Times New Roman"/>
                <w:sz w:val="24"/>
                <w:szCs w:val="24"/>
                <w:lang w:eastAsia="en-AU"/>
              </w:rPr>
              <w:t>Kwong</w:t>
            </w:r>
            <w:proofErr w:type="spellEnd"/>
            <w:r w:rsidRPr="006A552C">
              <w:rPr>
                <w:rFonts w:ascii="Times New Roman" w:eastAsia="Times New Roman" w:hAnsi="Times New Roman" w:cs="Times New Roman"/>
                <w:sz w:val="24"/>
                <w:szCs w:val="24"/>
                <w:lang w:eastAsia="en-AU"/>
              </w:rPr>
              <w:t xml:space="preserve"> Commercial Building, 8 Des </w:t>
            </w:r>
            <w:proofErr w:type="spellStart"/>
            <w:r w:rsidRPr="006A552C">
              <w:rPr>
                <w:rFonts w:ascii="Times New Roman" w:eastAsia="Times New Roman" w:hAnsi="Times New Roman" w:cs="Times New Roman"/>
                <w:sz w:val="24"/>
                <w:szCs w:val="24"/>
                <w:lang w:eastAsia="en-AU"/>
              </w:rPr>
              <w:t>Voeux</w:t>
            </w:r>
            <w:proofErr w:type="spellEnd"/>
            <w:r w:rsidRPr="006A552C">
              <w:rPr>
                <w:rFonts w:ascii="Times New Roman" w:eastAsia="Times New Roman" w:hAnsi="Times New Roman" w:cs="Times New Roman"/>
                <w:sz w:val="24"/>
                <w:szCs w:val="24"/>
                <w:lang w:eastAsia="en-AU"/>
              </w:rPr>
              <w:t xml:space="preserve"> Road West, Hong Kong</w:t>
            </w:r>
          </w:p>
        </w:tc>
      </w:tr>
      <w:tr w:rsidR="00A40B4D" w:rsidRPr="001065B4" w14:paraId="1C94E55B" w14:textId="77777777" w:rsidTr="00B0418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2A370A5A" w14:textId="7EAB9951"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A40B4D" w:rsidRPr="001065B4" w14:paraId="3FDBEA5E"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172F928D"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2618" w:type="pct"/>
            <w:tcBorders>
              <w:top w:val="outset" w:sz="6" w:space="0" w:color="auto"/>
              <w:left w:val="outset" w:sz="6" w:space="0" w:color="auto"/>
              <w:bottom w:val="outset" w:sz="6" w:space="0" w:color="auto"/>
              <w:right w:val="outset" w:sz="6" w:space="0" w:color="auto"/>
            </w:tcBorders>
            <w:vAlign w:val="center"/>
            <w:hideMark/>
          </w:tcPr>
          <w:p w14:paraId="1715F16F" w14:textId="77777777" w:rsidR="00A40B4D" w:rsidRPr="001065B4" w:rsidRDefault="000D3B16" w:rsidP="00B009A4">
            <w:pPr>
              <w:spacing w:after="0" w:line="240" w:lineRule="auto"/>
              <w:rPr>
                <w:rFonts w:ascii="Times New Roman" w:eastAsia="Times New Roman" w:hAnsi="Times New Roman" w:cs="Times New Roman"/>
                <w:sz w:val="24"/>
                <w:szCs w:val="24"/>
                <w:lang w:eastAsia="en-AU"/>
              </w:rPr>
            </w:pPr>
            <w:r w:rsidRPr="000D3B16">
              <w:rPr>
                <w:rFonts w:ascii="Times New Roman" w:eastAsia="Times New Roman" w:hAnsi="Times New Roman" w:cs="Times New Roman"/>
                <w:sz w:val="24"/>
                <w:szCs w:val="24"/>
                <w:lang w:eastAsia="en-AU"/>
              </w:rPr>
              <w:t>Pat Lennon</w:t>
            </w:r>
            <w:r>
              <w:rPr>
                <w:rFonts w:ascii="Times New Roman" w:eastAsia="Times New Roman" w:hAnsi="Times New Roman" w:cs="Times New Roman"/>
                <w:sz w:val="24"/>
                <w:szCs w:val="24"/>
                <w:lang w:eastAsia="en-AU"/>
              </w:rPr>
              <w:t>, Director, Business Development</w:t>
            </w:r>
          </w:p>
        </w:tc>
      </w:tr>
      <w:tr w:rsidR="00A40B4D" w:rsidRPr="001065B4" w14:paraId="36BB763C"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72BAF714"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C9217F">
              <w:rPr>
                <w:rFonts w:ascii="Times New Roman" w:eastAsia="Times New Roman" w:hAnsi="Times New Roman" w:cs="Times New Roman"/>
                <w:sz w:val="24"/>
                <w:szCs w:val="24"/>
                <w:lang w:eastAsia="en-AU"/>
              </w:rPr>
              <w:t>Telephone number</w:t>
            </w:r>
          </w:p>
        </w:tc>
        <w:tc>
          <w:tcPr>
            <w:tcW w:w="2618" w:type="pct"/>
            <w:tcBorders>
              <w:top w:val="outset" w:sz="6" w:space="0" w:color="auto"/>
              <w:left w:val="outset" w:sz="6" w:space="0" w:color="auto"/>
              <w:bottom w:val="outset" w:sz="6" w:space="0" w:color="auto"/>
              <w:right w:val="outset" w:sz="6" w:space="0" w:color="auto"/>
            </w:tcBorders>
            <w:vAlign w:val="center"/>
            <w:hideMark/>
          </w:tcPr>
          <w:p w14:paraId="09A5BFCB" w14:textId="77777777" w:rsidR="00A40B4D" w:rsidRPr="001065B4" w:rsidRDefault="00C9217F" w:rsidP="00B009A4">
            <w:pPr>
              <w:spacing w:after="0" w:line="240" w:lineRule="auto"/>
              <w:rPr>
                <w:rFonts w:ascii="Times New Roman" w:eastAsia="Times New Roman" w:hAnsi="Times New Roman" w:cs="Times New Roman"/>
                <w:sz w:val="24"/>
                <w:szCs w:val="24"/>
                <w:lang w:eastAsia="en-AU"/>
              </w:rPr>
            </w:pPr>
            <w:r w:rsidRPr="00C9217F">
              <w:rPr>
                <w:rFonts w:ascii="Times New Roman" w:eastAsia="Times New Roman" w:hAnsi="Times New Roman" w:cs="Times New Roman"/>
                <w:sz w:val="24"/>
                <w:szCs w:val="24"/>
                <w:lang w:eastAsia="en-AU"/>
              </w:rPr>
              <w:t>+61 419 314 526</w:t>
            </w:r>
          </w:p>
        </w:tc>
      </w:tr>
      <w:tr w:rsidR="00A40B4D" w:rsidRPr="001065B4" w14:paraId="56DC2E45"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50B3AB12" w14:textId="77777777" w:rsidR="00A40B4D" w:rsidRPr="001065B4"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2618" w:type="pct"/>
            <w:tcBorders>
              <w:top w:val="outset" w:sz="6" w:space="0" w:color="auto"/>
              <w:left w:val="outset" w:sz="6" w:space="0" w:color="auto"/>
              <w:bottom w:val="outset" w:sz="6" w:space="0" w:color="auto"/>
              <w:right w:val="outset" w:sz="6" w:space="0" w:color="auto"/>
            </w:tcBorders>
            <w:vAlign w:val="center"/>
            <w:hideMark/>
          </w:tcPr>
          <w:p w14:paraId="17B6B220" w14:textId="77777777" w:rsidR="00A40B4D" w:rsidRPr="001065B4" w:rsidRDefault="000D3B16" w:rsidP="00B009A4">
            <w:pPr>
              <w:spacing w:after="0" w:line="240" w:lineRule="auto"/>
              <w:rPr>
                <w:rFonts w:ascii="Times New Roman" w:eastAsia="Times New Roman" w:hAnsi="Times New Roman" w:cs="Times New Roman"/>
                <w:sz w:val="24"/>
                <w:szCs w:val="24"/>
                <w:lang w:eastAsia="en-AU"/>
              </w:rPr>
            </w:pPr>
            <w:r w:rsidRPr="000D3B16">
              <w:rPr>
                <w:rFonts w:ascii="Times New Roman" w:eastAsia="Times New Roman" w:hAnsi="Times New Roman" w:cs="Times New Roman"/>
                <w:sz w:val="24"/>
                <w:szCs w:val="24"/>
                <w:lang w:eastAsia="en-AU"/>
              </w:rPr>
              <w:t>Pat.Lennon@edgeelectrons.com</w:t>
            </w:r>
          </w:p>
        </w:tc>
      </w:tr>
      <w:tr w:rsidR="00A40B4D" w:rsidRPr="001065B4" w14:paraId="0495F71A" w14:textId="77777777" w:rsidTr="00B04183">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14:paraId="57E7F331" w14:textId="77777777" w:rsidR="00A40B4D" w:rsidRPr="001065B4" w:rsidRDefault="00A40B4D" w:rsidP="00B009A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14:paraId="78698EBE" w14:textId="77777777" w:rsidR="00A40B4D" w:rsidRPr="001065B4" w:rsidRDefault="00A40B4D" w:rsidP="00B009A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A40B4D" w:rsidRPr="001065B4" w14:paraId="58E36C32"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08355F77" w14:textId="77777777" w:rsidR="00A40B4D" w:rsidRDefault="00A40B4D" w:rsidP="00B009A4">
            <w:pPr>
              <w:spacing w:after="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b/>
                <w:bCs/>
                <w:sz w:val="24"/>
                <w:szCs w:val="24"/>
                <w:lang w:eastAsia="en-AU"/>
              </w:rPr>
              <w:t>Category of proposed activity</w:t>
            </w:r>
            <w:r w:rsidRPr="001065B4">
              <w:rPr>
                <w:rFonts w:ascii="Times New Roman" w:eastAsia="Times New Roman" w:hAnsi="Times New Roman" w:cs="Times New Roman"/>
                <w:i/>
                <w:sz w:val="24"/>
                <w:szCs w:val="24"/>
                <w:lang w:eastAsia="en-AU"/>
              </w:rPr>
              <w:t xml:space="preserve"> </w:t>
            </w:r>
          </w:p>
          <w:p w14:paraId="029C027E" w14:textId="77777777" w:rsidR="00A40B4D" w:rsidRDefault="00A40B4D" w:rsidP="00B009A4">
            <w:pPr>
              <w:spacing w:after="0" w:line="240" w:lineRule="auto"/>
              <w:rPr>
                <w:rFonts w:ascii="Times New Roman" w:eastAsia="Times New Roman" w:hAnsi="Times New Roman" w:cs="Times New Roman"/>
                <w:i/>
                <w:sz w:val="24"/>
                <w:szCs w:val="24"/>
                <w:lang w:eastAsia="en-AU"/>
              </w:rPr>
            </w:pPr>
          </w:p>
          <w:p w14:paraId="36186055" w14:textId="1AF200AB"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60347E70" w14:textId="546554B2" w:rsidR="00976A70" w:rsidRPr="006A552C" w:rsidRDefault="00E96C3F"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Conservation Voltage R</w:t>
            </w:r>
            <w:r w:rsidR="00976A70">
              <w:rPr>
                <w:rFonts w:ascii="Times New Roman" w:eastAsia="Times New Roman" w:hAnsi="Times New Roman" w:cs="Times New Roman"/>
                <w:sz w:val="24"/>
                <w:szCs w:val="24"/>
                <w:lang w:eastAsia="en-AU"/>
              </w:rPr>
              <w:t>eduction</w:t>
            </w:r>
            <w:r>
              <w:rPr>
                <w:rFonts w:ascii="Times New Roman" w:eastAsia="Times New Roman" w:hAnsi="Times New Roman" w:cs="Times New Roman"/>
                <w:sz w:val="24"/>
                <w:szCs w:val="24"/>
                <w:lang w:eastAsia="en-AU"/>
              </w:rPr>
              <w:t xml:space="preserve"> (CVR) for Households</w:t>
            </w:r>
          </w:p>
        </w:tc>
      </w:tr>
      <w:tr w:rsidR="00A40B4D" w:rsidRPr="001065B4" w14:paraId="1011B513"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27BAAE61" w14:textId="769E9960" w:rsidR="00A40B4D" w:rsidRPr="00A51932" w:rsidRDefault="00A40B4D" w:rsidP="00B009A4">
            <w:pPr>
              <w:spacing w:before="100" w:beforeAutospacing="1" w:after="100" w:afterAutospacing="1" w:line="240" w:lineRule="auto"/>
              <w:rPr>
                <w:rFonts w:ascii="Times New Roman" w:eastAsia="Times New Roman" w:hAnsi="Times New Roman" w:cs="Times New Roman"/>
                <w:sz w:val="24"/>
                <w:szCs w:val="24"/>
                <w:lang w:eastAsia="en-AU"/>
              </w:rPr>
            </w:pPr>
            <w:r w:rsidRPr="00A51932">
              <w:rPr>
                <w:rFonts w:ascii="Times New Roman" w:eastAsia="Times New Roman" w:hAnsi="Times New Roman" w:cs="Times New Roman"/>
                <w:b/>
                <w:bCs/>
                <w:sz w:val="24"/>
                <w:szCs w:val="24"/>
                <w:lang w:eastAsia="en-AU"/>
              </w:rPr>
              <w:t>Confidentiality statement</w:t>
            </w:r>
            <w:r w:rsidRPr="00A51932">
              <w:rPr>
                <w:rFonts w:ascii="Times New Roman" w:eastAsia="Times New Roman" w:hAnsi="Times New Roman" w:cs="Times New Roman"/>
                <w:b/>
                <w:bCs/>
                <w:sz w:val="24"/>
                <w:szCs w:val="24"/>
                <w:lang w:eastAsia="en-AU"/>
              </w:rPr>
              <w:br/>
            </w:r>
            <w:r w:rsidRPr="00A51932">
              <w:rPr>
                <w:rFonts w:ascii="Times New Roman" w:eastAsia="Times New Roman" w:hAnsi="Times New Roman" w:cs="Times New Roman"/>
                <w:b/>
                <w:bCs/>
                <w:sz w:val="24"/>
                <w:szCs w:val="24"/>
                <w:lang w:eastAsia="en-AU"/>
              </w:rPr>
              <w:br/>
              <w:t>MUST BE COMPLETED</w:t>
            </w:r>
            <w:r w:rsidRPr="00A51932">
              <w:rPr>
                <w:rFonts w:ascii="Times New Roman" w:eastAsia="Times New Roman" w:hAnsi="Times New Roman" w:cs="Times New Roman"/>
                <w:sz w:val="24"/>
                <w:szCs w:val="24"/>
                <w:lang w:eastAsia="en-AU"/>
              </w:rPr>
              <w:br/>
            </w:r>
            <w:r w:rsidRPr="00A51932">
              <w:rPr>
                <w:rFonts w:ascii="Times New Roman" w:eastAsia="Times New Roman" w:hAnsi="Times New Roman" w:cs="Times New Roman"/>
                <w:sz w:val="24"/>
                <w:szCs w:val="24"/>
                <w:lang w:eastAsia="en-AU"/>
              </w:rPr>
              <w:br/>
              <w:t>In lodging a submission, parties acknowledge the Department's right to engage consultants and contractors to assist in the assessment process, and to disclose information (that might otherwise be identified as confidential by a party) to such persons for those purposes.</w:t>
            </w:r>
          </w:p>
          <w:p w14:paraId="72342EFE" w14:textId="1D105484" w:rsidR="00A40B4D" w:rsidRPr="00A51932"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56FBAC66" w14:textId="0D429237" w:rsidR="00A40B4D" w:rsidRPr="001065B4"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A51932">
              <w:rPr>
                <w:rFonts w:ascii="Times New Roman" w:eastAsia="Times New Roman" w:hAnsi="Times New Roman" w:cs="Times New Roman"/>
                <w:sz w:val="24"/>
                <w:szCs w:val="24"/>
                <w:lang w:eastAsia="en-AU"/>
              </w:rPr>
              <w:t>The section on “Project Uptake” is confidential.</w:t>
            </w:r>
          </w:p>
        </w:tc>
      </w:tr>
      <w:tr w:rsidR="00A40B4D" w:rsidRPr="001065B4" w14:paraId="46BE2FE1"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125C6296" w14:textId="77777777" w:rsidR="00A40B4D" w:rsidRPr="001065B4" w:rsidRDefault="00A40B4D" w:rsidP="00B009A4">
            <w:pPr>
              <w:spacing w:before="100" w:beforeAutospacing="1" w:after="100" w:afterAutospacing="1" w:line="240" w:lineRule="auto"/>
              <w:rPr>
                <w:rFonts w:ascii="Times New Roman" w:eastAsia="Times New Roman" w:hAnsi="Times New Roman" w:cs="Times New Roman"/>
                <w:sz w:val="24"/>
                <w:szCs w:val="24"/>
                <w:lang w:eastAsia="en-AU"/>
              </w:rPr>
            </w:pPr>
            <w:r w:rsidRPr="00C9217F">
              <w:rPr>
                <w:rFonts w:ascii="Times New Roman" w:eastAsia="Times New Roman" w:hAnsi="Times New Roman" w:cs="Times New Roman"/>
                <w:b/>
                <w:bCs/>
                <w:sz w:val="24"/>
                <w:szCs w:val="24"/>
                <w:lang w:eastAsia="en-AU"/>
              </w:rPr>
              <w:t>Briefly describe new or amended activity</w:t>
            </w:r>
          </w:p>
          <w:p w14:paraId="7D3ECF4F" w14:textId="77777777" w:rsidR="00A40B4D" w:rsidRPr="001065B4" w:rsidRDefault="00A40B4D" w:rsidP="00B009A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lastRenderedPageBreak/>
              <w:t>Maximum 100 words.</w:t>
            </w:r>
          </w:p>
        </w:tc>
        <w:tc>
          <w:tcPr>
            <w:tcW w:w="2618" w:type="pct"/>
            <w:tcBorders>
              <w:top w:val="outset" w:sz="6" w:space="0" w:color="auto"/>
              <w:left w:val="outset" w:sz="6" w:space="0" w:color="auto"/>
              <w:bottom w:val="outset" w:sz="6" w:space="0" w:color="auto"/>
              <w:right w:val="outset" w:sz="6" w:space="0" w:color="auto"/>
            </w:tcBorders>
            <w:vAlign w:val="center"/>
            <w:hideMark/>
          </w:tcPr>
          <w:p w14:paraId="6DA3FA17" w14:textId="00863C55" w:rsidR="00A40B4D" w:rsidRPr="001065B4" w:rsidRDefault="000D3B16" w:rsidP="00E96C3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 xml:space="preserve">The installation of </w:t>
            </w:r>
            <w:r w:rsidR="00976A70">
              <w:rPr>
                <w:rFonts w:ascii="Times New Roman" w:eastAsia="Times New Roman" w:hAnsi="Times New Roman" w:cs="Times New Roman"/>
                <w:sz w:val="24"/>
                <w:szCs w:val="24"/>
                <w:lang w:eastAsia="en-AU"/>
              </w:rPr>
              <w:t xml:space="preserve">a </w:t>
            </w:r>
            <w:r w:rsidR="00E96C3F">
              <w:rPr>
                <w:rFonts w:ascii="Times New Roman" w:eastAsia="Times New Roman" w:hAnsi="Times New Roman" w:cs="Times New Roman"/>
                <w:sz w:val="24"/>
                <w:szCs w:val="24"/>
                <w:lang w:eastAsia="en-AU"/>
              </w:rPr>
              <w:t xml:space="preserve">conservation </w:t>
            </w:r>
            <w:r w:rsidR="00976A70">
              <w:rPr>
                <w:rFonts w:ascii="Times New Roman" w:eastAsia="Times New Roman" w:hAnsi="Times New Roman" w:cs="Times New Roman"/>
                <w:sz w:val="24"/>
                <w:szCs w:val="24"/>
                <w:lang w:eastAsia="en-AU"/>
              </w:rPr>
              <w:t xml:space="preserve">voltage reduction </w:t>
            </w:r>
            <w:r w:rsidR="004D0DE7">
              <w:rPr>
                <w:rFonts w:ascii="Times New Roman" w:eastAsia="Times New Roman" w:hAnsi="Times New Roman" w:cs="Times New Roman"/>
                <w:sz w:val="24"/>
                <w:szCs w:val="24"/>
                <w:lang w:eastAsia="en-AU"/>
              </w:rPr>
              <w:t xml:space="preserve">(CVR) </w:t>
            </w:r>
            <w:r w:rsidR="00976A70">
              <w:rPr>
                <w:rFonts w:ascii="Times New Roman" w:eastAsia="Times New Roman" w:hAnsi="Times New Roman" w:cs="Times New Roman"/>
                <w:sz w:val="24"/>
                <w:szCs w:val="24"/>
                <w:lang w:eastAsia="en-AU"/>
              </w:rPr>
              <w:t xml:space="preserve">unit </w:t>
            </w:r>
            <w:r w:rsidR="003E3BE2">
              <w:rPr>
                <w:rFonts w:ascii="Times New Roman" w:eastAsia="Times New Roman" w:hAnsi="Times New Roman" w:cs="Times New Roman"/>
                <w:sz w:val="24"/>
                <w:szCs w:val="24"/>
                <w:lang w:eastAsia="en-AU"/>
              </w:rPr>
              <w:t xml:space="preserve">at a </w:t>
            </w:r>
            <w:r w:rsidR="00976A70">
              <w:rPr>
                <w:rFonts w:ascii="Times New Roman" w:eastAsia="Times New Roman" w:hAnsi="Times New Roman" w:cs="Times New Roman"/>
                <w:sz w:val="24"/>
                <w:szCs w:val="24"/>
                <w:lang w:eastAsia="en-AU"/>
              </w:rPr>
              <w:t>residential</w:t>
            </w:r>
            <w:r w:rsidR="002B2FAF">
              <w:rPr>
                <w:rFonts w:ascii="Times New Roman" w:eastAsia="Times New Roman" w:hAnsi="Times New Roman" w:cs="Times New Roman"/>
                <w:sz w:val="24"/>
                <w:szCs w:val="24"/>
                <w:lang w:eastAsia="en-AU"/>
              </w:rPr>
              <w:t xml:space="preserve"> site </w:t>
            </w:r>
            <w:r w:rsidR="003E3BE2">
              <w:rPr>
                <w:rFonts w:ascii="Times New Roman" w:eastAsia="Times New Roman" w:hAnsi="Times New Roman" w:cs="Times New Roman"/>
                <w:sz w:val="24"/>
                <w:szCs w:val="24"/>
                <w:lang w:eastAsia="en-AU"/>
              </w:rPr>
              <w:lastRenderedPageBreak/>
              <w:t>connected to the low voltage distribution network</w:t>
            </w:r>
            <w:r w:rsidR="002B2FAF">
              <w:rPr>
                <w:rFonts w:ascii="Times New Roman" w:eastAsia="Times New Roman" w:hAnsi="Times New Roman" w:cs="Times New Roman"/>
                <w:sz w:val="24"/>
                <w:szCs w:val="24"/>
                <w:lang w:eastAsia="en-AU"/>
              </w:rPr>
              <w:t>.</w:t>
            </w:r>
          </w:p>
        </w:tc>
      </w:tr>
      <w:tr w:rsidR="00A40B4D" w:rsidRPr="001065B4" w14:paraId="233136D3"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546E027C" w14:textId="0AE0A85C" w:rsidR="00A40B4D" w:rsidRPr="003E3BE2" w:rsidRDefault="00A40B4D" w:rsidP="005D4EFB">
            <w:pPr>
              <w:spacing w:after="0" w:line="240" w:lineRule="auto"/>
              <w:rPr>
                <w:rFonts w:ascii="Times New Roman" w:eastAsia="Times New Roman" w:hAnsi="Times New Roman" w:cs="Times New Roman"/>
                <w:i/>
                <w:sz w:val="24"/>
                <w:szCs w:val="24"/>
                <w:highlight w:val="yellow"/>
                <w:lang w:eastAsia="en-AU"/>
              </w:rPr>
            </w:pPr>
            <w:r w:rsidRPr="001065B4">
              <w:rPr>
                <w:rFonts w:ascii="Times New Roman" w:eastAsia="Times New Roman" w:hAnsi="Times New Roman" w:cs="Times New Roman"/>
                <w:b/>
                <w:bCs/>
                <w:sz w:val="24"/>
                <w:szCs w:val="24"/>
                <w:lang w:eastAsia="en-AU"/>
              </w:rPr>
              <w:lastRenderedPageBreak/>
              <w:t>Estimate the average annual energy savings for an average installation of that activity</w:t>
            </w:r>
          </w:p>
        </w:tc>
        <w:tc>
          <w:tcPr>
            <w:tcW w:w="2618" w:type="pct"/>
            <w:tcBorders>
              <w:top w:val="outset" w:sz="6" w:space="0" w:color="auto"/>
              <w:left w:val="outset" w:sz="6" w:space="0" w:color="auto"/>
              <w:bottom w:val="outset" w:sz="6" w:space="0" w:color="auto"/>
              <w:right w:val="outset" w:sz="6" w:space="0" w:color="auto"/>
            </w:tcBorders>
            <w:vAlign w:val="center"/>
            <w:hideMark/>
          </w:tcPr>
          <w:p w14:paraId="5D040BAE" w14:textId="1E9714C4" w:rsidR="004D0DE7" w:rsidRDefault="00976A70" w:rsidP="00B009A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 typical residential installation would be a 5k</w:t>
            </w:r>
            <w:r w:rsidR="004D0DE7">
              <w:rPr>
                <w:rFonts w:ascii="Times New Roman" w:eastAsia="Times New Roman" w:hAnsi="Times New Roman" w:cs="Times New Roman"/>
                <w:sz w:val="24"/>
                <w:szCs w:val="24"/>
                <w:lang w:eastAsia="en-AU"/>
              </w:rPr>
              <w:t>VA conservation</w:t>
            </w:r>
            <w:r>
              <w:rPr>
                <w:rFonts w:ascii="Times New Roman" w:eastAsia="Times New Roman" w:hAnsi="Times New Roman" w:cs="Times New Roman"/>
                <w:sz w:val="24"/>
                <w:szCs w:val="24"/>
                <w:lang w:eastAsia="en-AU"/>
              </w:rPr>
              <w:t xml:space="preserve"> voltage reduction </w:t>
            </w:r>
            <w:r w:rsidR="004D0DE7">
              <w:rPr>
                <w:rFonts w:ascii="Times New Roman" w:eastAsia="Times New Roman" w:hAnsi="Times New Roman" w:cs="Times New Roman"/>
                <w:sz w:val="24"/>
                <w:szCs w:val="24"/>
                <w:lang w:eastAsia="en-AU"/>
              </w:rPr>
              <w:t xml:space="preserve">(CVR) </w:t>
            </w:r>
            <w:r>
              <w:rPr>
                <w:rFonts w:ascii="Times New Roman" w:eastAsia="Times New Roman" w:hAnsi="Times New Roman" w:cs="Times New Roman"/>
                <w:sz w:val="24"/>
                <w:szCs w:val="24"/>
                <w:lang w:eastAsia="en-AU"/>
              </w:rPr>
              <w:t xml:space="preserve">unit, </w:t>
            </w:r>
            <w:r w:rsidR="004D0DE7">
              <w:rPr>
                <w:rFonts w:ascii="Times New Roman" w:eastAsia="Times New Roman" w:hAnsi="Times New Roman" w:cs="Times New Roman"/>
                <w:sz w:val="24"/>
                <w:szCs w:val="24"/>
                <w:lang w:eastAsia="en-AU"/>
              </w:rPr>
              <w:t xml:space="preserve">which would save approximately </w:t>
            </w:r>
            <w:r w:rsidR="00A51932">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 of annual energy, or 0.</w:t>
            </w:r>
            <w:r w:rsidR="00A51932">
              <w:rPr>
                <w:rFonts w:ascii="Times New Roman" w:eastAsia="Times New Roman" w:hAnsi="Times New Roman" w:cs="Times New Roman"/>
                <w:sz w:val="24"/>
                <w:szCs w:val="24"/>
                <w:lang w:eastAsia="en-AU"/>
              </w:rPr>
              <w:t>5</w:t>
            </w:r>
            <w:r>
              <w:rPr>
                <w:rFonts w:ascii="Times New Roman" w:eastAsia="Times New Roman" w:hAnsi="Times New Roman" w:cs="Times New Roman"/>
                <w:sz w:val="24"/>
                <w:szCs w:val="24"/>
                <w:lang w:eastAsia="en-AU"/>
              </w:rPr>
              <w:t>MWh per year</w:t>
            </w:r>
            <w:r w:rsidR="004D0DE7">
              <w:rPr>
                <w:rFonts w:ascii="Times New Roman" w:eastAsia="Times New Roman" w:hAnsi="Times New Roman" w:cs="Times New Roman"/>
                <w:sz w:val="24"/>
                <w:szCs w:val="24"/>
                <w:lang w:eastAsia="en-AU"/>
              </w:rPr>
              <w:t xml:space="preserve">, over 20 years. </w:t>
            </w:r>
          </w:p>
          <w:p w14:paraId="1F695B05" w14:textId="25046B5C" w:rsidR="00976A70" w:rsidRDefault="004D0DE7" w:rsidP="00B009A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That installation would be eligible to create </w:t>
            </w:r>
            <w:r w:rsidR="00A51932">
              <w:rPr>
                <w:rFonts w:ascii="Times New Roman" w:eastAsia="Times New Roman" w:hAnsi="Times New Roman" w:cs="Times New Roman"/>
                <w:sz w:val="24"/>
                <w:szCs w:val="24"/>
                <w:lang w:eastAsia="en-AU"/>
              </w:rPr>
              <w:t>11</w:t>
            </w:r>
            <w:r>
              <w:rPr>
                <w:rFonts w:ascii="Times New Roman" w:eastAsia="Times New Roman" w:hAnsi="Times New Roman" w:cs="Times New Roman"/>
                <w:sz w:val="24"/>
                <w:szCs w:val="24"/>
                <w:lang w:eastAsia="en-AU"/>
              </w:rPr>
              <w:t xml:space="preserve"> VEECs.</w:t>
            </w:r>
          </w:p>
          <w:p w14:paraId="1B623FAB" w14:textId="27D58272" w:rsidR="00A40B4D" w:rsidRPr="001065B4" w:rsidRDefault="003E3BE2" w:rsidP="00B009A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(see Part 2 for detail)</w:t>
            </w:r>
          </w:p>
        </w:tc>
      </w:tr>
      <w:tr w:rsidR="00A40B4D" w:rsidRPr="001065B4" w14:paraId="6434A55E"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3210FCDE" w14:textId="028750D9" w:rsidR="00A40B4D" w:rsidRDefault="00A40B4D" w:rsidP="00B009A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Demonstrate that the activity is likely to be additional to business as usual (BAU)</w:t>
            </w:r>
          </w:p>
          <w:p w14:paraId="2ECAC533" w14:textId="65ECD4BD"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33FBF6B7" w14:textId="44EBD28C" w:rsidR="00A40B4D" w:rsidRPr="001065B4" w:rsidRDefault="003E3BE2" w:rsidP="004D0DE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There is currently </w:t>
            </w:r>
            <w:r w:rsidR="004D0DE7">
              <w:rPr>
                <w:rFonts w:ascii="Times New Roman" w:eastAsia="Times New Roman" w:hAnsi="Times New Roman" w:cs="Times New Roman"/>
                <w:sz w:val="24"/>
                <w:szCs w:val="24"/>
                <w:lang w:eastAsia="en-AU"/>
              </w:rPr>
              <w:t>no</w:t>
            </w:r>
            <w:r>
              <w:rPr>
                <w:rFonts w:ascii="Times New Roman" w:eastAsia="Times New Roman" w:hAnsi="Times New Roman" w:cs="Times New Roman"/>
                <w:sz w:val="24"/>
                <w:szCs w:val="24"/>
                <w:lang w:eastAsia="en-AU"/>
              </w:rPr>
              <w:t xml:space="preserve"> small market for </w:t>
            </w:r>
            <w:r w:rsidR="004D0DE7">
              <w:rPr>
                <w:rFonts w:ascii="Times New Roman" w:eastAsia="Times New Roman" w:hAnsi="Times New Roman" w:cs="Times New Roman"/>
                <w:sz w:val="24"/>
                <w:szCs w:val="24"/>
                <w:lang w:eastAsia="en-AU"/>
              </w:rPr>
              <w:t>CVR</w:t>
            </w:r>
            <w:r>
              <w:rPr>
                <w:rFonts w:ascii="Times New Roman" w:eastAsia="Times New Roman" w:hAnsi="Times New Roman" w:cs="Times New Roman"/>
                <w:sz w:val="24"/>
                <w:szCs w:val="24"/>
                <w:lang w:eastAsia="en-AU"/>
              </w:rPr>
              <w:t xml:space="preserve"> equipment for </w:t>
            </w:r>
            <w:r w:rsidR="004D0DE7">
              <w:rPr>
                <w:rFonts w:ascii="Times New Roman" w:eastAsia="Times New Roman" w:hAnsi="Times New Roman" w:cs="Times New Roman"/>
                <w:sz w:val="24"/>
                <w:szCs w:val="24"/>
                <w:lang w:eastAsia="en-AU"/>
              </w:rPr>
              <w:t>residential customers</w:t>
            </w:r>
            <w:r>
              <w:rPr>
                <w:rFonts w:ascii="Times New Roman" w:eastAsia="Times New Roman" w:hAnsi="Times New Roman" w:cs="Times New Roman"/>
                <w:sz w:val="24"/>
                <w:szCs w:val="24"/>
                <w:lang w:eastAsia="en-AU"/>
              </w:rPr>
              <w:t>. All activity under this method would be additional.</w:t>
            </w:r>
          </w:p>
        </w:tc>
      </w:tr>
      <w:tr w:rsidR="00A40B4D" w:rsidRPr="001065B4" w14:paraId="4161DD2A"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52B8EDA6"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List the key variables that should be considered to ensure the activity best represents the delivered energy savings</w:t>
            </w:r>
          </w:p>
          <w:p w14:paraId="1B81E5BA"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p>
          <w:p w14:paraId="6156E40A" w14:textId="49AA481A"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5D773ACF" w14:textId="27F0952E" w:rsidR="00A40B4D" w:rsidRDefault="00C9217F" w:rsidP="00B009A4">
            <w:pPr>
              <w:spacing w:after="0" w:line="240" w:lineRule="auto"/>
              <w:rPr>
                <w:rFonts w:ascii="Times New Roman" w:eastAsia="Times New Roman" w:hAnsi="Times New Roman" w:cs="Times New Roman"/>
                <w:sz w:val="24"/>
                <w:szCs w:val="24"/>
                <w:lang w:eastAsia="en-AU"/>
              </w:rPr>
            </w:pPr>
            <w:r w:rsidRPr="003E3BE2">
              <w:rPr>
                <w:rFonts w:ascii="Times New Roman" w:eastAsia="Times New Roman" w:hAnsi="Times New Roman" w:cs="Times New Roman"/>
                <w:sz w:val="24"/>
                <w:szCs w:val="24"/>
                <w:lang w:eastAsia="en-AU"/>
              </w:rPr>
              <w:t>The main variable to be considered is the</w:t>
            </w:r>
            <w:r w:rsidR="003E3BE2" w:rsidRPr="003E3BE2">
              <w:rPr>
                <w:rFonts w:ascii="Times New Roman" w:eastAsia="Times New Roman" w:hAnsi="Times New Roman" w:cs="Times New Roman"/>
                <w:sz w:val="24"/>
                <w:szCs w:val="24"/>
                <w:lang w:eastAsia="en-AU"/>
              </w:rPr>
              <w:t xml:space="preserve"> rated</w:t>
            </w:r>
            <w:r w:rsidRPr="003E3BE2">
              <w:rPr>
                <w:rFonts w:ascii="Times New Roman" w:eastAsia="Times New Roman" w:hAnsi="Times New Roman" w:cs="Times New Roman"/>
                <w:sz w:val="24"/>
                <w:szCs w:val="24"/>
                <w:lang w:eastAsia="en-AU"/>
              </w:rPr>
              <w:t xml:space="preserve"> power </w:t>
            </w:r>
            <w:r w:rsidR="004D0DE7">
              <w:rPr>
                <w:rFonts w:ascii="Times New Roman" w:eastAsia="Times New Roman" w:hAnsi="Times New Roman" w:cs="Times New Roman"/>
                <w:sz w:val="24"/>
                <w:szCs w:val="24"/>
                <w:lang w:eastAsia="en-AU"/>
              </w:rPr>
              <w:t>capacity of the CVR equipment (in kVA</w:t>
            </w:r>
            <w:r w:rsidRPr="003E3BE2">
              <w:rPr>
                <w:rFonts w:ascii="Times New Roman" w:eastAsia="Times New Roman" w:hAnsi="Times New Roman" w:cs="Times New Roman"/>
                <w:sz w:val="24"/>
                <w:szCs w:val="24"/>
                <w:lang w:eastAsia="en-AU"/>
              </w:rPr>
              <w:t>).</w:t>
            </w:r>
          </w:p>
          <w:p w14:paraId="4217F59C" w14:textId="77777777" w:rsidR="003E3BE2" w:rsidRDefault="003E3BE2" w:rsidP="00B009A4">
            <w:pPr>
              <w:spacing w:after="0" w:line="240" w:lineRule="auto"/>
              <w:rPr>
                <w:rFonts w:ascii="Times New Roman" w:eastAsia="Times New Roman" w:hAnsi="Times New Roman" w:cs="Times New Roman"/>
                <w:sz w:val="24"/>
                <w:szCs w:val="24"/>
                <w:lang w:eastAsia="en-AU"/>
              </w:rPr>
            </w:pPr>
          </w:p>
          <w:p w14:paraId="2A450CBD" w14:textId="3AAFFD3D" w:rsidR="006E42C2" w:rsidRPr="005D4EFB" w:rsidRDefault="003E3BE2" w:rsidP="00A5193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Savings will also depend on</w:t>
            </w:r>
            <w:r w:rsidRPr="005D4EFB">
              <w:rPr>
                <w:rFonts w:ascii="Times New Roman" w:eastAsia="Times New Roman" w:hAnsi="Times New Roman" w:cs="Times New Roman"/>
                <w:sz w:val="24"/>
                <w:szCs w:val="24"/>
                <w:lang w:eastAsia="en-AU"/>
              </w:rPr>
              <w:t xml:space="preserve"> w</w:t>
            </w:r>
            <w:r w:rsidR="00F31834" w:rsidRPr="005D4EFB">
              <w:rPr>
                <w:rFonts w:ascii="Times New Roman" w:eastAsia="Times New Roman" w:hAnsi="Times New Roman" w:cs="Times New Roman"/>
                <w:sz w:val="24"/>
                <w:szCs w:val="24"/>
                <w:lang w:eastAsia="en-AU"/>
              </w:rPr>
              <w:t xml:space="preserve">here the site is located in the distribution network </w:t>
            </w:r>
            <w:r w:rsidRPr="005D4EFB">
              <w:rPr>
                <w:rFonts w:ascii="Times New Roman" w:eastAsia="Times New Roman" w:hAnsi="Times New Roman" w:cs="Times New Roman"/>
                <w:sz w:val="24"/>
                <w:szCs w:val="24"/>
                <w:lang w:eastAsia="en-AU"/>
              </w:rPr>
              <w:t>(metropolitan or regional).</w:t>
            </w:r>
          </w:p>
          <w:p w14:paraId="36D26B0F" w14:textId="77777777" w:rsidR="00C9217F" w:rsidRPr="001065B4" w:rsidRDefault="00C9217F" w:rsidP="00B009A4">
            <w:pPr>
              <w:spacing w:after="0" w:line="240" w:lineRule="auto"/>
              <w:rPr>
                <w:rFonts w:ascii="Times New Roman" w:eastAsia="Times New Roman" w:hAnsi="Times New Roman" w:cs="Times New Roman"/>
                <w:i/>
                <w:sz w:val="24"/>
                <w:szCs w:val="24"/>
                <w:lang w:eastAsia="en-AU"/>
              </w:rPr>
            </w:pPr>
          </w:p>
        </w:tc>
      </w:tr>
      <w:tr w:rsidR="00A40B4D" w:rsidRPr="001065B4" w14:paraId="03168D63"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626E6F5E" w14:textId="40E915E9" w:rsidR="00A40B4D" w:rsidRDefault="00A40B4D" w:rsidP="00B009A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List all existing product standards which support the claims for energy savings or related matters</w:t>
            </w:r>
          </w:p>
          <w:p w14:paraId="1A257BA6" w14:textId="44CADDF9"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70FC6FE6" w14:textId="35B2686F" w:rsidR="00F46951" w:rsidRPr="00F46951"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F46951">
              <w:rPr>
                <w:rFonts w:ascii="Times New Roman" w:eastAsia="Times New Roman" w:hAnsi="Times New Roman" w:cs="Times New Roman"/>
                <w:sz w:val="24"/>
                <w:szCs w:val="24"/>
                <w:lang w:eastAsia="en-AU"/>
              </w:rPr>
              <w:t>Compliance to AS/NZS 3100:2009 Approval and test specification—General requirements for electrical equipment</w:t>
            </w:r>
          </w:p>
          <w:p w14:paraId="1F5DBE06" w14:textId="185D2F09" w:rsidR="00F46951" w:rsidRPr="00F46951"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F46951">
              <w:rPr>
                <w:rFonts w:ascii="Times New Roman" w:eastAsia="Times New Roman" w:hAnsi="Times New Roman" w:cs="Times New Roman"/>
                <w:sz w:val="24"/>
                <w:szCs w:val="24"/>
                <w:lang w:eastAsia="en-AU"/>
              </w:rPr>
              <w:t>Input voltage: between 216 V and 253 V.</w:t>
            </w:r>
          </w:p>
          <w:p w14:paraId="6A4F9C35" w14:textId="49E23566" w:rsidR="00F46951" w:rsidRPr="00F46951"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F46951">
              <w:rPr>
                <w:rFonts w:ascii="Times New Roman" w:eastAsia="Times New Roman" w:hAnsi="Times New Roman" w:cs="Times New Roman"/>
                <w:sz w:val="24"/>
                <w:szCs w:val="24"/>
                <w:lang w:eastAsia="en-AU"/>
              </w:rPr>
              <w:t>Line surge protection: tested in accordance with IEC 61000</w:t>
            </w:r>
            <w:r w:rsidRPr="00F46951">
              <w:rPr>
                <w:rFonts w:ascii="Cambria Math" w:eastAsia="Times New Roman" w:hAnsi="Cambria Math" w:cs="Cambria Math"/>
                <w:sz w:val="24"/>
                <w:szCs w:val="24"/>
                <w:lang w:eastAsia="en-AU"/>
              </w:rPr>
              <w:t>‐</w:t>
            </w:r>
            <w:r w:rsidRPr="00F46951">
              <w:rPr>
                <w:rFonts w:ascii="Times New Roman" w:eastAsia="Times New Roman" w:hAnsi="Times New Roman" w:cs="Times New Roman"/>
                <w:sz w:val="24"/>
                <w:szCs w:val="24"/>
                <w:lang w:eastAsia="en-AU"/>
              </w:rPr>
              <w:t>4</w:t>
            </w:r>
            <w:r w:rsidRPr="00F46951">
              <w:rPr>
                <w:rFonts w:ascii="Cambria Math" w:eastAsia="Times New Roman" w:hAnsi="Cambria Math" w:cs="Cambria Math"/>
                <w:sz w:val="24"/>
                <w:szCs w:val="24"/>
                <w:lang w:eastAsia="en-AU"/>
              </w:rPr>
              <w:t>‐</w:t>
            </w:r>
            <w:r w:rsidRPr="00F46951">
              <w:rPr>
                <w:rFonts w:ascii="Times New Roman" w:eastAsia="Times New Roman" w:hAnsi="Times New Roman" w:cs="Times New Roman"/>
                <w:sz w:val="24"/>
                <w:szCs w:val="24"/>
                <w:lang w:eastAsia="en-AU"/>
              </w:rPr>
              <w:t>5:2014 Electromagnetic compatibility (EMC) - Part 4-5: Testing and measurement techniques - Surge immunity test</w:t>
            </w:r>
          </w:p>
          <w:p w14:paraId="0B2887A8" w14:textId="06276EB0" w:rsidR="00F46951"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F46951">
              <w:rPr>
                <w:rFonts w:ascii="Times New Roman" w:eastAsia="Times New Roman" w:hAnsi="Times New Roman" w:cs="Times New Roman"/>
                <w:sz w:val="24"/>
                <w:szCs w:val="24"/>
                <w:lang w:eastAsia="en-AU"/>
              </w:rPr>
              <w:t>Efficiency: at least 98% at 50% load.</w:t>
            </w:r>
          </w:p>
          <w:p w14:paraId="1F128F55" w14:textId="50B89BE6" w:rsidR="00FC6FD5" w:rsidRDefault="00FC6FD5" w:rsidP="00F4695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Must be able to dynamically adjust output voltage to changes in supply voltage.</w:t>
            </w:r>
          </w:p>
          <w:p w14:paraId="294A1564" w14:textId="2AF0D016" w:rsidR="005D4EFB" w:rsidRPr="00F46951" w:rsidRDefault="005D4EFB"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5D4EFB">
              <w:rPr>
                <w:rFonts w:ascii="Times New Roman" w:eastAsia="Times New Roman" w:hAnsi="Times New Roman" w:cs="Times New Roman"/>
                <w:sz w:val="24"/>
                <w:szCs w:val="24"/>
                <w:lang w:eastAsia="en-AU"/>
              </w:rPr>
              <w:t>Must be able to bypass supply voltages below 216V.</w:t>
            </w:r>
          </w:p>
          <w:p w14:paraId="2B053D89" w14:textId="47F89CEE" w:rsidR="00A40B4D" w:rsidRPr="003E3BE2" w:rsidRDefault="00F46951" w:rsidP="00F46951">
            <w:pPr>
              <w:spacing w:before="100" w:beforeAutospacing="1" w:after="100" w:afterAutospacing="1" w:line="240" w:lineRule="auto"/>
              <w:rPr>
                <w:rFonts w:ascii="Times New Roman" w:eastAsia="Times New Roman" w:hAnsi="Times New Roman" w:cs="Times New Roman"/>
                <w:sz w:val="24"/>
                <w:szCs w:val="24"/>
                <w:lang w:eastAsia="en-AU"/>
              </w:rPr>
            </w:pPr>
            <w:r w:rsidRPr="00F46951">
              <w:rPr>
                <w:rFonts w:ascii="Times New Roman" w:eastAsia="Times New Roman" w:hAnsi="Times New Roman" w:cs="Times New Roman"/>
                <w:sz w:val="24"/>
                <w:szCs w:val="24"/>
                <w:lang w:eastAsia="en-AU"/>
              </w:rPr>
              <w:t>Output: Must have an output voltage tolerance of + / - 3% at 2</w:t>
            </w:r>
            <w:r w:rsidR="00FC6FD5">
              <w:rPr>
                <w:rFonts w:ascii="Times New Roman" w:eastAsia="Times New Roman" w:hAnsi="Times New Roman" w:cs="Times New Roman"/>
                <w:sz w:val="24"/>
                <w:szCs w:val="24"/>
                <w:lang w:eastAsia="en-AU"/>
              </w:rPr>
              <w:t>25</w:t>
            </w:r>
            <w:r w:rsidRPr="00F46951">
              <w:rPr>
                <w:rFonts w:ascii="Times New Roman" w:eastAsia="Times New Roman" w:hAnsi="Times New Roman" w:cs="Times New Roman"/>
                <w:sz w:val="24"/>
                <w:szCs w:val="24"/>
                <w:lang w:eastAsia="en-AU"/>
              </w:rPr>
              <w:t>V.</w:t>
            </w:r>
          </w:p>
        </w:tc>
      </w:tr>
      <w:tr w:rsidR="00A40B4D" w:rsidRPr="001065B4" w14:paraId="5B354598"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133AAF90"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Ensuring savings are valid</w:t>
            </w:r>
          </w:p>
          <w:p w14:paraId="4D6DDB51"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p>
          <w:p w14:paraId="0A837F28" w14:textId="27A93446"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71B1D501" w14:textId="77777777" w:rsidR="003E3BE2" w:rsidRDefault="00C9217F" w:rsidP="00B009A4">
            <w:pPr>
              <w:spacing w:after="240" w:line="240" w:lineRule="auto"/>
              <w:rPr>
                <w:rFonts w:ascii="Times New Roman" w:eastAsia="Times New Roman" w:hAnsi="Times New Roman" w:cs="Times New Roman"/>
                <w:sz w:val="24"/>
                <w:szCs w:val="24"/>
                <w:lang w:eastAsia="en-AU"/>
              </w:rPr>
            </w:pPr>
            <w:r w:rsidRPr="00FD454D">
              <w:rPr>
                <w:rFonts w:ascii="Times New Roman" w:eastAsia="Times New Roman" w:hAnsi="Times New Roman" w:cs="Times New Roman"/>
                <w:sz w:val="24"/>
                <w:szCs w:val="24"/>
                <w:lang w:eastAsia="en-AU"/>
              </w:rPr>
              <w:t xml:space="preserve">The installation can be verified </w:t>
            </w:r>
            <w:r w:rsidR="003E3BE2">
              <w:rPr>
                <w:rFonts w:ascii="Times New Roman" w:eastAsia="Times New Roman" w:hAnsi="Times New Roman" w:cs="Times New Roman"/>
                <w:sz w:val="24"/>
                <w:szCs w:val="24"/>
                <w:lang w:eastAsia="en-AU"/>
              </w:rPr>
              <w:t>by photographic evidence of the installation and equipment.</w:t>
            </w:r>
          </w:p>
          <w:p w14:paraId="60327493" w14:textId="77777777" w:rsidR="00FC6FD5" w:rsidRDefault="003E3BE2" w:rsidP="00F3183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Site audits could be conducted </w:t>
            </w:r>
            <w:r w:rsidR="00C9217F" w:rsidRPr="00FD454D">
              <w:rPr>
                <w:rFonts w:ascii="Times New Roman" w:eastAsia="Times New Roman" w:hAnsi="Times New Roman" w:cs="Times New Roman"/>
                <w:sz w:val="24"/>
                <w:szCs w:val="24"/>
                <w:lang w:eastAsia="en-AU"/>
              </w:rPr>
              <w:t xml:space="preserve">either by physical </w:t>
            </w:r>
            <w:r w:rsidR="00C9217F" w:rsidRPr="00FD454D">
              <w:rPr>
                <w:rFonts w:ascii="Times New Roman" w:eastAsia="Times New Roman" w:hAnsi="Times New Roman" w:cs="Times New Roman"/>
                <w:sz w:val="24"/>
                <w:szCs w:val="24"/>
                <w:lang w:eastAsia="en-AU"/>
              </w:rPr>
              <w:lastRenderedPageBreak/>
              <w:t xml:space="preserve">inspection of the equipment </w:t>
            </w:r>
            <w:r w:rsidR="00F31834">
              <w:rPr>
                <w:rFonts w:ascii="Times New Roman" w:eastAsia="Times New Roman" w:hAnsi="Times New Roman" w:cs="Times New Roman"/>
                <w:sz w:val="24"/>
                <w:szCs w:val="24"/>
                <w:lang w:eastAsia="en-AU"/>
              </w:rPr>
              <w:t>and measurement of output voltage</w:t>
            </w:r>
            <w:r w:rsidR="00C9217F" w:rsidRPr="00FD454D">
              <w:rPr>
                <w:rFonts w:ascii="Times New Roman" w:eastAsia="Times New Roman" w:hAnsi="Times New Roman" w:cs="Times New Roman"/>
                <w:sz w:val="24"/>
                <w:szCs w:val="24"/>
                <w:lang w:eastAsia="en-AU"/>
              </w:rPr>
              <w:t>.</w:t>
            </w:r>
            <w:r w:rsidR="00FC6FD5">
              <w:rPr>
                <w:rFonts w:ascii="Times New Roman" w:eastAsia="Times New Roman" w:hAnsi="Times New Roman" w:cs="Times New Roman"/>
                <w:sz w:val="24"/>
                <w:szCs w:val="24"/>
                <w:lang w:eastAsia="en-AU"/>
              </w:rPr>
              <w:t xml:space="preserve"> </w:t>
            </w:r>
          </w:p>
          <w:p w14:paraId="297FAF63" w14:textId="7993B43B" w:rsidR="00A40B4D" w:rsidRDefault="00FC6FD5" w:rsidP="00F31834">
            <w:pPr>
              <w:spacing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Some equipment will allow remote monitoring through integrated communications, which will simplify verification and audit.</w:t>
            </w:r>
          </w:p>
          <w:p w14:paraId="4E457F66" w14:textId="214724CB" w:rsidR="006E42C2" w:rsidRPr="00FD454D" w:rsidRDefault="006E42C2" w:rsidP="00F31834">
            <w:pPr>
              <w:spacing w:after="240" w:line="240" w:lineRule="auto"/>
              <w:rPr>
                <w:rFonts w:ascii="Times New Roman" w:eastAsia="Times New Roman" w:hAnsi="Times New Roman" w:cs="Times New Roman"/>
                <w:sz w:val="24"/>
                <w:szCs w:val="24"/>
                <w:lang w:eastAsia="en-AU"/>
              </w:rPr>
            </w:pPr>
          </w:p>
        </w:tc>
      </w:tr>
      <w:tr w:rsidR="00A40B4D" w:rsidRPr="001065B4" w14:paraId="3C76EAFE"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25BBB462"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lastRenderedPageBreak/>
              <w:t>Protecting health and safety</w:t>
            </w:r>
          </w:p>
          <w:p w14:paraId="2D03D71D"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p>
          <w:p w14:paraId="128E242F" w14:textId="647AEFD9"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720ECA61" w14:textId="5DA62942" w:rsidR="00A40B4D" w:rsidRPr="001065B4" w:rsidRDefault="00C9217F" w:rsidP="00B009A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activity requires equipment to be installed </w:t>
            </w:r>
            <w:r w:rsidR="006E42C2">
              <w:rPr>
                <w:rFonts w:ascii="Times New Roman" w:eastAsia="Times New Roman" w:hAnsi="Times New Roman" w:cs="Times New Roman"/>
                <w:sz w:val="24"/>
                <w:szCs w:val="24"/>
                <w:lang w:eastAsia="en-AU"/>
              </w:rPr>
              <w:t xml:space="preserve">behind or in front of the meter </w:t>
            </w:r>
            <w:r>
              <w:rPr>
                <w:rFonts w:ascii="Times New Roman" w:eastAsia="Times New Roman" w:hAnsi="Times New Roman" w:cs="Times New Roman"/>
                <w:sz w:val="24"/>
                <w:szCs w:val="24"/>
                <w:lang w:eastAsia="en-AU"/>
              </w:rPr>
              <w:t>at the main switch board. This requires the supervision of a licensed electrician.</w:t>
            </w:r>
            <w:r w:rsidR="00FC6FD5">
              <w:rPr>
                <w:rFonts w:ascii="Times New Roman" w:eastAsia="Times New Roman" w:hAnsi="Times New Roman" w:cs="Times New Roman"/>
                <w:sz w:val="24"/>
                <w:szCs w:val="24"/>
                <w:lang w:eastAsia="en-AU"/>
              </w:rPr>
              <w:t xml:space="preserve"> A certificate of compliance for electrical works will be supplied.</w:t>
            </w:r>
          </w:p>
        </w:tc>
      </w:tr>
      <w:tr w:rsidR="00A40B4D" w:rsidRPr="001065B4" w14:paraId="45C72196" w14:textId="77777777" w:rsidTr="00B04183">
        <w:trPr>
          <w:tblCellSpacing w:w="15" w:type="dxa"/>
        </w:trPr>
        <w:tc>
          <w:tcPr>
            <w:tcW w:w="2333" w:type="pct"/>
            <w:tcBorders>
              <w:top w:val="outset" w:sz="6" w:space="0" w:color="auto"/>
              <w:left w:val="outset" w:sz="6" w:space="0" w:color="auto"/>
              <w:bottom w:val="outset" w:sz="6" w:space="0" w:color="auto"/>
              <w:right w:val="outset" w:sz="6" w:space="0" w:color="auto"/>
            </w:tcBorders>
            <w:vAlign w:val="center"/>
            <w:hideMark/>
          </w:tcPr>
          <w:p w14:paraId="3921E093"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Other benefits and issues</w:t>
            </w:r>
          </w:p>
          <w:p w14:paraId="63B13A1F" w14:textId="77777777" w:rsidR="00A40B4D" w:rsidRDefault="00A40B4D" w:rsidP="00B009A4">
            <w:pPr>
              <w:spacing w:after="0" w:line="240" w:lineRule="auto"/>
              <w:rPr>
                <w:rFonts w:ascii="Times New Roman" w:eastAsia="Times New Roman" w:hAnsi="Times New Roman" w:cs="Times New Roman"/>
                <w:b/>
                <w:bCs/>
                <w:sz w:val="24"/>
                <w:szCs w:val="24"/>
                <w:lang w:eastAsia="en-AU"/>
              </w:rPr>
            </w:pPr>
          </w:p>
          <w:p w14:paraId="0C92EF2A" w14:textId="5677B3A5" w:rsidR="00A40B4D" w:rsidRPr="001065B4" w:rsidRDefault="00A40B4D" w:rsidP="00B009A4">
            <w:pPr>
              <w:spacing w:after="0" w:line="240" w:lineRule="auto"/>
              <w:rPr>
                <w:rFonts w:ascii="Times New Roman" w:eastAsia="Times New Roman" w:hAnsi="Times New Roman" w:cs="Times New Roman"/>
                <w:sz w:val="24"/>
                <w:szCs w:val="24"/>
                <w:lang w:eastAsia="en-AU"/>
              </w:rPr>
            </w:pPr>
          </w:p>
        </w:tc>
        <w:tc>
          <w:tcPr>
            <w:tcW w:w="2618" w:type="pct"/>
            <w:tcBorders>
              <w:top w:val="outset" w:sz="6" w:space="0" w:color="auto"/>
              <w:left w:val="outset" w:sz="6" w:space="0" w:color="auto"/>
              <w:bottom w:val="outset" w:sz="6" w:space="0" w:color="auto"/>
              <w:right w:val="outset" w:sz="6" w:space="0" w:color="auto"/>
            </w:tcBorders>
            <w:vAlign w:val="center"/>
            <w:hideMark/>
          </w:tcPr>
          <w:p w14:paraId="7BEDE284" w14:textId="4933B036" w:rsidR="00B009A4" w:rsidRDefault="003E3BE2"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activity has a </w:t>
            </w:r>
            <w:r w:rsidRPr="005D4EFB">
              <w:rPr>
                <w:rFonts w:ascii="Times New Roman" w:eastAsia="Times New Roman" w:hAnsi="Times New Roman" w:cs="Times New Roman"/>
                <w:sz w:val="24"/>
                <w:szCs w:val="24"/>
                <w:lang w:eastAsia="en-AU"/>
              </w:rPr>
              <w:t xml:space="preserve">typical </w:t>
            </w:r>
            <w:r w:rsidR="00FC6FD5" w:rsidRPr="005D4EFB">
              <w:rPr>
                <w:rFonts w:ascii="Times New Roman" w:eastAsia="Times New Roman" w:hAnsi="Times New Roman" w:cs="Times New Roman"/>
                <w:sz w:val="24"/>
                <w:szCs w:val="24"/>
                <w:lang w:eastAsia="en-AU"/>
              </w:rPr>
              <w:t>2</w:t>
            </w:r>
            <w:r w:rsidR="00F31834" w:rsidRPr="005D4EFB">
              <w:rPr>
                <w:rFonts w:ascii="Times New Roman" w:eastAsia="Times New Roman" w:hAnsi="Times New Roman" w:cs="Times New Roman"/>
                <w:sz w:val="24"/>
                <w:szCs w:val="24"/>
                <w:lang w:eastAsia="en-AU"/>
              </w:rPr>
              <w:t xml:space="preserve"> to 10</w:t>
            </w:r>
            <w:r w:rsidRPr="005D4EFB">
              <w:rPr>
                <w:rFonts w:ascii="Times New Roman" w:eastAsia="Times New Roman" w:hAnsi="Times New Roman" w:cs="Times New Roman"/>
                <w:sz w:val="24"/>
                <w:szCs w:val="24"/>
                <w:lang w:eastAsia="en-AU"/>
              </w:rPr>
              <w:t xml:space="preserve"> year</w:t>
            </w:r>
            <w:r>
              <w:rPr>
                <w:rFonts w:ascii="Times New Roman" w:eastAsia="Times New Roman" w:hAnsi="Times New Roman" w:cs="Times New Roman"/>
                <w:sz w:val="24"/>
                <w:szCs w:val="24"/>
                <w:lang w:eastAsia="en-AU"/>
              </w:rPr>
              <w:t xml:space="preserve"> payback. </w:t>
            </w:r>
          </w:p>
          <w:p w14:paraId="7017CDFF" w14:textId="6407FF16" w:rsidR="003E3BE2" w:rsidRDefault="002E47BD"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There is potential for hundreds of thous</w:t>
            </w:r>
            <w:r w:rsidR="00500524">
              <w:rPr>
                <w:rFonts w:ascii="Times New Roman" w:eastAsia="Times New Roman" w:hAnsi="Times New Roman" w:cs="Times New Roman"/>
                <w:sz w:val="24"/>
                <w:szCs w:val="24"/>
                <w:lang w:eastAsia="en-AU"/>
              </w:rPr>
              <w:t>ands of installations in Victoria</w:t>
            </w:r>
            <w:r>
              <w:rPr>
                <w:rFonts w:ascii="Times New Roman" w:eastAsia="Times New Roman" w:hAnsi="Times New Roman" w:cs="Times New Roman"/>
                <w:sz w:val="24"/>
                <w:szCs w:val="24"/>
                <w:lang w:eastAsia="en-AU"/>
              </w:rPr>
              <w:t>n homes</w:t>
            </w:r>
            <w:r w:rsidR="00500524">
              <w:rPr>
                <w:rFonts w:ascii="Times New Roman" w:eastAsia="Times New Roman" w:hAnsi="Times New Roman" w:cs="Times New Roman"/>
                <w:sz w:val="24"/>
                <w:szCs w:val="24"/>
                <w:lang w:eastAsia="en-AU"/>
              </w:rPr>
              <w:t xml:space="preserve"> annually, creating hundreds of thousands of VEECs per year.</w:t>
            </w:r>
          </w:p>
          <w:p w14:paraId="5C46AD24" w14:textId="77777777" w:rsidR="003E3BE2" w:rsidRDefault="003E3BE2"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Other benefits include:</w:t>
            </w:r>
          </w:p>
          <w:p w14:paraId="1E6D2183" w14:textId="2214036F" w:rsidR="00500524" w:rsidRDefault="00896CCD"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reduced harmonics</w:t>
            </w:r>
          </w:p>
          <w:p w14:paraId="74D48B85" w14:textId="2FA9EA01" w:rsidR="00896CCD" w:rsidRDefault="00896CCD"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surge protection</w:t>
            </w:r>
          </w:p>
          <w:p w14:paraId="2D31A7FA" w14:textId="66019F24" w:rsidR="006E42C2" w:rsidRDefault="006E42C2"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w:t>
            </w:r>
            <w:r w:rsidR="00FC6FD5">
              <w:rPr>
                <w:rFonts w:ascii="Times New Roman" w:eastAsia="Times New Roman" w:hAnsi="Times New Roman" w:cs="Times New Roman"/>
                <w:sz w:val="24"/>
                <w:szCs w:val="24"/>
                <w:lang w:eastAsia="en-AU"/>
              </w:rPr>
              <w:t>solar PV grid integration</w:t>
            </w:r>
          </w:p>
          <w:p w14:paraId="7A841045" w14:textId="6B9BEAC3" w:rsidR="00804CB8" w:rsidRDefault="00804CB8"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increased electrical equipment lifetime due to lower operating stresses (e.g. less heat)</w:t>
            </w:r>
          </w:p>
          <w:p w14:paraId="5BAB537D" w14:textId="77777777" w:rsidR="00500524" w:rsidRDefault="00500524"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sales and installation jobs</w:t>
            </w:r>
          </w:p>
          <w:p w14:paraId="56AEC564" w14:textId="77777777" w:rsidR="00500524" w:rsidRDefault="00500524"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greenhouse gas benefits</w:t>
            </w:r>
          </w:p>
          <w:p w14:paraId="09D76526" w14:textId="77777777" w:rsidR="00500524" w:rsidRDefault="00500524" w:rsidP="003E3BE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air pollution benefits</w:t>
            </w:r>
          </w:p>
          <w:p w14:paraId="275011C9" w14:textId="239F4045" w:rsidR="00500524" w:rsidRPr="001065B4" w:rsidRDefault="00500524" w:rsidP="002E47B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proposed activity is </w:t>
            </w:r>
            <w:r w:rsidR="002E47BD">
              <w:rPr>
                <w:rFonts w:ascii="Times New Roman" w:eastAsia="Times New Roman" w:hAnsi="Times New Roman" w:cs="Times New Roman"/>
                <w:sz w:val="24"/>
                <w:szCs w:val="24"/>
                <w:lang w:eastAsia="en-AU"/>
              </w:rPr>
              <w:t>not included in other state energy efficiency schemes at the moment.</w:t>
            </w:r>
          </w:p>
        </w:tc>
      </w:tr>
    </w:tbl>
    <w:p w14:paraId="036061F8" w14:textId="18F95120" w:rsidR="00A40B4D" w:rsidRDefault="00A40B4D"/>
    <w:p w14:paraId="239B1ED8" w14:textId="77777777" w:rsidR="00B66323" w:rsidRDefault="00B66323" w:rsidP="00B66323">
      <w:pPr>
        <w:pStyle w:val="Heading1"/>
      </w:pPr>
      <w:r>
        <w:t>Part 2 – Claims against assessment criteria</w:t>
      </w:r>
    </w:p>
    <w:p w14:paraId="10FAFD58" w14:textId="77777777" w:rsidR="00B66323" w:rsidRDefault="00B66323" w:rsidP="00A40B4D">
      <w:pPr>
        <w:pStyle w:val="Heading2"/>
      </w:pPr>
      <w:r>
        <w:t>A – Estimate of average energy and greenhouse savings</w:t>
      </w:r>
    </w:p>
    <w:p w14:paraId="45C83B6A" w14:textId="6EE6E89B" w:rsidR="00DF7E03" w:rsidRPr="002A4E8E" w:rsidRDefault="00DF7E03" w:rsidP="00DF7E03">
      <w:pPr>
        <w:rPr>
          <w:b/>
          <w:u w:val="single"/>
        </w:rPr>
      </w:pPr>
      <w:r w:rsidRPr="002A4E8E">
        <w:rPr>
          <w:b/>
          <w:u w:val="single"/>
        </w:rPr>
        <w:t>Overview</w:t>
      </w:r>
      <w:r>
        <w:rPr>
          <w:b/>
          <w:u w:val="single"/>
        </w:rPr>
        <w:t xml:space="preserve"> – how </w:t>
      </w:r>
      <w:r w:rsidR="008F7E8B">
        <w:rPr>
          <w:b/>
          <w:u w:val="single"/>
        </w:rPr>
        <w:t>C</w:t>
      </w:r>
      <w:r w:rsidR="002E47BD">
        <w:rPr>
          <w:b/>
          <w:u w:val="single"/>
        </w:rPr>
        <w:t>VR</w:t>
      </w:r>
      <w:r>
        <w:rPr>
          <w:b/>
          <w:u w:val="single"/>
        </w:rPr>
        <w:t xml:space="preserve"> saves energy</w:t>
      </w:r>
    </w:p>
    <w:p w14:paraId="71772B30" w14:textId="5ADCD369" w:rsidR="002E47BD" w:rsidRDefault="002E47BD" w:rsidP="00DF7E03">
      <w:r>
        <w:t xml:space="preserve">The voltage supplied to homes in Victoria depends on how far the home is situated from the nearest distribution transformer. Voltages decrease with distance from the distribution transformer. </w:t>
      </w:r>
      <w:r w:rsidR="000F1582">
        <w:t xml:space="preserve">Homes </w:t>
      </w:r>
      <w:r w:rsidR="000F1582">
        <w:lastRenderedPageBreak/>
        <w:t>close to the transformer will have a high supply voltage, and homes further away will have a lower voltage. In order to ensure that every household has sufficient voltage to run their appliances, the distributors are required to ensure that electricity is supplied within a range of values.</w:t>
      </w:r>
    </w:p>
    <w:p w14:paraId="7FF4651E" w14:textId="780A29CB" w:rsidR="002E47BD" w:rsidRDefault="001D61AF" w:rsidP="000F1582">
      <w:r>
        <w:t xml:space="preserve">In Australia, electricity </w:t>
      </w:r>
      <w:r w:rsidR="002E47BD">
        <w:t xml:space="preserve">is required to be delivered to the premises </w:t>
      </w:r>
      <w:r>
        <w:t xml:space="preserve">point of supply (main circuit board) </w:t>
      </w:r>
      <w:r w:rsidR="002E47BD">
        <w:t xml:space="preserve">at a </w:t>
      </w:r>
      <w:r>
        <w:t xml:space="preserve">nominal voltage of </w:t>
      </w:r>
      <w:r w:rsidR="002E47BD">
        <w:t>230V with a tolerance of + 10% and – 6%, i.e. voltages between 216V and 253V.</w:t>
      </w:r>
      <w:r w:rsidR="000F1582">
        <w:t xml:space="preserve"> </w:t>
      </w:r>
    </w:p>
    <w:p w14:paraId="12E9EAA2" w14:textId="1EF9E954" w:rsidR="001D61AF" w:rsidRDefault="000F1582" w:rsidP="00DF7E03">
      <w:r>
        <w:t xml:space="preserve">Voltage also drops between the point of supply and the individual power sockets and fixed appliances in the house. Australian Standard </w:t>
      </w:r>
      <w:r w:rsidR="00CD44AF" w:rsidRPr="000F1582">
        <w:rPr>
          <w:i/>
        </w:rPr>
        <w:t>AS</w:t>
      </w:r>
      <w:r>
        <w:rPr>
          <w:i/>
        </w:rPr>
        <w:t>/NZS</w:t>
      </w:r>
      <w:r w:rsidR="00CD44AF" w:rsidRPr="000F1582">
        <w:rPr>
          <w:i/>
        </w:rPr>
        <w:t xml:space="preserve"> 3000</w:t>
      </w:r>
      <w:r w:rsidRPr="000F1582">
        <w:rPr>
          <w:i/>
        </w:rPr>
        <w:t>:2007 Electrical installations (known as the Australian/New Zealand Wiring Rules)</w:t>
      </w:r>
      <w:r w:rsidR="00CD44AF">
        <w:t xml:space="preserve"> requires wiring</w:t>
      </w:r>
      <w:r w:rsidR="001D61AF">
        <w:t xml:space="preserve"> voltage</w:t>
      </w:r>
      <w:r w:rsidR="00CD44AF">
        <w:t xml:space="preserve"> losses between the main circuit board </w:t>
      </w:r>
      <w:r w:rsidR="001D61AF">
        <w:t xml:space="preserve">(point of supply) </w:t>
      </w:r>
      <w:r w:rsidR="00CD44AF">
        <w:t xml:space="preserve">and any point </w:t>
      </w:r>
      <w:r w:rsidR="001D61AF">
        <w:t>in the electrical inst</w:t>
      </w:r>
      <w:r>
        <w:t>allation to be no more than 5%.</w:t>
      </w:r>
    </w:p>
    <w:p w14:paraId="3C48348F" w14:textId="1BDCDCF9" w:rsidR="000F1582" w:rsidRDefault="000F1582" w:rsidP="001D61AF">
      <w:r>
        <w:t>The end result is that electricity is typically supplied to premises in Victoria at a voltage much higher that required for optimal operation of appliances. The additional power is wasted as heat.</w:t>
      </w:r>
    </w:p>
    <w:p w14:paraId="0315F675" w14:textId="433BC05F" w:rsidR="000F1582" w:rsidRDefault="000F1582" w:rsidP="001D61AF">
      <w:r>
        <w:t xml:space="preserve">Conservation Voltage Reduction works by continually monitoring the supply voltage and stepping it down to ensure that </w:t>
      </w:r>
      <w:r w:rsidR="00132E05">
        <w:t>it is tightly targeted to the optimum level for the electrical installation.</w:t>
      </w:r>
    </w:p>
    <w:p w14:paraId="6C2B8777" w14:textId="52B874CB" w:rsidR="007D1547" w:rsidRDefault="007D1547" w:rsidP="001D61AF">
      <w:r>
        <w:t>The unit will automatically bypass if the maximum kVA power is exceeded for a sustained period, as the unit could overheat otherwise. The CVR unit will also be bypassed if the supply voltage drops below the minimum voltage. It is important, therefore, that the CVR unit is correctly sized for the household load.</w:t>
      </w:r>
    </w:p>
    <w:p w14:paraId="38C17590" w14:textId="2251B02D" w:rsidR="00CD44AF" w:rsidRDefault="00132E05" w:rsidP="00DF7E03">
      <w:r>
        <w:t xml:space="preserve">Generally speaking, when voltages reduce, so too does the power drawn. </w:t>
      </w:r>
      <w:r w:rsidR="00CD44AF">
        <w:t xml:space="preserve">For a </w:t>
      </w:r>
      <w:r>
        <w:t xml:space="preserve">simple </w:t>
      </w:r>
      <w:r w:rsidR="00CD44AF">
        <w:t>resistive load (R), power (P), and energy consumption, reduces with the square of the voltage (V):</w:t>
      </w:r>
    </w:p>
    <w:p w14:paraId="6BBC9631" w14:textId="7AB0116C" w:rsidR="00CD44AF" w:rsidRDefault="00CD44AF" w:rsidP="00CD44AF">
      <w:pPr>
        <w:ind w:left="720"/>
      </w:pPr>
      <w:r>
        <w:t>P = V</w:t>
      </w:r>
      <w:r>
        <w:rPr>
          <w:vertAlign w:val="superscript"/>
        </w:rPr>
        <w:t>2</w:t>
      </w:r>
      <w:r>
        <w:t xml:space="preserve"> / R</w:t>
      </w:r>
    </w:p>
    <w:p w14:paraId="3900CEB0" w14:textId="6F05FB18" w:rsidR="00C404A8" w:rsidRDefault="00C404A8" w:rsidP="00C404A8">
      <w:r>
        <w:t>For small changes in voltage, the savings have a roughly linear relationship with the voltage reduction.</w:t>
      </w:r>
    </w:p>
    <w:p w14:paraId="32E077B4" w14:textId="33E6E10C" w:rsidR="00132E05" w:rsidRDefault="00132E05" w:rsidP="00E96C3F">
      <w:r>
        <w:t>Modern electrical equipment includes electronic equipment that does not necessarily follow this simple relationship. Nevertheless, power savings have been observed across a wide range of electrical devices.</w:t>
      </w:r>
      <w:r w:rsidR="00C85003">
        <w:rPr>
          <w:rStyle w:val="FootnoteReference"/>
        </w:rPr>
        <w:footnoteReference w:id="1"/>
      </w:r>
    </w:p>
    <w:p w14:paraId="54A546C3" w14:textId="180A435C" w:rsidR="00C85003" w:rsidRDefault="00C85003" w:rsidP="00E96C3F">
      <w:r>
        <w:t>Motors tend to have maximum efficiency at their rated voltage, with current increasing both above and below that voltage</w:t>
      </w:r>
      <w:r w:rsidR="007F7A40">
        <w:t>, but with power reducing with voltage</w:t>
      </w:r>
      <w:r>
        <w:t>.</w:t>
      </w:r>
      <w:r>
        <w:rPr>
          <w:rStyle w:val="FootnoteReference"/>
        </w:rPr>
        <w:footnoteReference w:id="2"/>
      </w:r>
      <w:r w:rsidR="007F7A40">
        <w:t xml:space="preserve"> Conventional air conditioners show a similar relationship.</w:t>
      </w:r>
      <w:r w:rsidR="007F7A40">
        <w:rPr>
          <w:rStyle w:val="FootnoteReference"/>
        </w:rPr>
        <w:footnoteReference w:id="3"/>
      </w:r>
    </w:p>
    <w:p w14:paraId="7FC2CD11" w14:textId="13341E57" w:rsidR="00860388" w:rsidRDefault="007F7A40" w:rsidP="00E96C3F">
      <w:r>
        <w:t>S</w:t>
      </w:r>
      <w:r w:rsidR="00860388">
        <w:t xml:space="preserve">ome devices that will </w:t>
      </w:r>
      <w:r>
        <w:t>deliver</w:t>
      </w:r>
      <w:r w:rsidR="00860388">
        <w:t xml:space="preserve"> reduced service levels</w:t>
      </w:r>
      <w:r>
        <w:t xml:space="preserve"> when voltage is reduced</w:t>
      </w:r>
      <w:r w:rsidR="00860388">
        <w:t xml:space="preserve">, effectively bringing performance back down to its </w:t>
      </w:r>
      <w:r w:rsidR="00C85003">
        <w:t xml:space="preserve">expected </w:t>
      </w:r>
      <w:r w:rsidR="00860388">
        <w:t xml:space="preserve">rated service levels. For example, a 35W halogen light might </w:t>
      </w:r>
      <w:r w:rsidR="00860388">
        <w:lastRenderedPageBreak/>
        <w:t>actually consume 40W of power under raised voltage, and output more light than its rating. Reducing the input voltage to the rated 230V will also reduce its light output to the rated value of luminous flux (lumens). This does not effectively reduce service levels unless the required service levels of the equipment was underestimated at the time of installation.</w:t>
      </w:r>
    </w:p>
    <w:p w14:paraId="68F077ED" w14:textId="63FBCA06" w:rsidR="00132E05" w:rsidRDefault="00132E05" w:rsidP="00E96C3F">
      <w:r>
        <w:t>In addition, for resistive heating devices such as electric resistance water heaters, electrical slab heating, ovens and electric cooktops, any voltage reduction will result in reduced power draw, but will also mean it takes longer to heat up, so the actual energy savings are zero.</w:t>
      </w:r>
    </w:p>
    <w:p w14:paraId="6C35B8B4" w14:textId="2352B21A" w:rsidR="00132E05" w:rsidRDefault="00607EDD" w:rsidP="00E96C3F">
      <w:r>
        <w:t>Resistive h</w:t>
      </w:r>
      <w:r w:rsidR="00132E05">
        <w:t xml:space="preserve">eating elements also usually draw high power, so it is recommended that CVR equipment is not connected to any circuits for hot water, </w:t>
      </w:r>
      <w:r>
        <w:t>cooking or slab heating.</w:t>
      </w:r>
    </w:p>
    <w:p w14:paraId="7F046539" w14:textId="6D981DF9" w:rsidR="00860388" w:rsidRDefault="00860388" w:rsidP="00E96C3F">
      <w:r>
        <w:t>In summary, the different types of loads and the results of reduced voltage can be summarised as follows:</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1840"/>
        <w:gridCol w:w="2187"/>
        <w:gridCol w:w="2632"/>
        <w:gridCol w:w="2583"/>
      </w:tblGrid>
      <w:tr w:rsidR="00B02425" w14:paraId="0DFB6745" w14:textId="5B08FBD6" w:rsidTr="00B02425">
        <w:tc>
          <w:tcPr>
            <w:tcW w:w="1840" w:type="dxa"/>
            <w:shd w:val="clear" w:color="auto" w:fill="4F81BD" w:themeFill="accent1"/>
          </w:tcPr>
          <w:p w14:paraId="108381F2" w14:textId="4D5E6946" w:rsidR="00B02425" w:rsidRPr="00AC17DD" w:rsidRDefault="00B02425" w:rsidP="00F31834">
            <w:pPr>
              <w:tabs>
                <w:tab w:val="center" w:pos="1363"/>
                <w:tab w:val="right" w:pos="2727"/>
              </w:tabs>
              <w:rPr>
                <w:b/>
                <w:color w:val="FFFFFF" w:themeColor="background1"/>
              </w:rPr>
            </w:pPr>
            <w:r>
              <w:rPr>
                <w:b/>
                <w:color w:val="FFFFFF" w:themeColor="background1"/>
              </w:rPr>
              <w:t>Type of load</w:t>
            </w:r>
          </w:p>
        </w:tc>
        <w:tc>
          <w:tcPr>
            <w:tcW w:w="2187" w:type="dxa"/>
            <w:shd w:val="clear" w:color="auto" w:fill="4F81BD" w:themeFill="accent1"/>
          </w:tcPr>
          <w:p w14:paraId="7B72271C" w14:textId="0C3160A7" w:rsidR="00B02425" w:rsidRDefault="00B02425" w:rsidP="00F31834">
            <w:pPr>
              <w:tabs>
                <w:tab w:val="center" w:pos="1363"/>
                <w:tab w:val="right" w:pos="2727"/>
              </w:tabs>
              <w:rPr>
                <w:b/>
                <w:color w:val="FFFFFF" w:themeColor="background1"/>
              </w:rPr>
            </w:pPr>
            <w:r>
              <w:rPr>
                <w:b/>
                <w:color w:val="FFFFFF" w:themeColor="background1"/>
              </w:rPr>
              <w:t>Examples</w:t>
            </w:r>
          </w:p>
        </w:tc>
        <w:tc>
          <w:tcPr>
            <w:tcW w:w="2632" w:type="dxa"/>
            <w:shd w:val="clear" w:color="auto" w:fill="4F81BD" w:themeFill="accent1"/>
          </w:tcPr>
          <w:p w14:paraId="201CDA9C" w14:textId="663E3488" w:rsidR="00B02425" w:rsidRPr="002E5CB3" w:rsidRDefault="00B02425" w:rsidP="00F31834">
            <w:pPr>
              <w:tabs>
                <w:tab w:val="center" w:pos="1363"/>
                <w:tab w:val="right" w:pos="2727"/>
              </w:tabs>
              <w:rPr>
                <w:b/>
              </w:rPr>
            </w:pPr>
            <w:r>
              <w:rPr>
                <w:b/>
                <w:color w:val="FFFFFF" w:themeColor="background1"/>
              </w:rPr>
              <w:t>Effect of CVR</w:t>
            </w:r>
          </w:p>
        </w:tc>
        <w:tc>
          <w:tcPr>
            <w:tcW w:w="2583" w:type="dxa"/>
            <w:shd w:val="clear" w:color="auto" w:fill="4F81BD" w:themeFill="accent1"/>
          </w:tcPr>
          <w:p w14:paraId="02B21664" w14:textId="37282649" w:rsidR="00B02425" w:rsidRDefault="00B02425" w:rsidP="00F31834">
            <w:pPr>
              <w:tabs>
                <w:tab w:val="center" w:pos="1363"/>
                <w:tab w:val="right" w:pos="2727"/>
              </w:tabs>
              <w:rPr>
                <w:b/>
                <w:color w:val="FFFFFF" w:themeColor="background1"/>
              </w:rPr>
            </w:pPr>
            <w:r>
              <w:rPr>
                <w:b/>
                <w:color w:val="FFFFFF" w:themeColor="background1"/>
              </w:rPr>
              <w:t>Energy savings</w:t>
            </w:r>
          </w:p>
        </w:tc>
      </w:tr>
      <w:tr w:rsidR="00B02425" w14:paraId="2C9B1F0C" w14:textId="05119F0C" w:rsidTr="00B02425">
        <w:tc>
          <w:tcPr>
            <w:tcW w:w="1840" w:type="dxa"/>
            <w:shd w:val="clear" w:color="auto" w:fill="FFFFFF" w:themeFill="background1"/>
          </w:tcPr>
          <w:p w14:paraId="00B57852" w14:textId="650AE4D8" w:rsidR="00B02425" w:rsidRPr="00804800" w:rsidRDefault="007D1547" w:rsidP="00F31834">
            <w:pPr>
              <w:rPr>
                <w:b/>
              </w:rPr>
            </w:pPr>
            <w:r>
              <w:rPr>
                <w:b/>
              </w:rPr>
              <w:t>Incandescent lighting</w:t>
            </w:r>
          </w:p>
        </w:tc>
        <w:tc>
          <w:tcPr>
            <w:tcW w:w="2187" w:type="dxa"/>
          </w:tcPr>
          <w:p w14:paraId="496306EF" w14:textId="0BD7F931" w:rsidR="00B02425" w:rsidRDefault="007D1547" w:rsidP="00F31834">
            <w:r>
              <w:t>Halogen downlights</w:t>
            </w:r>
          </w:p>
        </w:tc>
        <w:tc>
          <w:tcPr>
            <w:tcW w:w="2632" w:type="dxa"/>
          </w:tcPr>
          <w:p w14:paraId="7D25C247" w14:textId="716BD555" w:rsidR="00B02425" w:rsidRDefault="007D1547" w:rsidP="00F31834">
            <w:r>
              <w:t>Reduction of service levels to rated luminous flux</w:t>
            </w:r>
          </w:p>
        </w:tc>
        <w:tc>
          <w:tcPr>
            <w:tcW w:w="2583" w:type="dxa"/>
          </w:tcPr>
          <w:p w14:paraId="100F42FE" w14:textId="113611E6" w:rsidR="00B02425" w:rsidRDefault="00B02425" w:rsidP="00F31834">
            <w:r>
              <w:t>Proportional to voltage reduction</w:t>
            </w:r>
          </w:p>
        </w:tc>
      </w:tr>
      <w:tr w:rsidR="007D1547" w14:paraId="5C7A38AF" w14:textId="77777777" w:rsidTr="00B02425">
        <w:tc>
          <w:tcPr>
            <w:tcW w:w="1840" w:type="dxa"/>
            <w:shd w:val="clear" w:color="auto" w:fill="FFFFFF" w:themeFill="background1"/>
          </w:tcPr>
          <w:p w14:paraId="2D6526E8" w14:textId="2976BBD7" w:rsidR="007D1547" w:rsidRDefault="007D1547" w:rsidP="00F31834">
            <w:pPr>
              <w:rPr>
                <w:b/>
              </w:rPr>
            </w:pPr>
            <w:r>
              <w:rPr>
                <w:b/>
              </w:rPr>
              <w:t>Discharge lighting</w:t>
            </w:r>
          </w:p>
        </w:tc>
        <w:tc>
          <w:tcPr>
            <w:tcW w:w="2187" w:type="dxa"/>
          </w:tcPr>
          <w:p w14:paraId="1C92636E" w14:textId="660C808E" w:rsidR="007D1547" w:rsidRDefault="007D1547" w:rsidP="00F31834">
            <w:r>
              <w:t>Fluorescent lights</w:t>
            </w:r>
          </w:p>
        </w:tc>
        <w:tc>
          <w:tcPr>
            <w:tcW w:w="2632" w:type="dxa"/>
          </w:tcPr>
          <w:p w14:paraId="36FD41F0" w14:textId="6DFA25C8" w:rsidR="007D1547" w:rsidRDefault="007D1547" w:rsidP="00F31834">
            <w:r>
              <w:t>Reduction of services levels to rated luminous flux</w:t>
            </w:r>
          </w:p>
        </w:tc>
        <w:tc>
          <w:tcPr>
            <w:tcW w:w="2583" w:type="dxa"/>
          </w:tcPr>
          <w:p w14:paraId="2CD758E6" w14:textId="79B42CE0" w:rsidR="007D1547" w:rsidRDefault="007D1547" w:rsidP="00F31834">
            <w:r>
              <w:t>Proportional to voltage reduction</w:t>
            </w:r>
          </w:p>
        </w:tc>
      </w:tr>
      <w:tr w:rsidR="00B02425" w14:paraId="7B817C3F" w14:textId="3489B426" w:rsidTr="00B02425">
        <w:tc>
          <w:tcPr>
            <w:tcW w:w="1840" w:type="dxa"/>
            <w:shd w:val="clear" w:color="auto" w:fill="FFFFFF" w:themeFill="background1"/>
          </w:tcPr>
          <w:p w14:paraId="5602CF92" w14:textId="3E332543" w:rsidR="00B02425" w:rsidRPr="00804800" w:rsidRDefault="00B02425" w:rsidP="00F31834">
            <w:pPr>
              <w:rPr>
                <w:b/>
              </w:rPr>
            </w:pPr>
            <w:r>
              <w:rPr>
                <w:b/>
              </w:rPr>
              <w:t>Resistive heating</w:t>
            </w:r>
          </w:p>
        </w:tc>
        <w:tc>
          <w:tcPr>
            <w:tcW w:w="2187" w:type="dxa"/>
          </w:tcPr>
          <w:p w14:paraId="68B0E9C4" w14:textId="18736310" w:rsidR="00B02425" w:rsidRDefault="00B02425" w:rsidP="00F31834">
            <w:r>
              <w:t>Water heaters, clothes dryers, ovens</w:t>
            </w:r>
          </w:p>
        </w:tc>
        <w:tc>
          <w:tcPr>
            <w:tcW w:w="2632" w:type="dxa"/>
          </w:tcPr>
          <w:p w14:paraId="2E43D650" w14:textId="1DAC1DDA" w:rsidR="00B02425" w:rsidRDefault="00B02425" w:rsidP="00F31834">
            <w:r>
              <w:t>Reduces the power, but increases the time taken to heat the water or air</w:t>
            </w:r>
          </w:p>
        </w:tc>
        <w:tc>
          <w:tcPr>
            <w:tcW w:w="2583" w:type="dxa"/>
          </w:tcPr>
          <w:p w14:paraId="21D0F501" w14:textId="6F020125" w:rsidR="00B02425" w:rsidRDefault="00B02425" w:rsidP="00F31834">
            <w:r>
              <w:t>No savings</w:t>
            </w:r>
          </w:p>
        </w:tc>
      </w:tr>
      <w:tr w:rsidR="00B02425" w14:paraId="7D4DDC52" w14:textId="6853E55D" w:rsidTr="00B02425">
        <w:tc>
          <w:tcPr>
            <w:tcW w:w="1840" w:type="dxa"/>
            <w:shd w:val="clear" w:color="auto" w:fill="FFFFFF" w:themeFill="background1"/>
          </w:tcPr>
          <w:p w14:paraId="20D01548" w14:textId="1A519909" w:rsidR="00B02425" w:rsidRDefault="00B02425" w:rsidP="00F31834">
            <w:pPr>
              <w:rPr>
                <w:b/>
              </w:rPr>
            </w:pPr>
            <w:r>
              <w:rPr>
                <w:b/>
              </w:rPr>
              <w:t>Motors</w:t>
            </w:r>
          </w:p>
        </w:tc>
        <w:tc>
          <w:tcPr>
            <w:tcW w:w="2187" w:type="dxa"/>
          </w:tcPr>
          <w:p w14:paraId="653CCCDB" w14:textId="2FC294C7" w:rsidR="00B02425" w:rsidRDefault="00B02425" w:rsidP="00F31834">
            <w:r>
              <w:t>Refrigerators, air conditioning, washing machines</w:t>
            </w:r>
            <w:r w:rsidR="007D1547">
              <w:t>, pool pumps</w:t>
            </w:r>
          </w:p>
        </w:tc>
        <w:tc>
          <w:tcPr>
            <w:tcW w:w="2632" w:type="dxa"/>
          </w:tcPr>
          <w:p w14:paraId="69CD1FE7" w14:textId="0A813DC0" w:rsidR="00B02425" w:rsidRDefault="00B02425" w:rsidP="00F31834">
            <w:r>
              <w:t xml:space="preserve">Reduced torque, optimum </w:t>
            </w:r>
            <w:r w:rsidR="00A340C3">
              <w:t xml:space="preserve">electrical </w:t>
            </w:r>
            <w:r>
              <w:t xml:space="preserve">efficiency </w:t>
            </w:r>
            <w:r w:rsidR="00A340C3">
              <w:t xml:space="preserve">achieved </w:t>
            </w:r>
            <w:r>
              <w:t>at rated voltage</w:t>
            </w:r>
          </w:p>
        </w:tc>
        <w:tc>
          <w:tcPr>
            <w:tcW w:w="2583" w:type="dxa"/>
          </w:tcPr>
          <w:p w14:paraId="7593199B" w14:textId="0B49227B" w:rsidR="00B02425" w:rsidRDefault="00B02425" w:rsidP="00F31834">
            <w:r>
              <w:t>Generally proportional to voltage reduction</w:t>
            </w:r>
          </w:p>
        </w:tc>
      </w:tr>
      <w:tr w:rsidR="007D1547" w14:paraId="0FCD7A84" w14:textId="77777777" w:rsidTr="00B02425">
        <w:tc>
          <w:tcPr>
            <w:tcW w:w="1840" w:type="dxa"/>
            <w:shd w:val="clear" w:color="auto" w:fill="FFFFFF" w:themeFill="background1"/>
          </w:tcPr>
          <w:p w14:paraId="1FF660F6" w14:textId="58E1CEB4" w:rsidR="007D1547" w:rsidRDefault="007D1547" w:rsidP="00F31834">
            <w:pPr>
              <w:rPr>
                <w:b/>
              </w:rPr>
            </w:pPr>
            <w:r>
              <w:rPr>
                <w:b/>
              </w:rPr>
              <w:t>High efficiency motors</w:t>
            </w:r>
          </w:p>
        </w:tc>
        <w:tc>
          <w:tcPr>
            <w:tcW w:w="2187" w:type="dxa"/>
          </w:tcPr>
          <w:p w14:paraId="49F28C6B" w14:textId="69C3A46F" w:rsidR="007D1547" w:rsidRDefault="007D1547" w:rsidP="00F31834">
            <w:r>
              <w:t>Variable speed drives or inverters</w:t>
            </w:r>
          </w:p>
        </w:tc>
        <w:tc>
          <w:tcPr>
            <w:tcW w:w="2632" w:type="dxa"/>
          </w:tcPr>
          <w:p w14:paraId="7901B08C" w14:textId="11881663" w:rsidR="007D1547" w:rsidRDefault="007D1547" w:rsidP="00F31834">
            <w:r>
              <w:t>Will draw higher current</w:t>
            </w:r>
          </w:p>
        </w:tc>
        <w:tc>
          <w:tcPr>
            <w:tcW w:w="2583" w:type="dxa"/>
          </w:tcPr>
          <w:p w14:paraId="50DED63B" w14:textId="2CCF8232" w:rsidR="007D1547" w:rsidRDefault="007D1547" w:rsidP="00F31834">
            <w:r>
              <w:t>No savings</w:t>
            </w:r>
          </w:p>
        </w:tc>
      </w:tr>
      <w:tr w:rsidR="00B02425" w14:paraId="3BAE18D5" w14:textId="274A385C" w:rsidTr="00B02425">
        <w:tc>
          <w:tcPr>
            <w:tcW w:w="1840" w:type="dxa"/>
            <w:shd w:val="clear" w:color="auto" w:fill="FFFFFF" w:themeFill="background1"/>
          </w:tcPr>
          <w:p w14:paraId="249015FC" w14:textId="0A1A89E1" w:rsidR="00B02425" w:rsidRDefault="00B02425" w:rsidP="00F31834">
            <w:pPr>
              <w:rPr>
                <w:b/>
              </w:rPr>
            </w:pPr>
            <w:r>
              <w:rPr>
                <w:b/>
              </w:rPr>
              <w:t>Electronics</w:t>
            </w:r>
          </w:p>
        </w:tc>
        <w:tc>
          <w:tcPr>
            <w:tcW w:w="2187" w:type="dxa"/>
          </w:tcPr>
          <w:p w14:paraId="558FE42C" w14:textId="6B456A49" w:rsidR="00B02425" w:rsidRDefault="00B02425" w:rsidP="00F31834">
            <w:r>
              <w:t>IT, audio-visual, LED lights</w:t>
            </w:r>
          </w:p>
        </w:tc>
        <w:tc>
          <w:tcPr>
            <w:tcW w:w="2632" w:type="dxa"/>
          </w:tcPr>
          <w:p w14:paraId="46A8255C" w14:textId="7818D236" w:rsidR="00B02425" w:rsidRDefault="00B02425" w:rsidP="00B02425">
            <w:r>
              <w:t>Some savings, although some electronic transformers or drivers will draw higher current to compensate</w:t>
            </w:r>
          </w:p>
        </w:tc>
        <w:tc>
          <w:tcPr>
            <w:tcW w:w="2583" w:type="dxa"/>
          </w:tcPr>
          <w:p w14:paraId="6560EE5F" w14:textId="1B2AB3FC" w:rsidR="00B02425" w:rsidRDefault="00B02425" w:rsidP="00F31834">
            <w:r>
              <w:t>Some savings</w:t>
            </w:r>
            <w:r w:rsidR="00A340C3">
              <w:t>, maybe non-linear.</w:t>
            </w:r>
          </w:p>
        </w:tc>
      </w:tr>
    </w:tbl>
    <w:p w14:paraId="5A32E56B" w14:textId="77777777" w:rsidR="00860388" w:rsidRDefault="00860388" w:rsidP="00E96C3F"/>
    <w:p w14:paraId="56D25D40" w14:textId="5F503A9D" w:rsidR="007D1547" w:rsidRDefault="007D1547" w:rsidP="00E96C3F">
      <w:r>
        <w:t>As household appliances become more efficient, the opportunity for savings from CVR will reduce. However, contemporary houses still have many opportunities to save energy through CVR, as has been found in field trials.</w:t>
      </w:r>
    </w:p>
    <w:p w14:paraId="39923543" w14:textId="77777777" w:rsidR="00A62C99" w:rsidRPr="00D022F5" w:rsidRDefault="00A62C99" w:rsidP="006A552C">
      <w:pPr>
        <w:rPr>
          <w:b/>
          <w:u w:val="single"/>
        </w:rPr>
      </w:pPr>
      <w:r>
        <w:rPr>
          <w:b/>
          <w:u w:val="single"/>
        </w:rPr>
        <w:t>Key parameters</w:t>
      </w:r>
    </w:p>
    <w:p w14:paraId="48739255" w14:textId="1BD5BD16" w:rsidR="00CD44AF" w:rsidRDefault="00CD44AF" w:rsidP="006A552C">
      <w:r>
        <w:rPr>
          <w:i/>
        </w:rPr>
        <w:t>Equipment</w:t>
      </w:r>
      <w:r w:rsidR="00804800">
        <w:rPr>
          <w:i/>
        </w:rPr>
        <w:t xml:space="preserve"> power rating</w:t>
      </w:r>
      <w:r w:rsidR="008A56E4">
        <w:t xml:space="preserve"> (kVA) is the rated </w:t>
      </w:r>
      <w:r>
        <w:t xml:space="preserve">apparent power that the CVR equipment can service. </w:t>
      </w:r>
      <w:r w:rsidR="00C24098">
        <w:t>This is determined by the manufacturer.</w:t>
      </w:r>
      <w:r w:rsidR="00FA7F05">
        <w:t xml:space="preserve"> This is related to the current throughput that can be sustained before the unit begins to overheat.</w:t>
      </w:r>
    </w:p>
    <w:p w14:paraId="15CFAD7F" w14:textId="31E194F3" w:rsidR="00634EF4" w:rsidRDefault="00484D84" w:rsidP="006A552C">
      <w:r w:rsidRPr="00484D84">
        <w:rPr>
          <w:i/>
        </w:rPr>
        <w:lastRenderedPageBreak/>
        <w:t xml:space="preserve">Equipment </w:t>
      </w:r>
      <w:r w:rsidR="00F1427D">
        <w:rPr>
          <w:i/>
        </w:rPr>
        <w:t>efficiency</w:t>
      </w:r>
      <w:r>
        <w:t xml:space="preserve"> </w:t>
      </w:r>
      <w:r w:rsidR="00905B58">
        <w:t xml:space="preserve">= </w:t>
      </w:r>
      <w:r w:rsidR="00E1737A">
        <w:t xml:space="preserve">0.98. State-of-the-art </w:t>
      </w:r>
      <w:r w:rsidR="00634EF4">
        <w:t xml:space="preserve">CVR </w:t>
      </w:r>
      <w:r w:rsidR="00E1737A">
        <w:t xml:space="preserve">equipment </w:t>
      </w:r>
      <w:r w:rsidR="00634EF4">
        <w:t>generally has an efficiency of between 98% and 99%. However, this value is not used in the calculation, as the energy savings measured in studies are net of the CVR equipment losses.</w:t>
      </w:r>
    </w:p>
    <w:p w14:paraId="0DC1736B" w14:textId="226DF3D4" w:rsidR="00C24098" w:rsidRDefault="00DF7E03" w:rsidP="00DF7E03">
      <w:r w:rsidRPr="00DF7E03">
        <w:rPr>
          <w:i/>
        </w:rPr>
        <w:t xml:space="preserve">Annual </w:t>
      </w:r>
      <w:r w:rsidR="002862BF">
        <w:rPr>
          <w:i/>
        </w:rPr>
        <w:t>energy consumption</w:t>
      </w:r>
      <w:r>
        <w:t xml:space="preserve"> </w:t>
      </w:r>
      <w:r w:rsidR="002862BF">
        <w:t xml:space="preserve">for a residential dwelling </w:t>
      </w:r>
      <w:r w:rsidR="00C24098">
        <w:t>can vary significantly. For example, the VEET activity for</w:t>
      </w:r>
      <w:r w:rsidR="002862BF">
        <w:t xml:space="preserve"> In-home Display Units</w:t>
      </w:r>
      <w:r w:rsidR="00C24098">
        <w:t xml:space="preserve"> differentiates two different consumption profiles, depending on whether or not the household has access to reticulated gas</w:t>
      </w:r>
      <w:r w:rsidR="002862BF">
        <w:t>.</w:t>
      </w:r>
      <w:r w:rsidR="00C076A0">
        <w:rPr>
          <w:rStyle w:val="FootnoteReference"/>
        </w:rPr>
        <w:footnoteReference w:id="4"/>
      </w:r>
      <w:r w:rsidR="002862BF">
        <w:t xml:space="preserve"> </w:t>
      </w:r>
      <w:r w:rsidR="00C24098">
        <w:t>This can simply be established by the postcode of the household. However, there are many more factors that could be taken into account, such as climate, floor area, age of building, occupancy during the day etc. that also have a large effect on household energy consumption. Instead, it is proposed to use the rated capacity of the CVR unit to estimate the amount of energy throughput that the equipment services. Since VEECs will only cover a proportion of the installation costs, there will be no incentive to oversize units, and the compliance regime will ensure that units are not undersized.</w:t>
      </w:r>
    </w:p>
    <w:p w14:paraId="6C6B6501" w14:textId="6F0EB745" w:rsidR="00AA04A9" w:rsidRDefault="008F7E8B" w:rsidP="008F7E8B">
      <w:r w:rsidRPr="008F7E8B">
        <w:rPr>
          <w:i/>
        </w:rPr>
        <w:t>Effective full-load hours</w:t>
      </w:r>
      <w:r>
        <w:t xml:space="preserve"> </w:t>
      </w:r>
      <w:r w:rsidR="00894483">
        <w:t xml:space="preserve">(or EFLH) </w:t>
      </w:r>
      <w:r>
        <w:t xml:space="preserve">is the equivalent number of hours per year that the </w:t>
      </w:r>
      <w:r w:rsidR="00894483">
        <w:t xml:space="preserve">CVR unit would need to operate at full rated capacity to have the same throughput of energy as a full year of actual energy profile. The effective full-load hours is a measure of the “peakiness” of the load profile. Residential load profiles are quite peaky, as seen in </w:t>
      </w:r>
      <w:r w:rsidR="00894483">
        <w:fldChar w:fldCharType="begin"/>
      </w:r>
      <w:r w:rsidR="00894483">
        <w:instrText xml:space="preserve"> REF _Ref437478607 \h </w:instrText>
      </w:r>
      <w:r w:rsidR="00894483">
        <w:fldChar w:fldCharType="separate"/>
      </w:r>
      <w:r w:rsidR="00894483">
        <w:t xml:space="preserve">Figure </w:t>
      </w:r>
      <w:r w:rsidR="00894483">
        <w:rPr>
          <w:noProof/>
        </w:rPr>
        <w:t>1</w:t>
      </w:r>
      <w:r w:rsidR="00894483">
        <w:fldChar w:fldCharType="end"/>
      </w:r>
      <w:r w:rsidR="00894483">
        <w:t xml:space="preserve"> below, with a distinctive morning and evening peak.</w:t>
      </w:r>
    </w:p>
    <w:p w14:paraId="1A7BE57A" w14:textId="2F964193" w:rsidR="008F7E8B" w:rsidRDefault="008F7E8B" w:rsidP="008F7E8B">
      <w:pPr>
        <w:pStyle w:val="Caption"/>
        <w:keepNext/>
      </w:pPr>
      <w:bookmarkStart w:id="1" w:name="_Ref437478607"/>
      <w:r>
        <w:t xml:space="preserve">Figure </w:t>
      </w:r>
      <w:r w:rsidR="0043182D">
        <w:fldChar w:fldCharType="begin"/>
      </w:r>
      <w:r w:rsidR="0043182D">
        <w:instrText xml:space="preserve"> SEQ Figure \* ARABIC </w:instrText>
      </w:r>
      <w:r w:rsidR="0043182D">
        <w:fldChar w:fldCharType="separate"/>
      </w:r>
      <w:r>
        <w:rPr>
          <w:noProof/>
        </w:rPr>
        <w:t>1</w:t>
      </w:r>
      <w:r w:rsidR="0043182D">
        <w:rPr>
          <w:noProof/>
        </w:rPr>
        <w:fldChar w:fldCharType="end"/>
      </w:r>
      <w:bookmarkEnd w:id="1"/>
      <w:r>
        <w:t xml:space="preserve"> - </w:t>
      </w:r>
      <w:r w:rsidRPr="009E23BB">
        <w:t>Daily electricity in one Victoria hous</w:t>
      </w:r>
      <w:r>
        <w:t>e</w:t>
      </w:r>
      <w:r w:rsidRPr="009E23BB">
        <w:t>hold</w:t>
      </w:r>
      <w:r>
        <w:t>, 5 May – 19 June 2012 (Source: Victorian Government)</w:t>
      </w:r>
      <w:r>
        <w:rPr>
          <w:rStyle w:val="FootnoteReference"/>
        </w:rPr>
        <w:footnoteReference w:id="5"/>
      </w:r>
    </w:p>
    <w:p w14:paraId="09748F1D" w14:textId="57A2F14C" w:rsidR="008F7E8B" w:rsidRDefault="008F7E8B" w:rsidP="008F7E8B">
      <w:r>
        <w:rPr>
          <w:noProof/>
          <w:lang w:eastAsia="en-AU"/>
        </w:rPr>
        <w:drawing>
          <wp:inline distT="0" distB="0" distL="0" distR="0" wp14:anchorId="210FDF6E" wp14:editId="40394C06">
            <wp:extent cx="5518150" cy="3628957"/>
            <wp:effectExtent l="0" t="0" r="6350" b="0"/>
            <wp:docPr id="42423" name="Picture 42423"/>
            <wp:cNvGraphicFramePr/>
            <a:graphic xmlns:a="http://schemas.openxmlformats.org/drawingml/2006/main">
              <a:graphicData uri="http://schemas.openxmlformats.org/drawingml/2006/picture">
                <pic:pic xmlns:pic="http://schemas.openxmlformats.org/drawingml/2006/picture">
                  <pic:nvPicPr>
                    <pic:cNvPr id="42423" name="Picture 42423"/>
                    <pic:cNvPicPr/>
                  </pic:nvPicPr>
                  <pic:blipFill>
                    <a:blip r:embed="rId9"/>
                    <a:stretch>
                      <a:fillRect/>
                    </a:stretch>
                  </pic:blipFill>
                  <pic:spPr>
                    <a:xfrm>
                      <a:off x="0" y="0"/>
                      <a:ext cx="5531415" cy="3637680"/>
                    </a:xfrm>
                    <a:prstGeom prst="rect">
                      <a:avLst/>
                    </a:prstGeom>
                  </pic:spPr>
                </pic:pic>
              </a:graphicData>
            </a:graphic>
          </wp:inline>
        </w:drawing>
      </w:r>
    </w:p>
    <w:p w14:paraId="59F325EC" w14:textId="29AA6F5D" w:rsidR="00171A9B" w:rsidRDefault="00171A9B" w:rsidP="006A552C">
      <w:r>
        <w:lastRenderedPageBreak/>
        <w:t xml:space="preserve">Analysis of this example profile </w:t>
      </w:r>
      <w:r w:rsidR="002F1CF0">
        <w:t>reveals it is the equivalent of 3000 hours per year at the peak average demand of 3</w:t>
      </w:r>
      <w:r w:rsidR="005B1483">
        <w:t>.5</w:t>
      </w:r>
      <w:r w:rsidR="002F1CF0">
        <w:t xml:space="preserve"> </w:t>
      </w:r>
      <w:r w:rsidR="005B1483">
        <w:t>k</w:t>
      </w:r>
      <w:r w:rsidR="002F1CF0">
        <w:t xml:space="preserve">W. </w:t>
      </w:r>
      <w:r w:rsidR="005B1483">
        <w:t>Any residential load with a similar load profile will have the same 3000 hours of equivalent full-load use.</w:t>
      </w:r>
    </w:p>
    <w:p w14:paraId="0A7EFDC2" w14:textId="2214B730" w:rsidR="005B1483" w:rsidRDefault="005B1483" w:rsidP="005B1483">
      <w:pPr>
        <w:ind w:left="720"/>
      </w:pPr>
      <w:r w:rsidRPr="008F7E8B">
        <w:rPr>
          <w:i/>
        </w:rPr>
        <w:t>Effective full-load hours</w:t>
      </w:r>
      <w:r>
        <w:rPr>
          <w:i/>
        </w:rPr>
        <w:t xml:space="preserve"> = 3000 hours</w:t>
      </w:r>
    </w:p>
    <w:p w14:paraId="11E25EE3" w14:textId="49BBEC09" w:rsidR="00AA04A9" w:rsidRDefault="00FA7F05" w:rsidP="006A552C">
      <w:r w:rsidRPr="00FA7F05">
        <w:rPr>
          <w:i/>
        </w:rPr>
        <w:t>S</w:t>
      </w:r>
      <w:r w:rsidR="00AA04A9" w:rsidRPr="00FA7F05">
        <w:rPr>
          <w:i/>
        </w:rPr>
        <w:t>avings factor</w:t>
      </w:r>
      <w:r w:rsidR="000F1582">
        <w:t xml:space="preserve"> </w:t>
      </w:r>
      <w:r w:rsidR="00C61E01">
        <w:t xml:space="preserve">= </w:t>
      </w:r>
      <w:r w:rsidR="001F5794">
        <w:t>5.04</w:t>
      </w:r>
      <w:r w:rsidR="000F1582">
        <w:t xml:space="preserve">%. </w:t>
      </w:r>
      <w:r w:rsidR="00691259">
        <w:t xml:space="preserve">There have not been many comprehensive trials of residential CVR. </w:t>
      </w:r>
      <w:r w:rsidR="00634EF4">
        <w:t xml:space="preserve">A detailed UK study found savings </w:t>
      </w:r>
      <w:r w:rsidR="00691259">
        <w:t>of</w:t>
      </w:r>
      <w:r w:rsidR="00634EF4">
        <w:t xml:space="preserve"> 6.3% savings attributable to homes that don’t use electrical space heating.</w:t>
      </w:r>
      <w:r w:rsidR="00634EF4">
        <w:rPr>
          <w:rStyle w:val="FootnoteReference"/>
        </w:rPr>
        <w:footnoteReference w:id="6"/>
      </w:r>
      <w:r w:rsidR="00634EF4">
        <w:t xml:space="preserve"> </w:t>
      </w:r>
      <w:r w:rsidR="00C61E01">
        <w:t>This study looked at reducing the grid voltage from an average of 245V to 220V. If instead, the voltage is reduced to</w:t>
      </w:r>
      <w:r w:rsidR="00691259">
        <w:t xml:space="preserve"> the lower end of the preferred voltage range under</w:t>
      </w:r>
      <w:r w:rsidR="00C61E01">
        <w:t xml:space="preserve"> the Australian standard of 2</w:t>
      </w:r>
      <w:r w:rsidR="00691259">
        <w:t>25</w:t>
      </w:r>
      <w:r w:rsidR="00C61E01">
        <w:t xml:space="preserve">V, it is expected that the savings would be reduced proportionally (to </w:t>
      </w:r>
      <w:r w:rsidR="00691259">
        <w:t>four</w:t>
      </w:r>
      <w:r w:rsidR="00C61E01">
        <w:t xml:space="preserve">-fifths). </w:t>
      </w:r>
      <w:r w:rsidR="00691259">
        <w:t xml:space="preserve">This yields a savings </w:t>
      </w:r>
      <w:r w:rsidR="00C61E01">
        <w:t xml:space="preserve">value of </w:t>
      </w:r>
      <w:r w:rsidR="00691259">
        <w:t>5.04</w:t>
      </w:r>
      <w:r w:rsidR="00634EF4">
        <w:t>%.</w:t>
      </w:r>
    </w:p>
    <w:p w14:paraId="361132AF" w14:textId="77777777" w:rsidR="00392CFA" w:rsidRDefault="00691259" w:rsidP="006A552C">
      <w:r>
        <w:t>The UK average supply voltage of 245V is valid for Victoria, and perhaps conservative. Most networks were designed to deliver to the old nominal voltage of 240V + / = 10% (i.e. up to 264V), and there are many instances of supply voltages above 255V</w:t>
      </w:r>
      <w:r w:rsidR="00796939">
        <w:t xml:space="preserve"> across Australia</w:t>
      </w:r>
      <w:r>
        <w:t>.</w:t>
      </w:r>
      <w:r w:rsidR="00796939">
        <w:t xml:space="preserve"> </w:t>
      </w:r>
      <w:proofErr w:type="spellStart"/>
      <w:r w:rsidR="00796939">
        <w:t>Ausgrid</w:t>
      </w:r>
      <w:proofErr w:type="spellEnd"/>
      <w:r w:rsidR="00796939">
        <w:t>, in NSW, has reported that its current average network voltage is 250V.</w:t>
      </w:r>
      <w:r w:rsidR="00796939">
        <w:rPr>
          <w:rStyle w:val="FootnoteReference"/>
        </w:rPr>
        <w:footnoteReference w:id="7"/>
      </w:r>
      <w:r w:rsidR="00796939">
        <w:t xml:space="preserve"> Supply voltages are also being driven up by the increased penetration of solar PV in the distribution network. Energex, in Qld, has reported average network voltages of 254 V in parts of its network.</w:t>
      </w:r>
      <w:r w:rsidR="00796939">
        <w:rPr>
          <w:rStyle w:val="FootnoteReference"/>
        </w:rPr>
        <w:footnoteReference w:id="8"/>
      </w:r>
      <w:r w:rsidR="00796939">
        <w:t xml:space="preserve"> An average supply voltage of 245V is considered conservative.</w:t>
      </w:r>
      <w:r w:rsidR="00392CFA">
        <w:t xml:space="preserve"> </w:t>
      </w:r>
    </w:p>
    <w:p w14:paraId="7C94113B" w14:textId="39B00FFD" w:rsidR="00691259" w:rsidRDefault="00392CFA" w:rsidP="006A552C">
      <w:r>
        <w:t xml:space="preserve">The Government could consult with networks to provide more evidence of the level of voltages and the effects of solar PV inverters on the network and opportunities for CVR to address these issues. </w:t>
      </w:r>
    </w:p>
    <w:p w14:paraId="74A12F37" w14:textId="6C567DB9" w:rsidR="00860388" w:rsidRDefault="00F31834" w:rsidP="006A552C">
      <w:r>
        <w:rPr>
          <w:i/>
        </w:rPr>
        <w:t>Load p</w:t>
      </w:r>
      <w:r w:rsidR="00860388" w:rsidRPr="001C6AC1">
        <w:rPr>
          <w:i/>
        </w:rPr>
        <w:t>ower factor</w:t>
      </w:r>
      <w:r w:rsidR="001F5EA9">
        <w:t xml:space="preserve"> = 0.9</w:t>
      </w:r>
      <w:r w:rsidR="00860388">
        <w:t xml:space="preserve">. This is the ratio of </w:t>
      </w:r>
      <w:r w:rsidR="001C6AC1">
        <w:t>active</w:t>
      </w:r>
      <w:r w:rsidR="00860388">
        <w:t xml:space="preserve"> power to apparent power for </w:t>
      </w:r>
      <w:r w:rsidR="001C6AC1">
        <w:t xml:space="preserve">a typical residential load. CVR equipment is rated according to the maximum current it can sustain without overheating, which is related to the apparent power (kVA) of the load rather than the active power (kW). A typical value for residential loads is </w:t>
      </w:r>
      <w:r w:rsidR="001F5EA9">
        <w:t>0.9.</w:t>
      </w:r>
      <w:r w:rsidR="001F5EA9">
        <w:rPr>
          <w:rStyle w:val="FootnoteReference"/>
        </w:rPr>
        <w:footnoteReference w:id="9"/>
      </w:r>
    </w:p>
    <w:p w14:paraId="739841A9" w14:textId="15CF7CC0" w:rsidR="00860388" w:rsidRPr="00171A9B" w:rsidRDefault="005B1483" w:rsidP="006A552C">
      <w:r w:rsidRPr="005B1483">
        <w:rPr>
          <w:i/>
        </w:rPr>
        <w:t>Derating</w:t>
      </w:r>
      <w:r w:rsidR="00860388" w:rsidRPr="005B1483">
        <w:rPr>
          <w:i/>
        </w:rPr>
        <w:t xml:space="preserve"> factor</w:t>
      </w:r>
      <w:r w:rsidR="00860388">
        <w:t xml:space="preserve"> = 0.8</w:t>
      </w:r>
      <w:r>
        <w:t xml:space="preserve">. </w:t>
      </w:r>
      <w:r w:rsidR="00E1737A">
        <w:t xml:space="preserve">CVR equipment is rated at a certain capacity. It is likely that CVR will be slightly oversized, to accommodate daily, weekday and seasonal variation in average maximum demand as well as because standard equipment only comes in certain capacity sizes (e.g. 2 kVA, 3kVA, 5kVA), requiring the next highest capacity size to be chosen. We have assumed that, on average, the CVR equipment is 25% oversized, requiring it to be operated at a level </w:t>
      </w:r>
      <w:proofErr w:type="spellStart"/>
      <w:r w:rsidR="00E1737A">
        <w:t>derated</w:t>
      </w:r>
      <w:proofErr w:type="spellEnd"/>
      <w:r w:rsidR="00E1737A">
        <w:t xml:space="preserve"> to 0.8 of rated capacity.</w:t>
      </w:r>
    </w:p>
    <w:p w14:paraId="0BB6824D" w14:textId="683D98E8" w:rsidR="00AA04A9" w:rsidRDefault="00484D84" w:rsidP="006A552C">
      <w:r w:rsidRPr="00484D84">
        <w:rPr>
          <w:i/>
        </w:rPr>
        <w:lastRenderedPageBreak/>
        <w:t>Equipment lifetime</w:t>
      </w:r>
      <w:r w:rsidR="00FA7F05">
        <w:t xml:space="preserve"> = </w:t>
      </w:r>
      <w:r w:rsidR="00C61E01">
        <w:t>2</w:t>
      </w:r>
      <w:r>
        <w:t xml:space="preserve">0 years. </w:t>
      </w:r>
      <w:r w:rsidR="00C17347">
        <w:t>Equipment lifetimes have been estimated as long as 51 years</w:t>
      </w:r>
      <w:r w:rsidR="00EC1971">
        <w:t xml:space="preserve"> based on component analysis</w:t>
      </w:r>
      <w:r w:rsidR="00C17347">
        <w:t>.</w:t>
      </w:r>
      <w:r w:rsidR="00C17347">
        <w:rPr>
          <w:rStyle w:val="FootnoteReference"/>
        </w:rPr>
        <w:footnoteReference w:id="10"/>
      </w:r>
      <w:r w:rsidR="00C17347">
        <w:t xml:space="preserve"> </w:t>
      </w:r>
      <w:r w:rsidR="001D41CB">
        <w:t xml:space="preserve">Typical warranties are between </w:t>
      </w:r>
      <w:r w:rsidR="00EC1971">
        <w:t>10 and 15</w:t>
      </w:r>
      <w:r w:rsidR="001D41CB">
        <w:t xml:space="preserve"> years.</w:t>
      </w:r>
      <w:r w:rsidR="001D41CB">
        <w:rPr>
          <w:rStyle w:val="FootnoteReference"/>
        </w:rPr>
        <w:footnoteReference w:id="11"/>
      </w:r>
      <w:r w:rsidR="001D41CB">
        <w:t xml:space="preserve"> </w:t>
      </w:r>
    </w:p>
    <w:p w14:paraId="33BF379A" w14:textId="77777777" w:rsidR="00F1427D" w:rsidRDefault="00F1427D" w:rsidP="006A552C">
      <w:r w:rsidRPr="00F1427D">
        <w:rPr>
          <w:i/>
        </w:rPr>
        <w:t>Regional loss factor</w:t>
      </w:r>
      <w:r>
        <w:t xml:space="preserve"> differs for metropolitan and regional areas, consistent with VEET.</w:t>
      </w:r>
      <w:r>
        <w:rPr>
          <w:rStyle w:val="FootnoteReference"/>
        </w:rPr>
        <w:footnoteReference w:id="12"/>
      </w:r>
    </w:p>
    <w:p w14:paraId="49C4DDFF" w14:textId="77777777" w:rsidR="00F1427D" w:rsidRDefault="00F1427D" w:rsidP="00F1427D">
      <w:pPr>
        <w:pStyle w:val="ListParagraph"/>
        <w:numPr>
          <w:ilvl w:val="0"/>
          <w:numId w:val="8"/>
        </w:numPr>
      </w:pPr>
      <w:r>
        <w:t>Metropolitan = 0.98</w:t>
      </w:r>
    </w:p>
    <w:p w14:paraId="20854B51" w14:textId="77777777" w:rsidR="00F1427D" w:rsidRDefault="00F1427D" w:rsidP="00F1427D">
      <w:pPr>
        <w:pStyle w:val="ListParagraph"/>
        <w:numPr>
          <w:ilvl w:val="0"/>
          <w:numId w:val="8"/>
        </w:numPr>
      </w:pPr>
      <w:r>
        <w:t>Regional = 1.04</w:t>
      </w:r>
    </w:p>
    <w:p w14:paraId="34A72770" w14:textId="0CCAE1E6" w:rsidR="00F1427D" w:rsidRDefault="00F1427D" w:rsidP="006A552C">
      <w:r w:rsidRPr="00F1427D">
        <w:rPr>
          <w:i/>
        </w:rPr>
        <w:t>Greenhouse gas abatement coefficient for electricity</w:t>
      </w:r>
      <w:r>
        <w:t xml:space="preserve"> = 1.095, consistent with the proposed update to VEET.</w:t>
      </w:r>
      <w:r>
        <w:rPr>
          <w:rStyle w:val="FootnoteReference"/>
        </w:rPr>
        <w:footnoteReference w:id="13"/>
      </w:r>
    </w:p>
    <w:p w14:paraId="0BA0B255" w14:textId="77777777" w:rsidR="00BD4681" w:rsidRPr="00BD4681" w:rsidRDefault="00BD4681" w:rsidP="006A552C">
      <w:pPr>
        <w:rPr>
          <w:b/>
          <w:u w:val="single"/>
        </w:rPr>
      </w:pPr>
      <w:r w:rsidRPr="00BD4681">
        <w:rPr>
          <w:b/>
          <w:u w:val="single"/>
        </w:rPr>
        <w:t>Greenhouse gas abatement</w:t>
      </w:r>
      <w:r>
        <w:rPr>
          <w:b/>
          <w:u w:val="single"/>
        </w:rPr>
        <w:t xml:space="preserve"> calculations</w:t>
      </w:r>
    </w:p>
    <w:p w14:paraId="2EE614A9" w14:textId="484B5363" w:rsidR="00BD4681" w:rsidRPr="00FA7F05" w:rsidRDefault="00BD4681" w:rsidP="006A552C">
      <w:pPr>
        <w:rPr>
          <w:u w:val="single"/>
        </w:rPr>
      </w:pPr>
      <w:r w:rsidRPr="00BD4681">
        <w:rPr>
          <w:u w:val="single"/>
        </w:rPr>
        <w:t>Greenhouse gas abatement</w:t>
      </w:r>
      <w:r w:rsidR="00FA7F05">
        <w:rPr>
          <w:u w:val="single"/>
        </w:rPr>
        <w:t xml:space="preserve"> (tCO</w:t>
      </w:r>
      <w:r w:rsidR="00FA7F05">
        <w:rPr>
          <w:u w:val="single"/>
          <w:vertAlign w:val="subscript"/>
        </w:rPr>
        <w:t>2</w:t>
      </w:r>
      <w:r w:rsidR="00FA7F05">
        <w:rPr>
          <w:u w:val="single"/>
        </w:rPr>
        <w:t>-e)</w:t>
      </w:r>
    </w:p>
    <w:p w14:paraId="4BB3708F" w14:textId="77777777" w:rsidR="00BD4681" w:rsidRDefault="00BD4681" w:rsidP="00BD4681">
      <w:r w:rsidRPr="00BD4681">
        <w:t>Greenhouse gas abatement</w:t>
      </w:r>
      <w:r>
        <w:t xml:space="preserve"> = Electricity</w:t>
      </w:r>
      <w:r w:rsidRPr="00BD4681">
        <w:t xml:space="preserve"> Savings</w:t>
      </w:r>
      <w:r>
        <w:t xml:space="preserve"> x </w:t>
      </w:r>
      <w:r w:rsidR="00F1427D">
        <w:t>Regional loss factor x Greenhouse gas abatement coefficient for electricity</w:t>
      </w:r>
    </w:p>
    <w:p w14:paraId="3DF1FDA2" w14:textId="77777777" w:rsidR="00F1427D" w:rsidRPr="00BD4681" w:rsidRDefault="00F1427D" w:rsidP="00BD4681">
      <w:r>
        <w:tab/>
      </w:r>
      <w:r>
        <w:tab/>
      </w:r>
      <w:r>
        <w:tab/>
        <w:t>= Electricity savings x Regional loss factor x 1.095</w:t>
      </w:r>
    </w:p>
    <w:p w14:paraId="78C70262" w14:textId="77777777" w:rsidR="00273BBB" w:rsidRDefault="00273BBB" w:rsidP="006A552C">
      <w:pPr>
        <w:rPr>
          <w:u w:val="single"/>
        </w:rPr>
      </w:pPr>
    </w:p>
    <w:p w14:paraId="079C07F9" w14:textId="67E19B3B" w:rsidR="00BD4681" w:rsidRPr="00BD4681" w:rsidRDefault="00F50EFB" w:rsidP="006A552C">
      <w:pPr>
        <w:rPr>
          <w:u w:val="single"/>
        </w:rPr>
      </w:pPr>
      <w:r>
        <w:rPr>
          <w:u w:val="single"/>
        </w:rPr>
        <w:t>Electricit</w:t>
      </w:r>
      <w:r w:rsidR="00BD4681" w:rsidRPr="00BD4681">
        <w:rPr>
          <w:u w:val="single"/>
        </w:rPr>
        <w:t>y savings</w:t>
      </w:r>
      <w:r w:rsidR="00F24455">
        <w:rPr>
          <w:u w:val="single"/>
        </w:rPr>
        <w:t xml:space="preserve"> (MWh)</w:t>
      </w:r>
    </w:p>
    <w:p w14:paraId="07EA7FF3" w14:textId="3B2BA831" w:rsidR="00BD4681" w:rsidRDefault="00BD4681" w:rsidP="006A552C">
      <w:r>
        <w:t>Electricity</w:t>
      </w:r>
      <w:r w:rsidRPr="00BD4681">
        <w:t xml:space="preserve"> </w:t>
      </w:r>
      <w:r w:rsidR="00F1427D">
        <w:t>s</w:t>
      </w:r>
      <w:r w:rsidR="00F50EFB">
        <w:t>avings =</w:t>
      </w:r>
      <w:r w:rsidR="00E22086">
        <w:t xml:space="preserve"> </w:t>
      </w:r>
      <w:r w:rsidRPr="00BD4681">
        <w:t>(</w:t>
      </w:r>
      <w:r w:rsidR="00F50EFB">
        <w:t xml:space="preserve">Annual electricity consumption) x (Savings factor) x (Equipment </w:t>
      </w:r>
      <w:r w:rsidRPr="00BD4681">
        <w:t>Life</w:t>
      </w:r>
      <w:r w:rsidR="00F50EFB">
        <w:t>time</w:t>
      </w:r>
      <w:r w:rsidRPr="00BD4681">
        <w:t>)</w:t>
      </w:r>
    </w:p>
    <w:p w14:paraId="4A3B525C" w14:textId="3C80BEF3" w:rsidR="00BD4681" w:rsidRDefault="008000A6" w:rsidP="006A552C">
      <w:r>
        <w:tab/>
      </w:r>
      <w:r>
        <w:tab/>
        <w:t xml:space="preserve">= </w:t>
      </w:r>
      <w:r w:rsidRPr="00BD4681">
        <w:t>(</w:t>
      </w:r>
      <w:r>
        <w:t xml:space="preserve">Annual electricity consumption) </w:t>
      </w:r>
      <w:r w:rsidR="00BD4681">
        <w:t xml:space="preserve">x </w:t>
      </w:r>
      <w:r w:rsidR="00F50EFB">
        <w:t>0.0</w:t>
      </w:r>
      <w:r w:rsidR="00691259">
        <w:t>504</w:t>
      </w:r>
      <w:r w:rsidR="00E22086">
        <w:t xml:space="preserve"> </w:t>
      </w:r>
      <w:r w:rsidR="00C61E01">
        <w:t>x 2</w:t>
      </w:r>
      <w:r w:rsidR="00BD4681">
        <w:t>0</w:t>
      </w:r>
    </w:p>
    <w:p w14:paraId="60D37F64" w14:textId="322A501D" w:rsidR="00BD4681" w:rsidRDefault="00ED5C33" w:rsidP="006A552C">
      <w:r>
        <w:tab/>
      </w:r>
      <w:r>
        <w:tab/>
        <w:t xml:space="preserve">= </w:t>
      </w:r>
      <w:r w:rsidR="008000A6" w:rsidRPr="00BD4681">
        <w:t>(</w:t>
      </w:r>
      <w:r w:rsidR="008000A6">
        <w:t xml:space="preserve">Annual electricity consumption) x </w:t>
      </w:r>
      <w:r w:rsidR="00796939">
        <w:t>1.08</w:t>
      </w:r>
    </w:p>
    <w:p w14:paraId="4459855D" w14:textId="67BABA1E" w:rsidR="008000A6" w:rsidRPr="008000A6" w:rsidRDefault="008000A6" w:rsidP="006A552C">
      <w:pPr>
        <w:rPr>
          <w:u w:val="single"/>
        </w:rPr>
      </w:pPr>
      <w:r w:rsidRPr="008000A6">
        <w:rPr>
          <w:u w:val="single"/>
        </w:rPr>
        <w:t>Annual electricity consumption</w:t>
      </w:r>
      <w:r>
        <w:rPr>
          <w:u w:val="single"/>
        </w:rPr>
        <w:t xml:space="preserve"> (MWh)</w:t>
      </w:r>
    </w:p>
    <w:p w14:paraId="7AA56803" w14:textId="5215F71B" w:rsidR="0048143D" w:rsidRDefault="0048143D" w:rsidP="006A552C">
      <w:r>
        <w:t xml:space="preserve">Annual electricity consumption = </w:t>
      </w:r>
      <w:r w:rsidR="008000A6">
        <w:t>(Equipment capacity) x (</w:t>
      </w:r>
      <w:r w:rsidR="00F31834">
        <w:t>Load</w:t>
      </w:r>
      <w:r w:rsidR="008000A6">
        <w:t xml:space="preserve"> power factor) x (Derating factor) x (Effective Full-load Hours)</w:t>
      </w:r>
      <w:r w:rsidR="00C85003">
        <w:t xml:space="preserve"> / 1000</w:t>
      </w:r>
    </w:p>
    <w:p w14:paraId="59007F2F" w14:textId="33F7E39A" w:rsidR="008000A6" w:rsidRDefault="008000A6" w:rsidP="006A552C">
      <w:r>
        <w:tab/>
      </w:r>
      <w:r>
        <w:tab/>
      </w:r>
      <w:r>
        <w:tab/>
      </w:r>
      <w:r>
        <w:tab/>
        <w:t>= (Equipment capacity) x 0.9 x 0.8 x 3000</w:t>
      </w:r>
      <w:r w:rsidR="00C85003">
        <w:t xml:space="preserve"> / 1000</w:t>
      </w:r>
    </w:p>
    <w:p w14:paraId="1C145779" w14:textId="167E369A" w:rsidR="008000A6" w:rsidRDefault="008000A6" w:rsidP="008000A6">
      <w:r>
        <w:tab/>
      </w:r>
      <w:r>
        <w:tab/>
      </w:r>
      <w:r>
        <w:tab/>
      </w:r>
      <w:r>
        <w:tab/>
        <w:t>= (Equipment capacity) x 2</w:t>
      </w:r>
      <w:r w:rsidR="00C85003">
        <w:t>.16</w:t>
      </w:r>
    </w:p>
    <w:p w14:paraId="43446FEE" w14:textId="243D3966" w:rsidR="00E22086" w:rsidRPr="00FA7F05" w:rsidRDefault="008000A6" w:rsidP="006A552C">
      <w:pPr>
        <w:rPr>
          <w:u w:val="single"/>
        </w:rPr>
      </w:pPr>
      <w:r w:rsidRPr="00FA7F05">
        <w:rPr>
          <w:u w:val="single"/>
        </w:rPr>
        <w:t>Greenhouse gas abatement (simplified)</w:t>
      </w:r>
    </w:p>
    <w:p w14:paraId="223B8CEC" w14:textId="7F490591" w:rsidR="008000A6" w:rsidRDefault="008000A6" w:rsidP="008000A6">
      <w:r w:rsidRPr="00BD4681">
        <w:t>Greenhouse gas abatement</w:t>
      </w:r>
      <w:r>
        <w:t xml:space="preserve"> = (Electricity savings) x (Regional loss factor) x 1.095</w:t>
      </w:r>
    </w:p>
    <w:p w14:paraId="6199EEF8" w14:textId="1C50283A" w:rsidR="008000A6" w:rsidRDefault="008000A6" w:rsidP="008000A6">
      <w:r>
        <w:lastRenderedPageBreak/>
        <w:tab/>
      </w:r>
      <w:r w:rsidR="00FA7F05">
        <w:tab/>
      </w:r>
      <w:r>
        <w:tab/>
        <w:t xml:space="preserve">= (Annual electricity consumption) x </w:t>
      </w:r>
      <w:r w:rsidR="00796939">
        <w:t>1.08</w:t>
      </w:r>
      <w:r w:rsidRPr="008000A6">
        <w:t xml:space="preserve"> </w:t>
      </w:r>
      <w:r>
        <w:t>x (Regional loss factor) x 1.095</w:t>
      </w:r>
    </w:p>
    <w:p w14:paraId="45467392" w14:textId="4A23FBAE" w:rsidR="008000A6" w:rsidRDefault="008000A6" w:rsidP="008000A6">
      <w:r>
        <w:tab/>
      </w:r>
      <w:r>
        <w:tab/>
      </w:r>
      <w:r w:rsidR="00FA7F05">
        <w:tab/>
      </w:r>
      <w:r>
        <w:t>= (Equipment capacity) x 2</w:t>
      </w:r>
      <w:r w:rsidR="00C85003">
        <w:t>.16</w:t>
      </w:r>
      <w:r>
        <w:t xml:space="preserve"> x </w:t>
      </w:r>
      <w:r w:rsidR="00796939">
        <w:t>1.08</w:t>
      </w:r>
      <w:r w:rsidRPr="008000A6">
        <w:t xml:space="preserve"> </w:t>
      </w:r>
      <w:r>
        <w:t>x (Regional loss factor) x 1.095</w:t>
      </w:r>
    </w:p>
    <w:p w14:paraId="05956A95" w14:textId="7B49834A" w:rsidR="008000A6" w:rsidRDefault="008000A6" w:rsidP="008000A6">
      <w:r>
        <w:tab/>
      </w:r>
      <w:r>
        <w:tab/>
      </w:r>
      <w:r w:rsidR="00FA7F05">
        <w:tab/>
      </w:r>
      <w:r>
        <w:t>= (Equipment capacity)</w:t>
      </w:r>
      <w:r w:rsidRPr="008000A6">
        <w:t xml:space="preserve"> </w:t>
      </w:r>
      <w:r>
        <w:t xml:space="preserve">x (Regional loss factor) x </w:t>
      </w:r>
      <w:r w:rsidR="00A51932">
        <w:t>2.384</w:t>
      </w:r>
    </w:p>
    <w:p w14:paraId="71B0BC85" w14:textId="2E6CE28A" w:rsidR="008000A6" w:rsidRDefault="008000A6" w:rsidP="006A552C"/>
    <w:p w14:paraId="7F8C0DF3" w14:textId="77777777" w:rsidR="00891E6D" w:rsidRPr="00891E6D" w:rsidRDefault="00891E6D" w:rsidP="00891E6D">
      <w:pPr>
        <w:rPr>
          <w:b/>
          <w:u w:val="single"/>
        </w:rPr>
      </w:pPr>
      <w:r w:rsidRPr="00891E6D">
        <w:rPr>
          <w:b/>
          <w:u w:val="single"/>
        </w:rPr>
        <w:t>Mandatory requirements</w:t>
      </w:r>
    </w:p>
    <w:p w14:paraId="550D0D89" w14:textId="5C6FF827" w:rsidR="00F50EFB" w:rsidRDefault="00A62C99" w:rsidP="00891E6D">
      <w:r>
        <w:t xml:space="preserve">There are no mandatory requirements for </w:t>
      </w:r>
      <w:r w:rsidR="00F50EFB">
        <w:t xml:space="preserve">consumers to install </w:t>
      </w:r>
      <w:r w:rsidR="00C85003">
        <w:t xml:space="preserve">conservation </w:t>
      </w:r>
      <w:r w:rsidR="00F50EFB">
        <w:t>voltage regulation equipment.</w:t>
      </w:r>
    </w:p>
    <w:p w14:paraId="093337F7" w14:textId="77777777" w:rsidR="00891E6D" w:rsidRPr="00891E6D" w:rsidRDefault="00891E6D" w:rsidP="00891E6D">
      <w:pPr>
        <w:rPr>
          <w:b/>
          <w:u w:val="single"/>
        </w:rPr>
      </w:pPr>
      <w:r w:rsidRPr="00891E6D">
        <w:rPr>
          <w:b/>
          <w:u w:val="single"/>
        </w:rPr>
        <w:t>Rebound</w:t>
      </w:r>
    </w:p>
    <w:p w14:paraId="0CF6AD90" w14:textId="6763272B" w:rsidR="00B54D35" w:rsidRDefault="00891E6D" w:rsidP="00A40B4D">
      <w:r>
        <w:t xml:space="preserve">There is </w:t>
      </w:r>
      <w:r w:rsidR="00F50EFB">
        <w:t>not expected to be any rebound in energy use from this activity.</w:t>
      </w:r>
    </w:p>
    <w:p w14:paraId="6E6D34F1" w14:textId="77777777" w:rsidR="00B66323" w:rsidRDefault="00B66323" w:rsidP="00B66323">
      <w:pPr>
        <w:pStyle w:val="Heading2"/>
      </w:pPr>
      <w:r>
        <w:t>B – Implementation of the proposed new ESI activity</w:t>
      </w:r>
    </w:p>
    <w:p w14:paraId="4F9C39DA" w14:textId="77777777" w:rsidR="00FD454D" w:rsidRPr="00FD454D" w:rsidRDefault="00FD454D" w:rsidP="00B66323">
      <w:pPr>
        <w:rPr>
          <w:b/>
          <w:u w:val="single"/>
        </w:rPr>
      </w:pPr>
      <w:r w:rsidRPr="00FD454D">
        <w:rPr>
          <w:b/>
          <w:u w:val="single"/>
        </w:rPr>
        <w:t>Installation requirements</w:t>
      </w:r>
    </w:p>
    <w:p w14:paraId="37643AA3" w14:textId="56D55A8E" w:rsidR="00DF7E03" w:rsidRDefault="00DF7E03" w:rsidP="00B66323">
      <w:r>
        <w:t xml:space="preserve">The </w:t>
      </w:r>
      <w:r w:rsidR="00703297">
        <w:t xml:space="preserve">Conservative Voltage Reduction </w:t>
      </w:r>
      <w:r>
        <w:t>(</w:t>
      </w:r>
      <w:r w:rsidR="00703297">
        <w:t>CVR</w:t>
      </w:r>
      <w:r>
        <w:t>) equipment must be installed:</w:t>
      </w:r>
    </w:p>
    <w:p w14:paraId="1B2A4760" w14:textId="77777777" w:rsidR="00DF7E03" w:rsidRDefault="00DF7E03" w:rsidP="00DF7E03">
      <w:pPr>
        <w:pStyle w:val="ListParagraph"/>
        <w:numPr>
          <w:ilvl w:val="0"/>
          <w:numId w:val="9"/>
        </w:numPr>
      </w:pPr>
      <w:r>
        <w:t>By, or under the supervision of, a licensed electrician.</w:t>
      </w:r>
    </w:p>
    <w:p w14:paraId="4000DE47" w14:textId="77777777" w:rsidR="00A60066" w:rsidRDefault="00DF7E03" w:rsidP="00DF7E03">
      <w:pPr>
        <w:pStyle w:val="ListParagraph"/>
        <w:numPr>
          <w:ilvl w:val="0"/>
          <w:numId w:val="9"/>
        </w:numPr>
      </w:pPr>
      <w:r>
        <w:t>O</w:t>
      </w:r>
      <w:r w:rsidR="00A60066">
        <w:t>n main switchboard for the site, where low voltage electrical supply enters the site.</w:t>
      </w:r>
    </w:p>
    <w:p w14:paraId="7C5C30AB" w14:textId="77777777" w:rsidR="00A60066" w:rsidRDefault="00DF7E03" w:rsidP="00DF7E03">
      <w:pPr>
        <w:pStyle w:val="ListParagraph"/>
        <w:numPr>
          <w:ilvl w:val="0"/>
          <w:numId w:val="9"/>
        </w:numPr>
      </w:pPr>
      <w:r>
        <w:t>With any necessary</w:t>
      </w:r>
      <w:r w:rsidR="00A60066">
        <w:t xml:space="preserve"> approval</w:t>
      </w:r>
      <w:r>
        <w:t>s</w:t>
      </w:r>
      <w:r w:rsidR="00A60066">
        <w:t xml:space="preserve"> from the relevant Distribution Network Service Provider</w:t>
      </w:r>
      <w:r>
        <w:t xml:space="preserve"> for the site</w:t>
      </w:r>
      <w:r w:rsidR="00A60066">
        <w:t>.</w:t>
      </w:r>
    </w:p>
    <w:p w14:paraId="77C3F905" w14:textId="720E3220" w:rsidR="00772801" w:rsidRDefault="00703297" w:rsidP="00DF7E03">
      <w:pPr>
        <w:pStyle w:val="ListParagraph"/>
        <w:numPr>
          <w:ilvl w:val="0"/>
          <w:numId w:val="9"/>
        </w:numPr>
      </w:pPr>
      <w:r>
        <w:t>To</w:t>
      </w:r>
      <w:r w:rsidR="00772801">
        <w:t xml:space="preserve"> comply with AS/NZS 3000:2007 Electrical installations.</w:t>
      </w:r>
    </w:p>
    <w:p w14:paraId="34351A0C" w14:textId="77777777" w:rsidR="00861AC2" w:rsidRDefault="00861AC2" w:rsidP="00DF7E03">
      <w:pPr>
        <w:pStyle w:val="ListParagraph"/>
        <w:numPr>
          <w:ilvl w:val="0"/>
          <w:numId w:val="9"/>
        </w:numPr>
      </w:pPr>
      <w:r>
        <w:t>In conformance with any rules under the Victorian Service and Installation Rules and the Victorian Electricity Distribution Code.</w:t>
      </w:r>
    </w:p>
    <w:p w14:paraId="5DB786F4" w14:textId="47302470" w:rsidR="00B02425" w:rsidRDefault="00B02425" w:rsidP="00DF7E03">
      <w:pPr>
        <w:pStyle w:val="ListParagraph"/>
        <w:numPr>
          <w:ilvl w:val="0"/>
          <w:numId w:val="9"/>
        </w:numPr>
      </w:pPr>
      <w:r>
        <w:t xml:space="preserve">Must be sized to serve </w:t>
      </w:r>
      <w:r w:rsidR="00A51932">
        <w:t xml:space="preserve">at least </w:t>
      </w:r>
      <w:r>
        <w:t>9</w:t>
      </w:r>
      <w:r w:rsidR="00A51932">
        <w:t>0</w:t>
      </w:r>
      <w:r>
        <w:t xml:space="preserve">% of </w:t>
      </w:r>
      <w:r w:rsidR="00A51932">
        <w:t xml:space="preserve">expected </w:t>
      </w:r>
      <w:r>
        <w:t>annual demand.</w:t>
      </w:r>
    </w:p>
    <w:p w14:paraId="28B9C6F3" w14:textId="7A121F88" w:rsidR="00A51932" w:rsidRDefault="00A51932" w:rsidP="00DF7E03">
      <w:pPr>
        <w:pStyle w:val="ListParagraph"/>
        <w:numPr>
          <w:ilvl w:val="0"/>
          <w:numId w:val="9"/>
        </w:numPr>
      </w:pPr>
      <w:r>
        <w:t>Must have a bypass for supply voltages below 216V.</w:t>
      </w:r>
    </w:p>
    <w:p w14:paraId="6799950C" w14:textId="7A121F88" w:rsidR="00B02425" w:rsidRDefault="00B02425" w:rsidP="00DF7E03">
      <w:pPr>
        <w:pStyle w:val="ListParagraph"/>
        <w:numPr>
          <w:ilvl w:val="0"/>
          <w:numId w:val="9"/>
        </w:numPr>
      </w:pPr>
      <w:r>
        <w:t>Output voltage must be set to 2</w:t>
      </w:r>
      <w:r w:rsidR="00A51932">
        <w:t>25</w:t>
      </w:r>
      <w:r>
        <w:t xml:space="preserve"> V</w:t>
      </w:r>
      <w:r w:rsidR="00A51932">
        <w:t xml:space="preserve"> (or lower, with the agreement of the customer)</w:t>
      </w:r>
      <w:r>
        <w:t>.</w:t>
      </w:r>
    </w:p>
    <w:p w14:paraId="3693B686" w14:textId="635C3943" w:rsidR="00A51932" w:rsidRDefault="00A51932" w:rsidP="00C61E01">
      <w:r>
        <w:t xml:space="preserve">Australian Standard </w:t>
      </w:r>
      <w:r w:rsidRPr="000F1582">
        <w:rPr>
          <w:i/>
        </w:rPr>
        <w:t>AS</w:t>
      </w:r>
      <w:r>
        <w:rPr>
          <w:i/>
        </w:rPr>
        <w:t xml:space="preserve"> </w:t>
      </w:r>
      <w:r w:rsidRPr="000F1582">
        <w:rPr>
          <w:i/>
        </w:rPr>
        <w:t>61000.3.100</w:t>
      </w:r>
      <w:r>
        <w:rPr>
          <w:i/>
        </w:rPr>
        <w:t>–</w:t>
      </w:r>
      <w:r w:rsidRPr="000F1582">
        <w:rPr>
          <w:i/>
        </w:rPr>
        <w:t>2011</w:t>
      </w:r>
      <w:r>
        <w:rPr>
          <w:i/>
        </w:rPr>
        <w:t xml:space="preserve"> </w:t>
      </w:r>
      <w:r w:rsidRPr="000F1582">
        <w:rPr>
          <w:i/>
        </w:rPr>
        <w:t>Electromagnetic compatibility (EMC) Part 3.100: Limits—Steady state voltage limits in public electricity systems</w:t>
      </w:r>
      <w:r>
        <w:t xml:space="preserve"> stipulates a preferred range of + 6% to – 2%, i.e. voltages between 225V and 244V. It is recommended to use the bottom of this preferred range for calculating savings under VEET. However, in many instances sites operate well with voltages of 220V or less. This can be negotiated with the customer.</w:t>
      </w:r>
    </w:p>
    <w:p w14:paraId="3EBA77FB" w14:textId="77777777" w:rsidR="00C61E01" w:rsidRDefault="00C61E01" w:rsidP="00C61E01">
      <w:r>
        <w:t>If on independent circuits, the following loads must not be supplied by the CVR unit:</w:t>
      </w:r>
    </w:p>
    <w:p w14:paraId="12999D0C" w14:textId="77777777" w:rsidR="00C61E01" w:rsidRDefault="00C61E01" w:rsidP="00C61E01">
      <w:pPr>
        <w:pStyle w:val="ListParagraph"/>
        <w:numPr>
          <w:ilvl w:val="0"/>
          <w:numId w:val="13"/>
        </w:numPr>
      </w:pPr>
      <w:r>
        <w:t>Electric hot water</w:t>
      </w:r>
    </w:p>
    <w:p w14:paraId="2A2A8610" w14:textId="77777777" w:rsidR="00C61E01" w:rsidRDefault="00C61E01" w:rsidP="00C61E01">
      <w:pPr>
        <w:pStyle w:val="ListParagraph"/>
        <w:numPr>
          <w:ilvl w:val="0"/>
          <w:numId w:val="13"/>
        </w:numPr>
      </w:pPr>
      <w:r>
        <w:t>Electric showers or instantaneous hot water heaters</w:t>
      </w:r>
    </w:p>
    <w:p w14:paraId="3C65F033" w14:textId="77777777" w:rsidR="00C61E01" w:rsidRDefault="00C61E01" w:rsidP="00C61E01">
      <w:pPr>
        <w:pStyle w:val="ListParagraph"/>
        <w:numPr>
          <w:ilvl w:val="0"/>
          <w:numId w:val="13"/>
        </w:numPr>
      </w:pPr>
      <w:r>
        <w:t>Electric ovens and/or cooktops</w:t>
      </w:r>
    </w:p>
    <w:p w14:paraId="2DBCACF2" w14:textId="77777777" w:rsidR="00C61E01" w:rsidRDefault="00C61E01" w:rsidP="00C61E01">
      <w:pPr>
        <w:pStyle w:val="ListParagraph"/>
        <w:numPr>
          <w:ilvl w:val="0"/>
          <w:numId w:val="13"/>
        </w:numPr>
      </w:pPr>
      <w:r>
        <w:t>Electric resistance slab heating</w:t>
      </w:r>
    </w:p>
    <w:p w14:paraId="7435011E" w14:textId="1CF2B268" w:rsidR="00F1244C" w:rsidRDefault="00F1244C" w:rsidP="00B66323">
      <w:r>
        <w:t xml:space="preserve">The site </w:t>
      </w:r>
      <w:r w:rsidR="00C61E01">
        <w:t>will</w:t>
      </w:r>
      <w:r>
        <w:t xml:space="preserve"> need to be de-energised during the installation, which may need to be arranged with the </w:t>
      </w:r>
      <w:r w:rsidR="00A51932">
        <w:t>customer</w:t>
      </w:r>
      <w:r w:rsidR="00772801">
        <w:t>.</w:t>
      </w:r>
    </w:p>
    <w:p w14:paraId="3078D608" w14:textId="77777777" w:rsidR="00804800" w:rsidRDefault="003853E2" w:rsidP="002364D8">
      <w:pPr>
        <w:rPr>
          <w:b/>
          <w:u w:val="single"/>
        </w:rPr>
      </w:pPr>
      <w:r w:rsidRPr="00804800">
        <w:rPr>
          <w:b/>
          <w:u w:val="single"/>
        </w:rPr>
        <w:t>Veri</w:t>
      </w:r>
      <w:r w:rsidR="00804800">
        <w:rPr>
          <w:b/>
          <w:u w:val="single"/>
        </w:rPr>
        <w:t>fication of installation</w:t>
      </w:r>
    </w:p>
    <w:p w14:paraId="26B7CDBF" w14:textId="77777777" w:rsidR="00804800" w:rsidRPr="00804800" w:rsidRDefault="00804800" w:rsidP="002364D8">
      <w:r w:rsidRPr="00804800">
        <w:lastRenderedPageBreak/>
        <w:t>Evidence to establish the key parameters for an installation are outlined in the following table.</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2943"/>
        <w:gridCol w:w="4253"/>
      </w:tblGrid>
      <w:tr w:rsidR="003853E2" w14:paraId="4182F184" w14:textId="77777777" w:rsidTr="00804800">
        <w:tc>
          <w:tcPr>
            <w:tcW w:w="2943" w:type="dxa"/>
            <w:shd w:val="clear" w:color="auto" w:fill="4F81BD" w:themeFill="accent1"/>
          </w:tcPr>
          <w:p w14:paraId="745CCDE2" w14:textId="77777777" w:rsidR="003853E2" w:rsidRPr="00AC17DD" w:rsidRDefault="003853E2" w:rsidP="00804800">
            <w:pPr>
              <w:tabs>
                <w:tab w:val="center" w:pos="1363"/>
                <w:tab w:val="right" w:pos="2727"/>
              </w:tabs>
              <w:rPr>
                <w:b/>
                <w:color w:val="FFFFFF" w:themeColor="background1"/>
              </w:rPr>
            </w:pPr>
            <w:r>
              <w:rPr>
                <w:b/>
                <w:color w:val="FFFFFF" w:themeColor="background1"/>
              </w:rPr>
              <w:t>Key parameter</w:t>
            </w:r>
          </w:p>
        </w:tc>
        <w:tc>
          <w:tcPr>
            <w:tcW w:w="4253" w:type="dxa"/>
            <w:shd w:val="clear" w:color="auto" w:fill="4F81BD" w:themeFill="accent1"/>
          </w:tcPr>
          <w:p w14:paraId="27534B78" w14:textId="77777777" w:rsidR="003853E2" w:rsidRPr="002E5CB3" w:rsidRDefault="003853E2" w:rsidP="003853E2">
            <w:pPr>
              <w:tabs>
                <w:tab w:val="center" w:pos="1363"/>
                <w:tab w:val="right" w:pos="2727"/>
              </w:tabs>
              <w:rPr>
                <w:b/>
              </w:rPr>
            </w:pPr>
            <w:r>
              <w:rPr>
                <w:b/>
                <w:color w:val="FFFFFF" w:themeColor="background1"/>
              </w:rPr>
              <w:t>Evidence</w:t>
            </w:r>
          </w:p>
        </w:tc>
      </w:tr>
      <w:tr w:rsidR="003853E2" w14:paraId="0F03995E" w14:textId="77777777" w:rsidTr="00804800">
        <w:tc>
          <w:tcPr>
            <w:tcW w:w="2943" w:type="dxa"/>
            <w:shd w:val="clear" w:color="auto" w:fill="FFFFFF" w:themeFill="background1"/>
          </w:tcPr>
          <w:p w14:paraId="57783443" w14:textId="51FFE1A9" w:rsidR="003853E2" w:rsidRPr="00804800" w:rsidRDefault="00703297" w:rsidP="00804800">
            <w:pPr>
              <w:rPr>
                <w:b/>
              </w:rPr>
            </w:pPr>
            <w:r>
              <w:rPr>
                <w:b/>
              </w:rPr>
              <w:t>C</w:t>
            </w:r>
            <w:r w:rsidR="002E47BD">
              <w:rPr>
                <w:b/>
              </w:rPr>
              <w:t>VR unit</w:t>
            </w:r>
            <w:r w:rsidR="00804800">
              <w:rPr>
                <w:b/>
              </w:rPr>
              <w:t xml:space="preserve"> power rating</w:t>
            </w:r>
          </w:p>
        </w:tc>
        <w:tc>
          <w:tcPr>
            <w:tcW w:w="4253" w:type="dxa"/>
          </w:tcPr>
          <w:p w14:paraId="3979C9FA" w14:textId="77777777" w:rsidR="003853E2" w:rsidRDefault="00804800" w:rsidP="00245B19">
            <w:r>
              <w:t>Manufacturer’s specification</w:t>
            </w:r>
          </w:p>
          <w:p w14:paraId="10465B48" w14:textId="77777777" w:rsidR="00804800" w:rsidRDefault="00804800" w:rsidP="00245B19">
            <w:r>
              <w:t>Test report</w:t>
            </w:r>
          </w:p>
          <w:p w14:paraId="76289C5D" w14:textId="1ED40B42" w:rsidR="00804800" w:rsidRDefault="00804800" w:rsidP="00703297">
            <w:r>
              <w:t xml:space="preserve">Photograph of installed </w:t>
            </w:r>
            <w:r w:rsidR="00703297">
              <w:t>CVR</w:t>
            </w:r>
            <w:r>
              <w:t xml:space="preserve"> equipment</w:t>
            </w:r>
          </w:p>
        </w:tc>
      </w:tr>
      <w:tr w:rsidR="003853E2" w14:paraId="242C0156" w14:textId="77777777" w:rsidTr="00804800">
        <w:tc>
          <w:tcPr>
            <w:tcW w:w="2943" w:type="dxa"/>
            <w:shd w:val="clear" w:color="auto" w:fill="FFFFFF" w:themeFill="background1"/>
          </w:tcPr>
          <w:p w14:paraId="181F6F1C" w14:textId="77777777" w:rsidR="003853E2" w:rsidRPr="00804800" w:rsidRDefault="00804800" w:rsidP="00804800">
            <w:pPr>
              <w:rPr>
                <w:b/>
              </w:rPr>
            </w:pPr>
            <w:r>
              <w:rPr>
                <w:b/>
              </w:rPr>
              <w:t>Site location</w:t>
            </w:r>
          </w:p>
        </w:tc>
        <w:tc>
          <w:tcPr>
            <w:tcW w:w="4253" w:type="dxa"/>
          </w:tcPr>
          <w:p w14:paraId="08F65559" w14:textId="77777777" w:rsidR="003853E2" w:rsidRDefault="00804800" w:rsidP="00245B19">
            <w:r>
              <w:t>Site address, including postcode</w:t>
            </w:r>
          </w:p>
          <w:p w14:paraId="6D34F871" w14:textId="77777777" w:rsidR="00804800" w:rsidRDefault="00804800" w:rsidP="00245B19">
            <w:r>
              <w:t>Business name and ABN</w:t>
            </w:r>
          </w:p>
        </w:tc>
      </w:tr>
    </w:tbl>
    <w:p w14:paraId="473C0480" w14:textId="77777777" w:rsidR="003853E2" w:rsidRDefault="003853E2" w:rsidP="002364D8"/>
    <w:p w14:paraId="64858E8B" w14:textId="77777777" w:rsidR="00AD010D" w:rsidRPr="00FD454D" w:rsidRDefault="003853E2" w:rsidP="00880CA5">
      <w:pPr>
        <w:rPr>
          <w:b/>
          <w:u w:val="single"/>
        </w:rPr>
      </w:pPr>
      <w:r>
        <w:rPr>
          <w:b/>
          <w:u w:val="single"/>
        </w:rPr>
        <w:t>Site audits</w:t>
      </w:r>
    </w:p>
    <w:p w14:paraId="3E1A5B45" w14:textId="77777777" w:rsidR="00160196" w:rsidRDefault="00160196" w:rsidP="00160196">
      <w:r w:rsidRPr="00FD454D">
        <w:t xml:space="preserve">The installation can be verified either by physical inspection of the equipment or by smart meter </w:t>
      </w:r>
      <w:r>
        <w:t>measurements (if installed in front of the meter)</w:t>
      </w:r>
      <w:r w:rsidRPr="00FD454D">
        <w:t>.</w:t>
      </w:r>
    </w:p>
    <w:p w14:paraId="742EEB9C" w14:textId="768AA494" w:rsidR="00FD454D" w:rsidRDefault="00FD454D" w:rsidP="00880CA5">
      <w:r>
        <w:t xml:space="preserve">Physical inspection will verify that the equipment is installed. However it cannot show that the </w:t>
      </w:r>
      <w:r w:rsidR="004E502F">
        <w:t>CVR</w:t>
      </w:r>
      <w:r>
        <w:t xml:space="preserve"> equipment is functioning correctly. </w:t>
      </w:r>
      <w:proofErr w:type="spellStart"/>
      <w:r>
        <w:t>Submetering</w:t>
      </w:r>
      <w:proofErr w:type="spellEnd"/>
      <w:r>
        <w:t xml:space="preserve"> could be performed during the site inspection to confirm this, but </w:t>
      </w:r>
      <w:r w:rsidR="004E502F">
        <w:t>may</w:t>
      </w:r>
      <w:r>
        <w:t xml:space="preserve"> be costly.</w:t>
      </w:r>
    </w:p>
    <w:p w14:paraId="0F624178" w14:textId="77777777" w:rsidR="00711CC6" w:rsidRPr="003D1F3D" w:rsidRDefault="00AD010D" w:rsidP="00880CA5">
      <w:pPr>
        <w:rPr>
          <w:b/>
          <w:u w:val="single"/>
        </w:rPr>
      </w:pPr>
      <w:r w:rsidRPr="003D1F3D">
        <w:rPr>
          <w:b/>
          <w:u w:val="single"/>
        </w:rPr>
        <w:t>Business case</w:t>
      </w:r>
    </w:p>
    <w:p w14:paraId="477657AF" w14:textId="5A65E520" w:rsidR="00AD010D" w:rsidRDefault="00AD010D" w:rsidP="00880CA5">
      <w:r>
        <w:t xml:space="preserve">The </w:t>
      </w:r>
      <w:r w:rsidR="00DF7E03">
        <w:t xml:space="preserve">installed </w:t>
      </w:r>
      <w:r>
        <w:t>cost of</w:t>
      </w:r>
      <w:r w:rsidR="00E40BB5">
        <w:t xml:space="preserve"> </w:t>
      </w:r>
      <w:r w:rsidR="00361953">
        <w:t>CVR</w:t>
      </w:r>
      <w:r>
        <w:t xml:space="preserve"> equipment i</w:t>
      </w:r>
      <w:r w:rsidR="00361953">
        <w:t>s generally quoted at between $1</w:t>
      </w:r>
      <w:r w:rsidR="00691259">
        <w:t>5</w:t>
      </w:r>
      <w:r w:rsidR="00361953">
        <w:t>0 and $300 / kVA of rated capacity</w:t>
      </w:r>
      <w:r w:rsidR="00691259">
        <w:t>, but can be as low as $100 / kVA for the latest technology</w:t>
      </w:r>
      <w:r>
        <w:t>.</w:t>
      </w:r>
      <w:r w:rsidR="00E40BB5">
        <w:rPr>
          <w:rStyle w:val="FootnoteReference"/>
        </w:rPr>
        <w:footnoteReference w:id="14"/>
      </w:r>
    </w:p>
    <w:p w14:paraId="7C5550D4" w14:textId="41FB09AF" w:rsidR="00AF4589" w:rsidRPr="007E6587" w:rsidRDefault="007D1547" w:rsidP="00880CA5">
      <w:pPr>
        <w:rPr>
          <w:i/>
        </w:rPr>
      </w:pPr>
      <w:r>
        <w:rPr>
          <w:i/>
        </w:rPr>
        <w:t>Households</w:t>
      </w:r>
    </w:p>
    <w:p w14:paraId="6A5D9A31" w14:textId="1FA62EC5" w:rsidR="00DB1EBE" w:rsidRDefault="007D1547" w:rsidP="00880CA5">
      <w:r>
        <w:t>A family in a large house may use around 10 MWh of electricity per year.</w:t>
      </w:r>
    </w:p>
    <w:tbl>
      <w:tblPr>
        <w:tblStyle w:val="TableGrid"/>
        <w:tblW w:w="0" w:type="auto"/>
        <w:tblBorders>
          <w:top w:val="single" w:sz="12" w:space="0" w:color="4F81BD" w:themeColor="accent1"/>
          <w:left w:val="single" w:sz="12" w:space="0" w:color="4F81BD" w:themeColor="accent1"/>
          <w:bottom w:val="single" w:sz="12" w:space="0" w:color="4F81BD" w:themeColor="accent1"/>
          <w:right w:val="single" w:sz="12" w:space="0" w:color="4F81BD" w:themeColor="accent1"/>
          <w:insideH w:val="single" w:sz="12" w:space="0" w:color="4F81BD" w:themeColor="accent1"/>
          <w:insideV w:val="single" w:sz="12" w:space="0" w:color="4F81BD" w:themeColor="accent1"/>
        </w:tblBorders>
        <w:tblLook w:val="04A0" w:firstRow="1" w:lastRow="0" w:firstColumn="1" w:lastColumn="0" w:noHBand="0" w:noVBand="1"/>
      </w:tblPr>
      <w:tblGrid>
        <w:gridCol w:w="2943"/>
        <w:gridCol w:w="3686"/>
      </w:tblGrid>
      <w:tr w:rsidR="002E5CB3" w14:paraId="4A7472A7" w14:textId="77777777" w:rsidTr="00245B19">
        <w:tc>
          <w:tcPr>
            <w:tcW w:w="2943" w:type="dxa"/>
            <w:shd w:val="clear" w:color="auto" w:fill="4F81BD" w:themeFill="accent1"/>
          </w:tcPr>
          <w:p w14:paraId="23F1406A" w14:textId="77777777" w:rsidR="002E5CB3" w:rsidRPr="00AC17DD" w:rsidRDefault="002E5CB3" w:rsidP="00245B19">
            <w:pPr>
              <w:jc w:val="right"/>
              <w:rPr>
                <w:b/>
                <w:color w:val="FFFFFF" w:themeColor="background1"/>
              </w:rPr>
            </w:pPr>
            <w:r w:rsidRPr="00AC17DD">
              <w:rPr>
                <w:b/>
                <w:color w:val="FFFFFF" w:themeColor="background1"/>
              </w:rPr>
              <w:t>Customer</w:t>
            </w:r>
          </w:p>
        </w:tc>
        <w:tc>
          <w:tcPr>
            <w:tcW w:w="3686" w:type="dxa"/>
          </w:tcPr>
          <w:p w14:paraId="7940EA96" w14:textId="3CA49DE1" w:rsidR="002E5CB3" w:rsidRPr="002E5CB3" w:rsidRDefault="007D1547" w:rsidP="002E5CB3">
            <w:pPr>
              <w:rPr>
                <w:b/>
              </w:rPr>
            </w:pPr>
            <w:r>
              <w:rPr>
                <w:b/>
              </w:rPr>
              <w:t>Household</w:t>
            </w:r>
          </w:p>
        </w:tc>
      </w:tr>
      <w:tr w:rsidR="002E5CB3" w14:paraId="1EE929CD" w14:textId="77777777" w:rsidTr="00245B19">
        <w:tc>
          <w:tcPr>
            <w:tcW w:w="2943" w:type="dxa"/>
            <w:shd w:val="clear" w:color="auto" w:fill="4F81BD" w:themeFill="accent1"/>
          </w:tcPr>
          <w:p w14:paraId="705F5BBD" w14:textId="44F7F734" w:rsidR="002E5CB3" w:rsidRPr="00AC17DD" w:rsidRDefault="007D1547" w:rsidP="00245B19">
            <w:pPr>
              <w:jc w:val="right"/>
              <w:rPr>
                <w:b/>
                <w:color w:val="FFFFFF" w:themeColor="background1"/>
              </w:rPr>
            </w:pPr>
            <w:r>
              <w:rPr>
                <w:b/>
                <w:color w:val="FFFFFF" w:themeColor="background1"/>
              </w:rPr>
              <w:t>Annual energy consumption</w:t>
            </w:r>
          </w:p>
        </w:tc>
        <w:tc>
          <w:tcPr>
            <w:tcW w:w="3686" w:type="dxa"/>
          </w:tcPr>
          <w:p w14:paraId="154F5128" w14:textId="73A5088A" w:rsidR="002E5CB3" w:rsidRDefault="007D1547" w:rsidP="007D1547">
            <w:r>
              <w:t>10,800 kWh</w:t>
            </w:r>
          </w:p>
        </w:tc>
      </w:tr>
      <w:tr w:rsidR="00F31834" w14:paraId="12F8BCEE" w14:textId="77777777" w:rsidTr="00245B19">
        <w:tc>
          <w:tcPr>
            <w:tcW w:w="2943" w:type="dxa"/>
            <w:shd w:val="clear" w:color="auto" w:fill="4F81BD" w:themeFill="accent1"/>
          </w:tcPr>
          <w:p w14:paraId="40382270" w14:textId="754E3A97" w:rsidR="00F31834" w:rsidRDefault="00737608" w:rsidP="00245B19">
            <w:pPr>
              <w:jc w:val="right"/>
              <w:rPr>
                <w:b/>
                <w:color w:val="FFFFFF" w:themeColor="background1"/>
              </w:rPr>
            </w:pPr>
            <w:r>
              <w:rPr>
                <w:b/>
                <w:color w:val="FFFFFF" w:themeColor="background1"/>
              </w:rPr>
              <w:t>Average maximum demand</w:t>
            </w:r>
          </w:p>
        </w:tc>
        <w:tc>
          <w:tcPr>
            <w:tcW w:w="3686" w:type="dxa"/>
          </w:tcPr>
          <w:p w14:paraId="448DE78C" w14:textId="552AB441" w:rsidR="00F31834" w:rsidRDefault="00737608" w:rsidP="007D1547">
            <w:r>
              <w:t>3.5 kW</w:t>
            </w:r>
          </w:p>
        </w:tc>
      </w:tr>
      <w:tr w:rsidR="002E5CB3" w14:paraId="128783EA" w14:textId="77777777" w:rsidTr="00245B19">
        <w:tc>
          <w:tcPr>
            <w:tcW w:w="2943" w:type="dxa"/>
            <w:shd w:val="clear" w:color="auto" w:fill="4F81BD" w:themeFill="accent1"/>
          </w:tcPr>
          <w:p w14:paraId="71F54EC6" w14:textId="2521369D" w:rsidR="002E5CB3" w:rsidRPr="00AC17DD" w:rsidRDefault="00F31834" w:rsidP="00F31834">
            <w:pPr>
              <w:jc w:val="right"/>
              <w:rPr>
                <w:b/>
                <w:color w:val="FFFFFF" w:themeColor="background1"/>
              </w:rPr>
            </w:pPr>
            <w:r>
              <w:rPr>
                <w:b/>
                <w:color w:val="FFFFFF" w:themeColor="background1"/>
              </w:rPr>
              <w:t>Load p</w:t>
            </w:r>
            <w:r w:rsidR="002E5CB3">
              <w:rPr>
                <w:b/>
                <w:color w:val="FFFFFF" w:themeColor="background1"/>
              </w:rPr>
              <w:t>ower factor</w:t>
            </w:r>
          </w:p>
        </w:tc>
        <w:tc>
          <w:tcPr>
            <w:tcW w:w="3686" w:type="dxa"/>
          </w:tcPr>
          <w:p w14:paraId="6ADBEFB3" w14:textId="0638E002" w:rsidR="002E5CB3" w:rsidRDefault="00F31834" w:rsidP="00245B19">
            <w:r>
              <w:t>0.9</w:t>
            </w:r>
          </w:p>
        </w:tc>
      </w:tr>
      <w:tr w:rsidR="002E5CB3" w14:paraId="7B117FC6" w14:textId="77777777" w:rsidTr="00245B19">
        <w:tc>
          <w:tcPr>
            <w:tcW w:w="2943" w:type="dxa"/>
            <w:shd w:val="clear" w:color="auto" w:fill="4F81BD" w:themeFill="accent1"/>
          </w:tcPr>
          <w:p w14:paraId="73DC7269" w14:textId="25A60476" w:rsidR="002E5CB3" w:rsidRDefault="00F31834" w:rsidP="00245B19">
            <w:pPr>
              <w:jc w:val="right"/>
              <w:rPr>
                <w:b/>
                <w:color w:val="FFFFFF" w:themeColor="background1"/>
              </w:rPr>
            </w:pPr>
            <w:r>
              <w:rPr>
                <w:b/>
                <w:color w:val="FFFFFF" w:themeColor="background1"/>
              </w:rPr>
              <w:t>Electricity tariff</w:t>
            </w:r>
          </w:p>
        </w:tc>
        <w:tc>
          <w:tcPr>
            <w:tcW w:w="3686" w:type="dxa"/>
          </w:tcPr>
          <w:p w14:paraId="6B1E0E25" w14:textId="1BBB85A2" w:rsidR="002E5CB3" w:rsidRDefault="00773C45" w:rsidP="00F31834">
            <w:r>
              <w:t>$</w:t>
            </w:r>
            <w:r w:rsidR="00F31834">
              <w:t>0.25</w:t>
            </w:r>
            <w:r w:rsidR="002E5CB3">
              <w:t xml:space="preserve"> / k</w:t>
            </w:r>
            <w:r w:rsidR="00F31834">
              <w:t>Wh</w:t>
            </w:r>
          </w:p>
        </w:tc>
      </w:tr>
      <w:tr w:rsidR="002E5CB3" w14:paraId="1658F9F0" w14:textId="77777777" w:rsidTr="00245B19">
        <w:tc>
          <w:tcPr>
            <w:tcW w:w="2943" w:type="dxa"/>
            <w:shd w:val="clear" w:color="auto" w:fill="4F81BD" w:themeFill="accent1"/>
          </w:tcPr>
          <w:p w14:paraId="695FC324" w14:textId="44876354" w:rsidR="002E5CB3" w:rsidRPr="00AC17DD" w:rsidRDefault="00F31834" w:rsidP="00245B19">
            <w:pPr>
              <w:jc w:val="right"/>
              <w:rPr>
                <w:b/>
                <w:color w:val="FFFFFF" w:themeColor="background1"/>
              </w:rPr>
            </w:pPr>
            <w:r>
              <w:rPr>
                <w:b/>
                <w:color w:val="FFFFFF" w:themeColor="background1"/>
              </w:rPr>
              <w:t xml:space="preserve">CVR </w:t>
            </w:r>
            <w:r w:rsidR="002E5CB3">
              <w:rPr>
                <w:b/>
                <w:color w:val="FFFFFF" w:themeColor="background1"/>
              </w:rPr>
              <w:t xml:space="preserve">equipment </w:t>
            </w:r>
            <w:r>
              <w:rPr>
                <w:b/>
                <w:color w:val="FFFFFF" w:themeColor="background1"/>
              </w:rPr>
              <w:t xml:space="preserve">power </w:t>
            </w:r>
            <w:r w:rsidR="002E5CB3">
              <w:rPr>
                <w:b/>
                <w:color w:val="FFFFFF" w:themeColor="background1"/>
              </w:rPr>
              <w:t>rating</w:t>
            </w:r>
          </w:p>
        </w:tc>
        <w:tc>
          <w:tcPr>
            <w:tcW w:w="3686" w:type="dxa"/>
          </w:tcPr>
          <w:p w14:paraId="19CE31CB" w14:textId="264BC9BF" w:rsidR="002E5CB3" w:rsidRDefault="00F31834" w:rsidP="00245B19">
            <w:r>
              <w:t>5 kVA</w:t>
            </w:r>
          </w:p>
        </w:tc>
      </w:tr>
      <w:tr w:rsidR="002E5CB3" w14:paraId="78FEB5D1" w14:textId="77777777" w:rsidTr="00245B19">
        <w:tc>
          <w:tcPr>
            <w:tcW w:w="2943" w:type="dxa"/>
            <w:shd w:val="clear" w:color="auto" w:fill="4F81BD" w:themeFill="accent1"/>
          </w:tcPr>
          <w:p w14:paraId="6E7920B6" w14:textId="484EE007" w:rsidR="002E5CB3" w:rsidRPr="00AC17DD" w:rsidRDefault="00737608" w:rsidP="00245B19">
            <w:pPr>
              <w:jc w:val="right"/>
              <w:rPr>
                <w:b/>
                <w:color w:val="FFFFFF" w:themeColor="background1"/>
              </w:rPr>
            </w:pPr>
            <w:r>
              <w:rPr>
                <w:b/>
                <w:color w:val="FFFFFF" w:themeColor="background1"/>
              </w:rPr>
              <w:t>CVR</w:t>
            </w:r>
            <w:r w:rsidR="002E5CB3">
              <w:rPr>
                <w:b/>
                <w:color w:val="FFFFFF" w:themeColor="background1"/>
              </w:rPr>
              <w:t xml:space="preserve"> equipment cost</w:t>
            </w:r>
          </w:p>
        </w:tc>
        <w:tc>
          <w:tcPr>
            <w:tcW w:w="3686" w:type="dxa"/>
          </w:tcPr>
          <w:p w14:paraId="37E8CC9F" w14:textId="1EABB2CE" w:rsidR="002E5CB3" w:rsidRDefault="002E5CB3" w:rsidP="00773C45">
            <w:r>
              <w:t>$</w:t>
            </w:r>
            <w:r w:rsidR="00691259">
              <w:t>50</w:t>
            </w:r>
            <w:r w:rsidR="004840A6">
              <w:t>0</w:t>
            </w:r>
          </w:p>
        </w:tc>
      </w:tr>
      <w:tr w:rsidR="00014365" w14:paraId="1BC7B5F4" w14:textId="77777777" w:rsidTr="00FC6FD5">
        <w:tc>
          <w:tcPr>
            <w:tcW w:w="2943" w:type="dxa"/>
            <w:shd w:val="clear" w:color="auto" w:fill="4F81BD" w:themeFill="accent1"/>
          </w:tcPr>
          <w:p w14:paraId="4A55F307" w14:textId="77777777" w:rsidR="00014365" w:rsidRDefault="00014365" w:rsidP="00FC6FD5">
            <w:pPr>
              <w:jc w:val="right"/>
              <w:rPr>
                <w:b/>
                <w:color w:val="FFFFFF" w:themeColor="background1"/>
              </w:rPr>
            </w:pPr>
          </w:p>
        </w:tc>
        <w:tc>
          <w:tcPr>
            <w:tcW w:w="3686" w:type="dxa"/>
          </w:tcPr>
          <w:p w14:paraId="5E591D59" w14:textId="77777777" w:rsidR="00014365" w:rsidRDefault="00014365" w:rsidP="00FC6FD5"/>
        </w:tc>
      </w:tr>
      <w:tr w:rsidR="00014365" w14:paraId="4E8FFAB4" w14:textId="77777777" w:rsidTr="00FC6FD5">
        <w:tc>
          <w:tcPr>
            <w:tcW w:w="2943" w:type="dxa"/>
            <w:shd w:val="clear" w:color="auto" w:fill="4F81BD" w:themeFill="accent1"/>
          </w:tcPr>
          <w:p w14:paraId="10FA94FF" w14:textId="77777777" w:rsidR="00014365" w:rsidRPr="00AC17DD" w:rsidRDefault="00014365" w:rsidP="00FC6FD5">
            <w:pPr>
              <w:jc w:val="right"/>
              <w:rPr>
                <w:b/>
                <w:color w:val="FFFFFF" w:themeColor="background1"/>
              </w:rPr>
            </w:pPr>
            <w:r>
              <w:rPr>
                <w:b/>
                <w:color w:val="FFFFFF" w:themeColor="background1"/>
              </w:rPr>
              <w:t>CVR energy savings</w:t>
            </w:r>
          </w:p>
        </w:tc>
        <w:tc>
          <w:tcPr>
            <w:tcW w:w="3686" w:type="dxa"/>
          </w:tcPr>
          <w:p w14:paraId="7832C3D7" w14:textId="540472FB" w:rsidR="00014365" w:rsidRDefault="00014365" w:rsidP="00FC6FD5">
            <w:r>
              <w:t>0.</w:t>
            </w:r>
            <w:r w:rsidR="00691259">
              <w:t>544</w:t>
            </w:r>
            <w:r>
              <w:t xml:space="preserve"> kWh / year (</w:t>
            </w:r>
            <w:r w:rsidR="001F5794">
              <w:t>5.04</w:t>
            </w:r>
            <w:r>
              <w:t>%)</w:t>
            </w:r>
          </w:p>
        </w:tc>
      </w:tr>
      <w:tr w:rsidR="002E5CB3" w14:paraId="3B131B1A" w14:textId="77777777" w:rsidTr="00245B19">
        <w:tc>
          <w:tcPr>
            <w:tcW w:w="2943" w:type="dxa"/>
            <w:shd w:val="clear" w:color="auto" w:fill="4F81BD" w:themeFill="accent1"/>
          </w:tcPr>
          <w:p w14:paraId="06AF6F3B" w14:textId="172542DE" w:rsidR="002E5CB3" w:rsidRPr="00AC17DD" w:rsidRDefault="002A64ED" w:rsidP="00245B19">
            <w:pPr>
              <w:jc w:val="right"/>
              <w:rPr>
                <w:b/>
                <w:color w:val="FFFFFF" w:themeColor="background1"/>
              </w:rPr>
            </w:pPr>
            <w:r>
              <w:rPr>
                <w:b/>
                <w:color w:val="FFFFFF" w:themeColor="background1"/>
              </w:rPr>
              <w:t>Energy bill</w:t>
            </w:r>
            <w:r w:rsidR="002E5CB3">
              <w:rPr>
                <w:b/>
                <w:color w:val="FFFFFF" w:themeColor="background1"/>
              </w:rPr>
              <w:t xml:space="preserve"> savings</w:t>
            </w:r>
          </w:p>
        </w:tc>
        <w:tc>
          <w:tcPr>
            <w:tcW w:w="3686" w:type="dxa"/>
          </w:tcPr>
          <w:p w14:paraId="134AE3D5" w14:textId="3AD57077" w:rsidR="002E5CB3" w:rsidRDefault="002A64ED" w:rsidP="00245B19">
            <w:r>
              <w:t>$</w:t>
            </w:r>
            <w:r w:rsidR="00691259">
              <w:t>136</w:t>
            </w:r>
            <w:r>
              <w:t xml:space="preserve"> / year</w:t>
            </w:r>
          </w:p>
        </w:tc>
      </w:tr>
      <w:tr w:rsidR="00014365" w14:paraId="627C9885" w14:textId="77777777" w:rsidTr="00FC6FD5">
        <w:tc>
          <w:tcPr>
            <w:tcW w:w="2943" w:type="dxa"/>
            <w:shd w:val="clear" w:color="auto" w:fill="4F81BD" w:themeFill="accent1"/>
          </w:tcPr>
          <w:p w14:paraId="71EB3A8C" w14:textId="77777777" w:rsidR="00014365" w:rsidRDefault="00014365" w:rsidP="00FC6FD5">
            <w:pPr>
              <w:jc w:val="right"/>
              <w:rPr>
                <w:b/>
                <w:color w:val="FFFFFF" w:themeColor="background1"/>
              </w:rPr>
            </w:pPr>
            <w:r>
              <w:rPr>
                <w:b/>
                <w:color w:val="FFFFFF" w:themeColor="background1"/>
              </w:rPr>
              <w:t>Payback without VEECs</w:t>
            </w:r>
          </w:p>
        </w:tc>
        <w:tc>
          <w:tcPr>
            <w:tcW w:w="3686" w:type="dxa"/>
          </w:tcPr>
          <w:p w14:paraId="6832087D" w14:textId="5ACB375D" w:rsidR="00014365" w:rsidRDefault="00691259" w:rsidP="00FC6FD5">
            <w:r>
              <w:t>3.7</w:t>
            </w:r>
            <w:r w:rsidR="00014365">
              <w:t xml:space="preserve"> years</w:t>
            </w:r>
          </w:p>
        </w:tc>
      </w:tr>
      <w:tr w:rsidR="002E5CB3" w14:paraId="14FEAF13" w14:textId="77777777" w:rsidTr="00245B19">
        <w:tc>
          <w:tcPr>
            <w:tcW w:w="2943" w:type="dxa"/>
            <w:shd w:val="clear" w:color="auto" w:fill="4F81BD" w:themeFill="accent1"/>
          </w:tcPr>
          <w:p w14:paraId="67037B2D" w14:textId="31ECF706" w:rsidR="002E5CB3" w:rsidRDefault="002E5CB3" w:rsidP="00773C45">
            <w:pPr>
              <w:jc w:val="right"/>
              <w:rPr>
                <w:b/>
                <w:color w:val="FFFFFF" w:themeColor="background1"/>
              </w:rPr>
            </w:pPr>
          </w:p>
        </w:tc>
        <w:tc>
          <w:tcPr>
            <w:tcW w:w="3686" w:type="dxa"/>
          </w:tcPr>
          <w:p w14:paraId="0B99592C" w14:textId="0E2EBBF2" w:rsidR="002E5CB3" w:rsidRDefault="002E5CB3" w:rsidP="00773C45"/>
        </w:tc>
      </w:tr>
      <w:tr w:rsidR="002E5CB3" w14:paraId="4132B1A1" w14:textId="77777777" w:rsidTr="00245B19">
        <w:tc>
          <w:tcPr>
            <w:tcW w:w="2943" w:type="dxa"/>
            <w:shd w:val="clear" w:color="auto" w:fill="4F81BD" w:themeFill="accent1"/>
          </w:tcPr>
          <w:p w14:paraId="1D08D5FE" w14:textId="77777777" w:rsidR="002E5CB3" w:rsidRDefault="002E5CB3" w:rsidP="00245B19">
            <w:pPr>
              <w:jc w:val="right"/>
              <w:rPr>
                <w:b/>
                <w:color w:val="FFFFFF" w:themeColor="background1"/>
              </w:rPr>
            </w:pPr>
            <w:r>
              <w:rPr>
                <w:b/>
                <w:color w:val="FFFFFF" w:themeColor="background1"/>
              </w:rPr>
              <w:t>Potential VEECs</w:t>
            </w:r>
          </w:p>
        </w:tc>
        <w:tc>
          <w:tcPr>
            <w:tcW w:w="3686" w:type="dxa"/>
          </w:tcPr>
          <w:p w14:paraId="77062126" w14:textId="0FD66242" w:rsidR="002E5CB3" w:rsidRDefault="00691259" w:rsidP="00245B19">
            <w:r>
              <w:t>11.7</w:t>
            </w:r>
          </w:p>
        </w:tc>
      </w:tr>
      <w:tr w:rsidR="002E5CB3" w14:paraId="5B860184" w14:textId="77777777" w:rsidTr="00245B19">
        <w:tc>
          <w:tcPr>
            <w:tcW w:w="2943" w:type="dxa"/>
            <w:shd w:val="clear" w:color="auto" w:fill="4F81BD" w:themeFill="accent1"/>
          </w:tcPr>
          <w:p w14:paraId="50D54D05" w14:textId="77777777" w:rsidR="002E5CB3" w:rsidRDefault="002E5CB3" w:rsidP="00245B19">
            <w:pPr>
              <w:jc w:val="right"/>
              <w:rPr>
                <w:b/>
                <w:color w:val="FFFFFF" w:themeColor="background1"/>
              </w:rPr>
            </w:pPr>
            <w:r>
              <w:rPr>
                <w:b/>
                <w:color w:val="FFFFFF" w:themeColor="background1"/>
              </w:rPr>
              <w:t>VEEC value</w:t>
            </w:r>
          </w:p>
        </w:tc>
        <w:tc>
          <w:tcPr>
            <w:tcW w:w="3686" w:type="dxa"/>
          </w:tcPr>
          <w:p w14:paraId="21F8A95C" w14:textId="063FC2A8" w:rsidR="002E5CB3" w:rsidRDefault="002A64ED" w:rsidP="00245B19">
            <w:r>
              <w:t>$</w:t>
            </w:r>
            <w:r w:rsidR="00691259">
              <w:t>234</w:t>
            </w:r>
          </w:p>
        </w:tc>
      </w:tr>
      <w:tr w:rsidR="002E5CB3" w14:paraId="20A48AA9" w14:textId="77777777" w:rsidTr="00245B19">
        <w:tc>
          <w:tcPr>
            <w:tcW w:w="2943" w:type="dxa"/>
            <w:shd w:val="clear" w:color="auto" w:fill="4F81BD" w:themeFill="accent1"/>
          </w:tcPr>
          <w:p w14:paraId="3EF50FA7" w14:textId="546568A4" w:rsidR="002E5CB3" w:rsidRDefault="002A64ED" w:rsidP="00245B19">
            <w:pPr>
              <w:jc w:val="right"/>
              <w:rPr>
                <w:b/>
                <w:color w:val="FFFFFF" w:themeColor="background1"/>
              </w:rPr>
            </w:pPr>
            <w:r>
              <w:rPr>
                <w:b/>
                <w:color w:val="FFFFFF" w:themeColor="background1"/>
              </w:rPr>
              <w:t xml:space="preserve">CVR </w:t>
            </w:r>
            <w:r w:rsidR="002E5CB3">
              <w:rPr>
                <w:b/>
                <w:color w:val="FFFFFF" w:themeColor="background1"/>
              </w:rPr>
              <w:t xml:space="preserve"> cost after VEECs</w:t>
            </w:r>
          </w:p>
        </w:tc>
        <w:tc>
          <w:tcPr>
            <w:tcW w:w="3686" w:type="dxa"/>
          </w:tcPr>
          <w:p w14:paraId="5A664651" w14:textId="5028F668" w:rsidR="002E5CB3" w:rsidRDefault="002A64ED" w:rsidP="00245B19">
            <w:r>
              <w:t>$</w:t>
            </w:r>
            <w:r w:rsidR="00691259">
              <w:t>266</w:t>
            </w:r>
          </w:p>
        </w:tc>
      </w:tr>
      <w:tr w:rsidR="002E5CB3" w14:paraId="6C23B8E3" w14:textId="77777777" w:rsidTr="00245B19">
        <w:tc>
          <w:tcPr>
            <w:tcW w:w="2943" w:type="dxa"/>
            <w:shd w:val="clear" w:color="auto" w:fill="4F81BD" w:themeFill="accent1"/>
          </w:tcPr>
          <w:p w14:paraId="63684B30" w14:textId="77777777" w:rsidR="002E5CB3" w:rsidRDefault="002E5CB3" w:rsidP="00245B19">
            <w:pPr>
              <w:jc w:val="right"/>
              <w:rPr>
                <w:b/>
                <w:color w:val="FFFFFF" w:themeColor="background1"/>
              </w:rPr>
            </w:pPr>
            <w:r>
              <w:rPr>
                <w:b/>
                <w:color w:val="FFFFFF" w:themeColor="background1"/>
              </w:rPr>
              <w:t>VEEC discount</w:t>
            </w:r>
          </w:p>
        </w:tc>
        <w:tc>
          <w:tcPr>
            <w:tcW w:w="3686" w:type="dxa"/>
          </w:tcPr>
          <w:p w14:paraId="33194974" w14:textId="7024E372" w:rsidR="002E5CB3" w:rsidRDefault="00691259" w:rsidP="00245B19">
            <w:r>
              <w:t>46.7</w:t>
            </w:r>
            <w:r w:rsidR="002E5CB3">
              <w:t>%</w:t>
            </w:r>
          </w:p>
        </w:tc>
      </w:tr>
      <w:tr w:rsidR="002E5CB3" w14:paraId="50590258" w14:textId="77777777" w:rsidTr="00245B19">
        <w:tc>
          <w:tcPr>
            <w:tcW w:w="2943" w:type="dxa"/>
            <w:shd w:val="clear" w:color="auto" w:fill="4F81BD" w:themeFill="accent1"/>
          </w:tcPr>
          <w:p w14:paraId="3178BCD3" w14:textId="77777777" w:rsidR="002E5CB3" w:rsidRDefault="002E5CB3" w:rsidP="00245B19">
            <w:pPr>
              <w:jc w:val="right"/>
              <w:rPr>
                <w:b/>
                <w:color w:val="FFFFFF" w:themeColor="background1"/>
              </w:rPr>
            </w:pPr>
            <w:r>
              <w:rPr>
                <w:b/>
                <w:color w:val="FFFFFF" w:themeColor="background1"/>
              </w:rPr>
              <w:t>Payback with VEECs</w:t>
            </w:r>
          </w:p>
        </w:tc>
        <w:tc>
          <w:tcPr>
            <w:tcW w:w="3686" w:type="dxa"/>
          </w:tcPr>
          <w:p w14:paraId="7FF0B4E7" w14:textId="3C7E4945" w:rsidR="002E5CB3" w:rsidRDefault="00691259" w:rsidP="00245B19">
            <w:r>
              <w:t>2</w:t>
            </w:r>
            <w:r w:rsidR="002E5CB3">
              <w:t xml:space="preserve"> years</w:t>
            </w:r>
          </w:p>
        </w:tc>
      </w:tr>
    </w:tbl>
    <w:p w14:paraId="01BBD0B3" w14:textId="77777777" w:rsidR="00DB1EBE" w:rsidRDefault="00DB1EBE" w:rsidP="00880CA5"/>
    <w:p w14:paraId="1D4217A1" w14:textId="77777777" w:rsidR="007E6587" w:rsidRPr="007E6587" w:rsidRDefault="007E6587" w:rsidP="00880CA5">
      <w:pPr>
        <w:rPr>
          <w:b/>
          <w:u w:val="single"/>
        </w:rPr>
      </w:pPr>
      <w:r w:rsidRPr="007E6587">
        <w:rPr>
          <w:b/>
          <w:u w:val="single"/>
        </w:rPr>
        <w:lastRenderedPageBreak/>
        <w:t>Market opportunity</w:t>
      </w:r>
    </w:p>
    <w:p w14:paraId="3410C1D9" w14:textId="1E98A7C6" w:rsidR="005C2AEB" w:rsidRDefault="005C2AEB" w:rsidP="00880CA5">
      <w:r>
        <w:t>All residential customers in Victoria can benefit from conservation voltage reduction (CVR). There is no current market for residential CVR.</w:t>
      </w:r>
      <w:r w:rsidR="00CE3A27">
        <w:t xml:space="preserve"> The emergence of residential sized units will change that.</w:t>
      </w:r>
    </w:p>
    <w:p w14:paraId="21463CD6" w14:textId="15640916" w:rsidR="00CE3A27" w:rsidRDefault="00CE3A27" w:rsidP="00880CA5">
      <w:r>
        <w:t>There are approximately 2 million occupied private dwellings in Victoria.</w:t>
      </w:r>
      <w:r w:rsidR="00C85003">
        <w:rPr>
          <w:rStyle w:val="FootnoteReference"/>
        </w:rPr>
        <w:footnoteReference w:id="15"/>
      </w:r>
      <w:r>
        <w:t xml:space="preserve"> On ave</w:t>
      </w:r>
      <w:r w:rsidR="00C85003">
        <w:t xml:space="preserve">rage, those dwellings can save </w:t>
      </w:r>
      <w:r w:rsidR="00691259">
        <w:t>5</w:t>
      </w:r>
      <w:r>
        <w:t xml:space="preserve">% of 5,882 kWh of </w:t>
      </w:r>
      <w:r w:rsidR="00C85003">
        <w:t xml:space="preserve">non-heating-related </w:t>
      </w:r>
      <w:r>
        <w:t xml:space="preserve">electricity or </w:t>
      </w:r>
      <w:r w:rsidR="00691259">
        <w:t>593</w:t>
      </w:r>
      <w:r>
        <w:t>,000 M</w:t>
      </w:r>
      <w:r w:rsidR="00C85003">
        <w:t>Wh per annum. When deemed over 2</w:t>
      </w:r>
      <w:r>
        <w:t>0 years and converted to VEEC</w:t>
      </w:r>
      <w:r w:rsidR="00C85003">
        <w:t xml:space="preserve">s, this equates to potentially </w:t>
      </w:r>
      <w:r w:rsidR="00691259">
        <w:t>13</w:t>
      </w:r>
      <w:r>
        <w:t xml:space="preserve"> million VEECs that could be created from residential CVR equipment installation.</w:t>
      </w:r>
      <w:r w:rsidR="00691259">
        <w:t xml:space="preserve"> A 10 year roll-out program could produce 1.3 million VEECs per year to support the targets.</w:t>
      </w:r>
    </w:p>
    <w:p w14:paraId="63B84430" w14:textId="77777777" w:rsidR="00AF4589" w:rsidRPr="001D41CB" w:rsidRDefault="00AF4589" w:rsidP="00880CA5">
      <w:pPr>
        <w:rPr>
          <w:b/>
          <w:u w:val="single"/>
        </w:rPr>
      </w:pPr>
      <w:r w:rsidRPr="001D41CB">
        <w:rPr>
          <w:b/>
          <w:u w:val="single"/>
        </w:rPr>
        <w:t>Industry benefits</w:t>
      </w:r>
    </w:p>
    <w:p w14:paraId="2F1CC3C6" w14:textId="77E93166" w:rsidR="00AF4589" w:rsidRDefault="00245B19" w:rsidP="00880CA5">
      <w:r>
        <w:t xml:space="preserve">At the moment, </w:t>
      </w:r>
      <w:r w:rsidR="005C2AEB">
        <w:t>CVR</w:t>
      </w:r>
      <w:r w:rsidR="001D41CB">
        <w:t xml:space="preserve"> equipment is </w:t>
      </w:r>
      <w:r w:rsidR="005C7C45">
        <w:t xml:space="preserve">manufactured overseas and imported to Australia. However, it is manufactured in some comparable economies, such as the United Kingdom, so it is possible that </w:t>
      </w:r>
      <w:r w:rsidR="00194213">
        <w:t>some manufacturing could take place in Australia in the future.</w:t>
      </w:r>
    </w:p>
    <w:p w14:paraId="7D8F50B4" w14:textId="1B15F2CF" w:rsidR="00194213" w:rsidRDefault="00194213" w:rsidP="00880CA5">
      <w:r>
        <w:t>Most</w:t>
      </w:r>
      <w:r w:rsidR="00245B19">
        <w:t xml:space="preserve"> jobs in </w:t>
      </w:r>
      <w:r w:rsidR="005C2AEB">
        <w:t>CVR</w:t>
      </w:r>
      <w:r w:rsidR="00245B19">
        <w:t xml:space="preserve"> in Victoria</w:t>
      </w:r>
      <w:r>
        <w:t xml:space="preserve"> will be through the sales and installation of the units, located wherever those installations take place.</w:t>
      </w:r>
    </w:p>
    <w:p w14:paraId="7E17F80E" w14:textId="77777777" w:rsidR="00B66323" w:rsidRDefault="00B66323" w:rsidP="00B66323">
      <w:pPr>
        <w:pStyle w:val="Heading1"/>
      </w:pPr>
      <w:r>
        <w:t>Part 3 – Additional Considerations</w:t>
      </w:r>
    </w:p>
    <w:p w14:paraId="78943C3A" w14:textId="77777777" w:rsidR="00B66323" w:rsidRDefault="00B66323" w:rsidP="00B66323">
      <w:pPr>
        <w:pStyle w:val="Heading2"/>
      </w:pPr>
      <w:r>
        <w:t>A Quality standards</w:t>
      </w:r>
    </w:p>
    <w:p w14:paraId="43784FA1" w14:textId="6EA49C0A" w:rsidR="005D3C05" w:rsidRDefault="00E94F2E" w:rsidP="004E2DC6">
      <w:r>
        <w:t>The CVR equipment must have had its performance tested to meet the following conditions and standards:</w:t>
      </w:r>
    </w:p>
    <w:p w14:paraId="55B430C7" w14:textId="11BFC0C7" w:rsidR="005C2AEB" w:rsidRDefault="005C2AEB" w:rsidP="005C2AEB">
      <w:pPr>
        <w:pStyle w:val="ListParagraph"/>
        <w:numPr>
          <w:ilvl w:val="0"/>
          <w:numId w:val="14"/>
        </w:numPr>
      </w:pPr>
      <w:r>
        <w:t>Compliance to </w:t>
      </w:r>
      <w:r w:rsidRPr="005C2AEB">
        <w:rPr>
          <w:i/>
        </w:rPr>
        <w:t>AS/NZS 3100:2009 Approval and test specification—General requirements for electrical equipment</w:t>
      </w:r>
    </w:p>
    <w:p w14:paraId="1094B5E9" w14:textId="3C0314D5" w:rsidR="00E94F2E" w:rsidRDefault="00E94F2E" w:rsidP="005C2AEB">
      <w:pPr>
        <w:pStyle w:val="ListParagraph"/>
        <w:numPr>
          <w:ilvl w:val="0"/>
          <w:numId w:val="14"/>
        </w:numPr>
      </w:pPr>
      <w:r>
        <w:t>Input voltage: between 216 V and 253 V.</w:t>
      </w:r>
    </w:p>
    <w:p w14:paraId="4F32AA46" w14:textId="315A1888" w:rsidR="00245B19" w:rsidRDefault="005D3C05" w:rsidP="005C2AEB">
      <w:pPr>
        <w:pStyle w:val="ListParagraph"/>
        <w:numPr>
          <w:ilvl w:val="0"/>
          <w:numId w:val="14"/>
        </w:numPr>
      </w:pPr>
      <w:r>
        <w:t>Line surge protection</w:t>
      </w:r>
      <w:r w:rsidR="00E94F2E">
        <w:t>: tested in accordance with</w:t>
      </w:r>
      <w:r w:rsidR="00245B19" w:rsidRPr="00245B19">
        <w:t> </w:t>
      </w:r>
      <w:r w:rsidR="00245B19" w:rsidRPr="005C2AEB">
        <w:rPr>
          <w:i/>
        </w:rPr>
        <w:t>IEC 61000‐4‐5</w:t>
      </w:r>
      <w:r w:rsidRPr="005C2AEB">
        <w:rPr>
          <w:i/>
        </w:rPr>
        <w:t>:2014 Electromagnetic compatibility (EMC) - Part 4-5: Testing and measurement te</w:t>
      </w:r>
      <w:r w:rsidR="00E94F2E" w:rsidRPr="005C2AEB">
        <w:rPr>
          <w:i/>
        </w:rPr>
        <w:t>chniques - Surge immunity test</w:t>
      </w:r>
    </w:p>
    <w:p w14:paraId="3C2E5C41" w14:textId="1E6771DB" w:rsidR="005D3C05" w:rsidRDefault="005D3C05" w:rsidP="005C2AEB">
      <w:pPr>
        <w:pStyle w:val="ListParagraph"/>
        <w:numPr>
          <w:ilvl w:val="0"/>
          <w:numId w:val="14"/>
        </w:numPr>
      </w:pPr>
      <w:r>
        <w:t>Efficiency</w:t>
      </w:r>
      <w:r w:rsidR="005C2AEB">
        <w:t>:</w:t>
      </w:r>
      <w:r>
        <w:t xml:space="preserve"> at least 98% at 50% load.</w:t>
      </w:r>
    </w:p>
    <w:p w14:paraId="2312B57B" w14:textId="1FC8F6A5" w:rsidR="00A51932" w:rsidRDefault="00A51932" w:rsidP="005C2AEB">
      <w:pPr>
        <w:pStyle w:val="ListParagraph"/>
        <w:numPr>
          <w:ilvl w:val="0"/>
          <w:numId w:val="14"/>
        </w:numPr>
      </w:pPr>
      <w:r>
        <w:t>Must be able to dynamically adjust output voltage.</w:t>
      </w:r>
    </w:p>
    <w:p w14:paraId="7EAB1871" w14:textId="14922DF3" w:rsidR="005D4EFB" w:rsidRDefault="005D4EFB" w:rsidP="005C2AEB">
      <w:pPr>
        <w:pStyle w:val="ListParagraph"/>
        <w:numPr>
          <w:ilvl w:val="0"/>
          <w:numId w:val="14"/>
        </w:numPr>
      </w:pPr>
      <w:r>
        <w:t>Must be able to bypass supply voltages below 216V.</w:t>
      </w:r>
    </w:p>
    <w:p w14:paraId="08F9CAE4" w14:textId="27FF84C1" w:rsidR="001D61AF" w:rsidRDefault="00E94F2E" w:rsidP="005C2AEB">
      <w:pPr>
        <w:pStyle w:val="ListParagraph"/>
        <w:numPr>
          <w:ilvl w:val="0"/>
          <w:numId w:val="14"/>
        </w:numPr>
      </w:pPr>
      <w:r>
        <w:t xml:space="preserve">Output: </w:t>
      </w:r>
      <w:r w:rsidR="001D61AF">
        <w:t>Must have an out</w:t>
      </w:r>
      <w:r w:rsidR="005D3C05">
        <w:t>put voltage tolerance of + / - 3</w:t>
      </w:r>
      <w:r w:rsidR="001D61AF">
        <w:t>% at 230V.</w:t>
      </w:r>
    </w:p>
    <w:p w14:paraId="10B08F79" w14:textId="77777777" w:rsidR="00B66323" w:rsidRDefault="00B66323" w:rsidP="00B66323">
      <w:pPr>
        <w:pStyle w:val="Heading2"/>
      </w:pPr>
      <w:r>
        <w:t>B Consistency with other schemes</w:t>
      </w:r>
    </w:p>
    <w:p w14:paraId="176F96F6" w14:textId="107B4C58" w:rsidR="00FD454D" w:rsidRDefault="00245B19" w:rsidP="00B66323">
      <w:r>
        <w:t xml:space="preserve">There is no equivalent deemed savings method under other state schemes for </w:t>
      </w:r>
      <w:r w:rsidR="00B02425">
        <w:t xml:space="preserve">Conservation </w:t>
      </w:r>
      <w:r>
        <w:t xml:space="preserve">Voltage Reduction. </w:t>
      </w:r>
    </w:p>
    <w:p w14:paraId="35EB477D" w14:textId="77777777" w:rsidR="00634EF4" w:rsidRDefault="00245B19" w:rsidP="00B66323">
      <w:r>
        <w:t xml:space="preserve">The approach taken to </w:t>
      </w:r>
      <w:r w:rsidR="00634EF4">
        <w:t>CVR is simple and in line with other activities where the savings depend on the equipment parameters, rather than having to measure any site parameters such as maximum demand or annual energy consumption.</w:t>
      </w:r>
    </w:p>
    <w:p w14:paraId="2EFF282C" w14:textId="77777777" w:rsidR="00B66323" w:rsidRDefault="00B66323" w:rsidP="00B66323">
      <w:pPr>
        <w:pStyle w:val="Heading2"/>
      </w:pPr>
      <w:r>
        <w:t>C Benefits and Risks</w:t>
      </w:r>
    </w:p>
    <w:p w14:paraId="51F9A4DE" w14:textId="602A5D25" w:rsidR="00135AA4" w:rsidRDefault="005C2AEB" w:rsidP="00B66323">
      <w:pPr>
        <w:rPr>
          <w:b/>
          <w:u w:val="single"/>
        </w:rPr>
      </w:pPr>
      <w:r>
        <w:rPr>
          <w:b/>
          <w:u w:val="single"/>
        </w:rPr>
        <w:t>Electrical equipment</w:t>
      </w:r>
      <w:r w:rsidR="00135AA4">
        <w:rPr>
          <w:b/>
          <w:u w:val="single"/>
        </w:rPr>
        <w:t xml:space="preserve"> benefits</w:t>
      </w:r>
    </w:p>
    <w:p w14:paraId="6337E84E" w14:textId="23516FEB" w:rsidR="005C2AEB" w:rsidRDefault="005C2AEB" w:rsidP="00B66323">
      <w:r>
        <w:lastRenderedPageBreak/>
        <w:t>In addition to energy savings, CVR can protect other electrical equipment from damage by:</w:t>
      </w:r>
    </w:p>
    <w:p w14:paraId="7136BC00" w14:textId="5F492B7C" w:rsidR="00135AA4" w:rsidRDefault="005C2AEB" w:rsidP="005C2AEB">
      <w:pPr>
        <w:pStyle w:val="ListParagraph"/>
        <w:numPr>
          <w:ilvl w:val="0"/>
          <w:numId w:val="15"/>
        </w:numPr>
      </w:pPr>
      <w:r>
        <w:t>Removing h</w:t>
      </w:r>
      <w:r w:rsidR="00135AA4">
        <w:t>armonics</w:t>
      </w:r>
    </w:p>
    <w:p w14:paraId="1EBCEC5C" w14:textId="50C44B7B" w:rsidR="00245B19" w:rsidRDefault="00245B19" w:rsidP="005C2AEB">
      <w:pPr>
        <w:pStyle w:val="ListParagraph"/>
        <w:numPr>
          <w:ilvl w:val="0"/>
          <w:numId w:val="15"/>
        </w:numPr>
      </w:pPr>
      <w:r>
        <w:t>Line surge protection</w:t>
      </w:r>
    </w:p>
    <w:p w14:paraId="4E452B3E" w14:textId="38F24303" w:rsidR="006F3DD1" w:rsidRDefault="006F3DD1" w:rsidP="005C2AEB">
      <w:pPr>
        <w:pStyle w:val="ListParagraph"/>
        <w:numPr>
          <w:ilvl w:val="0"/>
          <w:numId w:val="15"/>
        </w:numPr>
      </w:pPr>
      <w:r>
        <w:t>Increased</w:t>
      </w:r>
      <w:r w:rsidR="005C2AEB">
        <w:t xml:space="preserve"> equipment lifetime</w:t>
      </w:r>
      <w:r w:rsidR="00FC6FD5">
        <w:rPr>
          <w:rStyle w:val="FootnoteReference"/>
        </w:rPr>
        <w:footnoteReference w:id="16"/>
      </w:r>
    </w:p>
    <w:p w14:paraId="682CC116" w14:textId="1FF74D20" w:rsidR="00FC6FD5" w:rsidRPr="00135AA4" w:rsidRDefault="00FC6FD5" w:rsidP="005D4EFB">
      <w:r>
        <w:t>W</w:t>
      </w:r>
      <w:r w:rsidRPr="00FC6FD5">
        <w:t xml:space="preserve">here a solar PV system is locked out on ‘over voltage lockout’ the </w:t>
      </w:r>
      <w:r>
        <w:t>CVR equipment presents the PV invert</w:t>
      </w:r>
      <w:r w:rsidRPr="00FC6FD5">
        <w:t>er with a constant sub lockout voltage so the PV system is not shut down. Usually PV systems are shut down during peak times so there is a benefit of continue supply by the PV system to the premise and where there is excess generation export to the grid versus drawing all the power needs from a stressed grid at peak tariff times.</w:t>
      </w:r>
    </w:p>
    <w:p w14:paraId="6E2C7B82" w14:textId="5031D085" w:rsidR="00AC17DD" w:rsidRPr="00AC17DD" w:rsidRDefault="005C2AEB" w:rsidP="00B66323">
      <w:pPr>
        <w:rPr>
          <w:b/>
          <w:u w:val="single"/>
        </w:rPr>
      </w:pPr>
      <w:r>
        <w:rPr>
          <w:b/>
          <w:u w:val="single"/>
        </w:rPr>
        <w:t>Customer</w:t>
      </w:r>
      <w:r w:rsidR="00AC17DD" w:rsidRPr="00AC17DD">
        <w:rPr>
          <w:b/>
          <w:u w:val="single"/>
        </w:rPr>
        <w:t xml:space="preserve"> benefits</w:t>
      </w:r>
    </w:p>
    <w:p w14:paraId="64E4AFE9" w14:textId="429F7976" w:rsidR="007742A2" w:rsidRDefault="00F52786" w:rsidP="005C2AEB">
      <w:r>
        <w:t>The AEMC has recently approved a rule change that requires electricity networks to adopt “cost-reflective” pricing for their services. This means that a higher proportion of energy bills will reflect the maximum demand that a customer requires (i.e. demand charges will increase in price).</w:t>
      </w:r>
      <w:r w:rsidR="00AE29A3">
        <w:rPr>
          <w:rStyle w:val="FootnoteReference"/>
        </w:rPr>
        <w:footnoteReference w:id="17"/>
      </w:r>
    </w:p>
    <w:p w14:paraId="7B0373D0" w14:textId="1D16CDC3" w:rsidR="005C2AEB" w:rsidRDefault="005C2AEB" w:rsidP="005C2AEB">
      <w:r>
        <w:t>In addition to saving energy, CVR equipment also reduces demand (kW and kVA) and can improve power factor. Therefore it may have additional customer energy bill benefits in the future if and when demand-based charges are brought in.</w:t>
      </w:r>
    </w:p>
    <w:p w14:paraId="32F58354" w14:textId="6BF208EA" w:rsidR="00AC17DD" w:rsidRDefault="005C2AEB" w:rsidP="00B66323">
      <w:pPr>
        <w:rPr>
          <w:b/>
          <w:u w:val="single"/>
        </w:rPr>
      </w:pPr>
      <w:r>
        <w:rPr>
          <w:b/>
          <w:u w:val="single"/>
        </w:rPr>
        <w:t>Network</w:t>
      </w:r>
      <w:r w:rsidR="00AC17DD" w:rsidRPr="00AC17DD">
        <w:rPr>
          <w:b/>
          <w:u w:val="single"/>
        </w:rPr>
        <w:t xml:space="preserve"> benefits</w:t>
      </w:r>
    </w:p>
    <w:p w14:paraId="52F6794D" w14:textId="77777777" w:rsidR="005C2AEB" w:rsidRDefault="00024027" w:rsidP="00B66323">
      <w:r>
        <w:t>Many parts of the Victorian distribution networks are demand constrained.</w:t>
      </w:r>
      <w:r w:rsidR="00110D82">
        <w:rPr>
          <w:rStyle w:val="FootnoteReference"/>
        </w:rPr>
        <w:footnoteReference w:id="18"/>
      </w:r>
      <w:r>
        <w:t xml:space="preserve"> DNSPs are required to consider </w:t>
      </w:r>
      <w:r w:rsidR="00783564">
        <w:t xml:space="preserve">demand-side solutions to network constraints alongside </w:t>
      </w:r>
      <w:r w:rsidR="00110D82">
        <w:t>building new infrastructure.</w:t>
      </w:r>
      <w:r w:rsidR="00110D82">
        <w:rPr>
          <w:rStyle w:val="FootnoteReference"/>
        </w:rPr>
        <w:footnoteReference w:id="19"/>
      </w:r>
      <w:r w:rsidR="00110D82">
        <w:t xml:space="preserve"> </w:t>
      </w:r>
      <w:r w:rsidR="005C2AEB">
        <w:t>Reducing customer demand can delay the need for additional network infrastructure, saving the networks from capital investment and putting downward pressure on energy prices.</w:t>
      </w:r>
    </w:p>
    <w:p w14:paraId="2E8C6DD1" w14:textId="77777777" w:rsidR="00861AC2" w:rsidRPr="005C2AEB" w:rsidRDefault="00861AC2" w:rsidP="00B66323">
      <w:pPr>
        <w:rPr>
          <w:b/>
          <w:u w:val="single"/>
        </w:rPr>
      </w:pPr>
      <w:r w:rsidRPr="005C2AEB">
        <w:rPr>
          <w:b/>
          <w:u w:val="single"/>
        </w:rPr>
        <w:t>Greenhouse gas benefits</w:t>
      </w:r>
    </w:p>
    <w:p w14:paraId="5C5DB7A7" w14:textId="25313A17" w:rsidR="00AE29A3" w:rsidRPr="00231856" w:rsidRDefault="00231856" w:rsidP="00B66323">
      <w:r w:rsidRPr="00C85003">
        <w:t xml:space="preserve">As noted above, there are potentially </w:t>
      </w:r>
      <w:r w:rsidR="00C85003" w:rsidRPr="00C85003">
        <w:t xml:space="preserve">over </w:t>
      </w:r>
      <w:r w:rsidR="005D4EFB">
        <w:t>13</w:t>
      </w:r>
      <w:r w:rsidR="00C85003" w:rsidRPr="00C85003">
        <w:t xml:space="preserve"> million</w:t>
      </w:r>
      <w:r w:rsidRPr="00C85003">
        <w:t xml:space="preserve"> VEECs that could be created for </w:t>
      </w:r>
      <w:r w:rsidR="00C85003" w:rsidRPr="00C85003">
        <w:t>residential CVR</w:t>
      </w:r>
      <w:r w:rsidRPr="00C85003">
        <w:t xml:space="preserve"> equipment in Victoria, which translates to </w:t>
      </w:r>
      <w:r w:rsidR="005D4EFB">
        <w:t>13</w:t>
      </w:r>
      <w:r w:rsidR="00C85003" w:rsidRPr="00C85003">
        <w:t xml:space="preserve"> million</w:t>
      </w:r>
      <w:r w:rsidRPr="00C85003">
        <w:t xml:space="preserve"> tonnes of</w:t>
      </w:r>
      <w:r>
        <w:t xml:space="preserve"> avoided CO</w:t>
      </w:r>
      <w:r>
        <w:rPr>
          <w:vertAlign w:val="subscript"/>
        </w:rPr>
        <w:t>2</w:t>
      </w:r>
      <w:r>
        <w:t xml:space="preserve"> emissions.</w:t>
      </w:r>
    </w:p>
    <w:p w14:paraId="125B5B83" w14:textId="77777777" w:rsidR="00AE29A3" w:rsidRPr="005C2AEB" w:rsidRDefault="00AE29A3" w:rsidP="00B66323">
      <w:pPr>
        <w:rPr>
          <w:b/>
          <w:u w:val="single"/>
        </w:rPr>
      </w:pPr>
      <w:r w:rsidRPr="005C2AEB">
        <w:rPr>
          <w:b/>
          <w:u w:val="single"/>
        </w:rPr>
        <w:t>Air pollution benefits</w:t>
      </w:r>
    </w:p>
    <w:p w14:paraId="55D25BE6" w14:textId="77777777" w:rsidR="00AE29A3" w:rsidRPr="00AE29A3" w:rsidRDefault="00AE29A3" w:rsidP="00B66323">
      <w:r>
        <w:lastRenderedPageBreak/>
        <w:t xml:space="preserve">Air pollution from coal-fired power stations in Victoria has significant health impacts on those </w:t>
      </w:r>
      <w:r w:rsidR="00F6009E">
        <w:t>people who live near the power stations.</w:t>
      </w:r>
      <w:r w:rsidR="00F6009E">
        <w:rPr>
          <w:rStyle w:val="FootnoteReference"/>
        </w:rPr>
        <w:footnoteReference w:id="20"/>
      </w:r>
      <w:r w:rsidR="00F6009E">
        <w:t xml:space="preserve"> Reduced electricity consumption will also reduce these health impacts.</w:t>
      </w:r>
    </w:p>
    <w:sectPr w:rsidR="00AE29A3" w:rsidRPr="00AE29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889A7" w14:textId="77777777" w:rsidR="00576308" w:rsidRDefault="00576308" w:rsidP="00110D82">
      <w:pPr>
        <w:spacing w:after="0" w:line="240" w:lineRule="auto"/>
      </w:pPr>
      <w:r>
        <w:separator/>
      </w:r>
    </w:p>
  </w:endnote>
  <w:endnote w:type="continuationSeparator" w:id="0">
    <w:p w14:paraId="69608BA9" w14:textId="77777777" w:rsidR="00576308" w:rsidRDefault="00576308" w:rsidP="0011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DA876" w14:textId="77777777" w:rsidR="00576308" w:rsidRDefault="00576308" w:rsidP="00110D82">
      <w:pPr>
        <w:spacing w:after="0" w:line="240" w:lineRule="auto"/>
      </w:pPr>
      <w:r>
        <w:separator/>
      </w:r>
    </w:p>
  </w:footnote>
  <w:footnote w:type="continuationSeparator" w:id="0">
    <w:p w14:paraId="1CBB7EC5" w14:textId="77777777" w:rsidR="00576308" w:rsidRDefault="00576308" w:rsidP="00110D82">
      <w:pPr>
        <w:spacing w:after="0" w:line="240" w:lineRule="auto"/>
      </w:pPr>
      <w:r>
        <w:continuationSeparator/>
      </w:r>
    </w:p>
  </w:footnote>
  <w:footnote w:id="1">
    <w:p w14:paraId="3B54515E" w14:textId="63D621AE" w:rsidR="00FC6FD5" w:rsidRDefault="00FC6FD5">
      <w:pPr>
        <w:pStyle w:val="FootnoteText"/>
      </w:pPr>
      <w:r>
        <w:rPr>
          <w:rStyle w:val="FootnoteReference"/>
        </w:rPr>
        <w:footnoteRef/>
      </w:r>
      <w:r>
        <w:t xml:space="preserve"> EPRI,</w:t>
      </w:r>
      <w:r w:rsidRPr="00C85003">
        <w:t xml:space="preserve"> </w:t>
      </w:r>
      <w:r w:rsidRPr="00C85003">
        <w:rPr>
          <w:i/>
        </w:rPr>
        <w:t>Volt/VAR Control and Optimization Concepts and Issues</w:t>
      </w:r>
      <w:r>
        <w:t xml:space="preserve"> (presentation), Electric Power Research Institute, 2011, slides 6-8, </w:t>
      </w:r>
      <w:r w:rsidRPr="00C85003">
        <w:t>http://cialab.ee.washington.edu/nwess/2012/talks/uluski.pdf</w:t>
      </w:r>
    </w:p>
  </w:footnote>
  <w:footnote w:id="2">
    <w:p w14:paraId="67C5CB35" w14:textId="34737B76" w:rsidR="00FC6FD5" w:rsidRDefault="00FC6FD5" w:rsidP="00C85003">
      <w:pPr>
        <w:pStyle w:val="FootnoteText"/>
      </w:pPr>
      <w:r>
        <w:rPr>
          <w:rStyle w:val="FootnoteReference"/>
        </w:rPr>
        <w:footnoteRef/>
      </w:r>
      <w:r>
        <w:t xml:space="preserve"> EPRI,</w:t>
      </w:r>
      <w:r w:rsidRPr="00C85003">
        <w:t xml:space="preserve"> </w:t>
      </w:r>
      <w:r w:rsidRPr="00C85003">
        <w:rPr>
          <w:i/>
        </w:rPr>
        <w:t>Volt/VAR Control and Optimization Concepts and Issues</w:t>
      </w:r>
      <w:r>
        <w:t xml:space="preserve"> (presentation), Electric Power Research Institute, 2011, slide 7, </w:t>
      </w:r>
      <w:r w:rsidRPr="00C85003">
        <w:t>http://cialab.ee.washington.edu/nwess/2012/talks/uluski.pdf</w:t>
      </w:r>
    </w:p>
  </w:footnote>
  <w:footnote w:id="3">
    <w:p w14:paraId="24974000" w14:textId="036FF0E8" w:rsidR="00FC6FD5" w:rsidRDefault="00FC6FD5" w:rsidP="007F7A40">
      <w:pPr>
        <w:pStyle w:val="FootnoteText"/>
      </w:pPr>
      <w:r>
        <w:rPr>
          <w:rStyle w:val="FootnoteReference"/>
        </w:rPr>
        <w:footnoteRef/>
      </w:r>
      <w:r>
        <w:t xml:space="preserve"> Ortega et al, </w:t>
      </w:r>
      <w:r w:rsidRPr="007F7A40">
        <w:rPr>
          <w:i/>
        </w:rPr>
        <w:t>Supply Voltage Effects on the Operation of Residential  Air Conditioning Appliances: Experimental Analysis</w:t>
      </w:r>
      <w:r>
        <w:t>, International Conference on Renewable Energies and Power Quality 2007,</w:t>
      </w:r>
      <w:r w:rsidRPr="007F7A40">
        <w:t xml:space="preserve"> </w:t>
      </w:r>
      <w:r>
        <w:t xml:space="preserve">March 2007, </w:t>
      </w:r>
      <w:r w:rsidRPr="007F7A40">
        <w:t>http://www.icrepq.com/icrepq07/347-romero.pdf</w:t>
      </w:r>
    </w:p>
  </w:footnote>
  <w:footnote w:id="4">
    <w:p w14:paraId="7C8D2191" w14:textId="3E030652" w:rsidR="00FC6FD5" w:rsidRDefault="00FC6FD5">
      <w:pPr>
        <w:pStyle w:val="FootnoteText"/>
      </w:pPr>
      <w:r>
        <w:rPr>
          <w:rStyle w:val="FootnoteReference"/>
        </w:rPr>
        <w:footnoteRef/>
      </w:r>
      <w:r>
        <w:t xml:space="preserve"> Victorian Department of Primary Industries, </w:t>
      </w:r>
      <w:r w:rsidRPr="00C076A0">
        <w:rPr>
          <w:i/>
        </w:rPr>
        <w:t>IHD Inclusion into ESI scheme: Final Report</w:t>
      </w:r>
      <w:r>
        <w:t xml:space="preserve">, Accenture, December 2011 (updated 23 January 2012), pp. 35-36, </w:t>
      </w:r>
      <w:r w:rsidRPr="00C076A0">
        <w:t>https://www.veet.vic.gov.au/public/Pub.aspx?id=244</w:t>
      </w:r>
    </w:p>
  </w:footnote>
  <w:footnote w:id="5">
    <w:p w14:paraId="325E7BB2" w14:textId="44706C72" w:rsidR="00FC6FD5" w:rsidRDefault="00FC6FD5">
      <w:pPr>
        <w:pStyle w:val="FootnoteText"/>
      </w:pPr>
      <w:r>
        <w:rPr>
          <w:rStyle w:val="FootnoteReference"/>
        </w:rPr>
        <w:footnoteRef/>
      </w:r>
      <w:r>
        <w:t xml:space="preserve"> Victorian Government, </w:t>
      </w:r>
      <w:r w:rsidRPr="008F7E8B">
        <w:rPr>
          <w:i/>
        </w:rPr>
        <w:t>Victorian Households Energy Report</w:t>
      </w:r>
      <w:r>
        <w:t xml:space="preserve">, Sustainability Victoria, May 2014,  </w:t>
      </w:r>
      <w:r w:rsidRPr="008F7E8B">
        <w:t>http://www.sustainability.vic.gov.au/~/media/resources/documents/services%20and%20advice/households/energy%20efficiency/rse014%20households%20energy%20report_web.pdf</w:t>
      </w:r>
    </w:p>
  </w:footnote>
  <w:footnote w:id="6">
    <w:p w14:paraId="29FC92C5" w14:textId="0348BDF8" w:rsidR="00FC6FD5" w:rsidRDefault="00FC6FD5">
      <w:pPr>
        <w:pStyle w:val="FootnoteText"/>
      </w:pPr>
      <w:r>
        <w:rPr>
          <w:rStyle w:val="FootnoteReference"/>
        </w:rPr>
        <w:footnoteRef/>
      </w:r>
      <w:r>
        <w:t xml:space="preserve"> OFGEM,</w:t>
      </w:r>
      <w:r w:rsidRPr="00E1737A">
        <w:t xml:space="preserve"> </w:t>
      </w:r>
      <w:r w:rsidRPr="00E1737A">
        <w:rPr>
          <w:i/>
        </w:rPr>
        <w:t xml:space="preserve">Energy Saving Trial Report for the </w:t>
      </w:r>
      <w:proofErr w:type="spellStart"/>
      <w:r w:rsidRPr="00E1737A">
        <w:rPr>
          <w:i/>
        </w:rPr>
        <w:t>VPhase</w:t>
      </w:r>
      <w:proofErr w:type="spellEnd"/>
      <w:r w:rsidRPr="00E1737A">
        <w:rPr>
          <w:i/>
        </w:rPr>
        <w:t xml:space="preserve"> VX1</w:t>
      </w:r>
      <w:r>
        <w:t xml:space="preserve">, UK </w:t>
      </w:r>
      <w:r w:rsidRPr="00E1737A">
        <w:t>Office of Gas and Electricity Markets</w:t>
      </w:r>
      <w:r>
        <w:t xml:space="preserve">, June 2011, </w:t>
      </w:r>
      <w:r w:rsidRPr="00C17347">
        <w:t>https://www.ofgem.gov.uk/ofgem-publications/58457/energy-saving-trial-report-vphase-vx1-pdf</w:t>
      </w:r>
    </w:p>
  </w:footnote>
  <w:footnote w:id="7">
    <w:p w14:paraId="494B373F" w14:textId="1A481B21" w:rsidR="00FC6FD5" w:rsidRDefault="00FC6FD5">
      <w:pPr>
        <w:pStyle w:val="FootnoteText"/>
      </w:pPr>
      <w:r>
        <w:rPr>
          <w:rStyle w:val="FootnoteReference"/>
        </w:rPr>
        <w:footnoteRef/>
      </w:r>
      <w:r>
        <w:t xml:space="preserve"> </w:t>
      </w:r>
      <w:proofErr w:type="spellStart"/>
      <w:r>
        <w:t>Ausgrid</w:t>
      </w:r>
      <w:proofErr w:type="spellEnd"/>
      <w:r>
        <w:t xml:space="preserve">, </w:t>
      </w:r>
      <w:r w:rsidRPr="005D4EFB">
        <w:rPr>
          <w:i/>
        </w:rPr>
        <w:t>Network Standard NS238 Supply Quality</w:t>
      </w:r>
      <w:r>
        <w:t xml:space="preserve">, 4 May 2015, p. 13, </w:t>
      </w:r>
      <w:r w:rsidRPr="00796939">
        <w:t>https://www.ausgrid.com.au/~/media/Files/Network/Documents/NS%20and%20NUS/NS238.pdf</w:t>
      </w:r>
    </w:p>
  </w:footnote>
  <w:footnote w:id="8">
    <w:p w14:paraId="46B67FC5" w14:textId="536EB844" w:rsidR="00FC6FD5" w:rsidRDefault="00FC6FD5">
      <w:pPr>
        <w:pStyle w:val="FootnoteText"/>
      </w:pPr>
      <w:r>
        <w:rPr>
          <w:rStyle w:val="FootnoteReference"/>
        </w:rPr>
        <w:footnoteRef/>
      </w:r>
      <w:r>
        <w:t xml:space="preserve"> Energex,</w:t>
      </w:r>
      <w:r w:rsidRPr="00796939">
        <w:t xml:space="preserve"> </w:t>
      </w:r>
      <w:r w:rsidRPr="005D4EFB">
        <w:rPr>
          <w:i/>
        </w:rPr>
        <w:t>Energex regulatory proposal, Appendix 29: Power quality strategic plan</w:t>
      </w:r>
      <w:r>
        <w:t xml:space="preserve">, October 2014, p. 11, </w:t>
      </w:r>
      <w:hyperlink r:id="rId1" w:tgtFrame="_blank" w:tooltip="https://www.aer.gov.au/system/files/Energex%20-%2029.%20Power%20Quality%20Strategic%20Plan%20-%20October%202014.pdf&#10;Cmd+Click or tap to follow the link" w:history="1">
        <w:r>
          <w:rPr>
            <w:rStyle w:val="Hyperlink"/>
            <w:rFonts w:ascii="Calibri" w:hAnsi="Calibri"/>
            <w:color w:val="1155CC"/>
            <w:shd w:val="clear" w:color="auto" w:fill="FFFFFF"/>
          </w:rPr>
          <w:t>https://www.aer.gov.au/system/files/Energex%20-%2029.%20Power%20Quality%20Strategic%20Plan%20-%20October%202014.pdf</w:t>
        </w:r>
      </w:hyperlink>
    </w:p>
  </w:footnote>
  <w:footnote w:id="9">
    <w:p w14:paraId="4D4735D0" w14:textId="3A050620" w:rsidR="00FC6FD5" w:rsidRDefault="00FC6FD5">
      <w:pPr>
        <w:pStyle w:val="FootnoteText"/>
      </w:pPr>
      <w:r>
        <w:rPr>
          <w:rStyle w:val="FootnoteReference"/>
        </w:rPr>
        <w:footnoteRef/>
      </w:r>
      <w:r>
        <w:t xml:space="preserve"> ACBC, Power Factor Correction Evaluation, Section 6, p. 22 Form E, Class 2 Home Units (duplex), 4 September 2002, </w:t>
      </w:r>
      <w:r w:rsidRPr="005C7C45">
        <w:t>http://www.abcb.gov.au/work-program/energy-efficiency/multi-residential-commercial-and-public-buildings.aspx</w:t>
      </w:r>
    </w:p>
  </w:footnote>
  <w:footnote w:id="10">
    <w:p w14:paraId="37103A52" w14:textId="0FAE95AA" w:rsidR="00FC6FD5" w:rsidRDefault="00FC6FD5">
      <w:pPr>
        <w:pStyle w:val="FootnoteText"/>
      </w:pPr>
      <w:r>
        <w:rPr>
          <w:rStyle w:val="FootnoteReference"/>
        </w:rPr>
        <w:footnoteRef/>
      </w:r>
      <w:r>
        <w:t xml:space="preserve"> OFGEM,</w:t>
      </w:r>
      <w:r w:rsidRPr="00E1737A">
        <w:t xml:space="preserve"> </w:t>
      </w:r>
      <w:r w:rsidRPr="00E1737A">
        <w:rPr>
          <w:i/>
        </w:rPr>
        <w:t xml:space="preserve">Energy Saving Trial Report for the </w:t>
      </w:r>
      <w:proofErr w:type="spellStart"/>
      <w:r w:rsidRPr="00E1737A">
        <w:rPr>
          <w:i/>
        </w:rPr>
        <w:t>VPhase</w:t>
      </w:r>
      <w:proofErr w:type="spellEnd"/>
      <w:r w:rsidRPr="00E1737A">
        <w:rPr>
          <w:i/>
        </w:rPr>
        <w:t xml:space="preserve"> VX1</w:t>
      </w:r>
      <w:r>
        <w:t xml:space="preserve">, UK </w:t>
      </w:r>
      <w:r w:rsidRPr="00E1737A">
        <w:t>Office of Gas and Electricity Markets</w:t>
      </w:r>
      <w:r>
        <w:t xml:space="preserve">, June 2011, </w:t>
      </w:r>
      <w:r w:rsidRPr="00C17347">
        <w:t>https://www.ofgem.gov.uk/ofgem-publications/58457/energy-saving-trial-report-vphase-vx1-pdf</w:t>
      </w:r>
    </w:p>
  </w:footnote>
  <w:footnote w:id="11">
    <w:p w14:paraId="459CE586" w14:textId="2FEE05C6" w:rsidR="00FC6FD5" w:rsidRDefault="00FC6FD5">
      <w:pPr>
        <w:pStyle w:val="FootnoteText"/>
      </w:pPr>
      <w:r>
        <w:rPr>
          <w:rStyle w:val="FootnoteReference"/>
        </w:rPr>
        <w:footnoteRef/>
      </w:r>
      <w:r>
        <w:t xml:space="preserve"> </w:t>
      </w:r>
      <w:proofErr w:type="spellStart"/>
      <w:r>
        <w:t>Powerstar</w:t>
      </w:r>
      <w:proofErr w:type="spellEnd"/>
      <w:r>
        <w:t xml:space="preserve">, Voltage Optimisation Warranty (website), </w:t>
      </w:r>
      <w:r w:rsidRPr="00EC1971">
        <w:t>http://powerstar.com/au/voltage-optimisation-warranty/</w:t>
      </w:r>
    </w:p>
  </w:footnote>
  <w:footnote w:id="12">
    <w:p w14:paraId="2F1E20B8" w14:textId="77777777" w:rsidR="00FC6FD5" w:rsidRDefault="00FC6FD5">
      <w:pPr>
        <w:pStyle w:val="FootnoteText"/>
      </w:pPr>
      <w:r>
        <w:rPr>
          <w:rStyle w:val="FootnoteReference"/>
        </w:rPr>
        <w:footnoteRef/>
      </w:r>
      <w:r>
        <w:t xml:space="preserve"> Victorian Government, </w:t>
      </w:r>
      <w:r w:rsidRPr="00F1427D">
        <w:t>VEET Proposed Activity Regulation Amendment Summary</w:t>
      </w:r>
      <w:r>
        <w:t xml:space="preserve">, Section 3, p. 3, October 2015, </w:t>
      </w:r>
      <w:r w:rsidRPr="00F1427D">
        <w:t>http://www.energyandresources.vic.gov.au/__data/assets/pdf_file/0003/1217253/VEET-Proposed-Activity-Regulation-Amendment-Summary-October-2015.pdf</w:t>
      </w:r>
    </w:p>
  </w:footnote>
  <w:footnote w:id="13">
    <w:p w14:paraId="31DA00EC" w14:textId="77777777" w:rsidR="00FC6FD5" w:rsidRDefault="00FC6FD5" w:rsidP="00F1427D">
      <w:pPr>
        <w:pStyle w:val="FootnoteText"/>
      </w:pPr>
      <w:r>
        <w:rPr>
          <w:rStyle w:val="FootnoteReference"/>
        </w:rPr>
        <w:footnoteRef/>
      </w:r>
      <w:r>
        <w:t xml:space="preserve"> Victorian Government, </w:t>
      </w:r>
      <w:r w:rsidRPr="00F1427D">
        <w:t>VEET Proposed Activity Regulation Amendment Summary</w:t>
      </w:r>
      <w:r>
        <w:t xml:space="preserve">, Section 3, p. 3, October 2015, </w:t>
      </w:r>
      <w:r w:rsidRPr="00F1427D">
        <w:t>http://www.energyandresources.vic.gov.au/__data/assets/pdf_file/0003/1217253/VEET-Proposed-Activity-Regulation-Amendment-Summary-October-2015.pdf</w:t>
      </w:r>
    </w:p>
  </w:footnote>
  <w:footnote w:id="14">
    <w:p w14:paraId="13621B8E" w14:textId="19DF54D5" w:rsidR="00FC6FD5" w:rsidRDefault="00FC6FD5">
      <w:pPr>
        <w:pStyle w:val="FootnoteText"/>
      </w:pPr>
      <w:r>
        <w:rPr>
          <w:rStyle w:val="FootnoteReference"/>
        </w:rPr>
        <w:footnoteRef/>
      </w:r>
      <w:r>
        <w:t xml:space="preserve"> NSW Farmers, Voltage Optimisation, leaflet: Farm Energy Innovation Program, 2103 </w:t>
      </w:r>
      <w:r w:rsidRPr="00361953">
        <w:t>https://www.nswfarmers.org.au/__data/assets/pdf_file/0009/35874/Energy-in-Sheds-Voltage-optimisation-units.pdf</w:t>
      </w:r>
    </w:p>
  </w:footnote>
  <w:footnote w:id="15">
    <w:p w14:paraId="45DC1DEA" w14:textId="3443C0E7" w:rsidR="00FC6FD5" w:rsidRDefault="00FC6FD5">
      <w:pPr>
        <w:pStyle w:val="FootnoteText"/>
      </w:pPr>
      <w:r>
        <w:rPr>
          <w:rStyle w:val="FootnoteReference"/>
        </w:rPr>
        <w:footnoteRef/>
      </w:r>
      <w:r>
        <w:t xml:space="preserve"> ABS, Census 2011 </w:t>
      </w:r>
      <w:proofErr w:type="spellStart"/>
      <w:r>
        <w:t>Quickstats</w:t>
      </w:r>
      <w:proofErr w:type="spellEnd"/>
      <w:r>
        <w:t xml:space="preserve">: Victoria, Australian Bureau of Statistics, </w:t>
      </w:r>
      <w:r w:rsidRPr="00C85003">
        <w:t>http://www.censusdata.abs.gov.au/census_services/getproduct/census/2011/quickstat/2</w:t>
      </w:r>
      <w:r>
        <w:t xml:space="preserve"> </w:t>
      </w:r>
    </w:p>
  </w:footnote>
  <w:footnote w:id="16">
    <w:p w14:paraId="4101A414" w14:textId="0453CAC1" w:rsidR="00FC6FD5" w:rsidRDefault="00FC6FD5">
      <w:pPr>
        <w:pStyle w:val="FootnoteText"/>
      </w:pPr>
      <w:r>
        <w:rPr>
          <w:rStyle w:val="FootnoteReference"/>
        </w:rPr>
        <w:footnoteRef/>
      </w:r>
      <w:r>
        <w:t xml:space="preserve"> </w:t>
      </w:r>
      <w:proofErr w:type="spellStart"/>
      <w:r>
        <w:t>Baitch</w:t>
      </w:r>
      <w:proofErr w:type="spellEnd"/>
      <w:r>
        <w:t xml:space="preserve">, </w:t>
      </w:r>
      <w:r w:rsidRPr="005D4EFB">
        <w:rPr>
          <w:i/>
        </w:rPr>
        <w:t>Is it time to genuinely adopt 230 V as our distribution voltage?</w:t>
      </w:r>
      <w:r>
        <w:t xml:space="preserve"> (website), 1 December 2009, </w:t>
      </w:r>
      <w:hyperlink r:id="rId2" w:tgtFrame="_blank" w:tooltip="http://www.electricalsolutions.net.au/content/business-and-management/article/is-it-time-to-genuinely-adopt-23-v-as-our-distribution-voltage--25053451&#10;Cmd+Click or tap to follow the link" w:history="1">
        <w:r>
          <w:rPr>
            <w:rStyle w:val="Hyperlink"/>
            <w:rFonts w:ascii="Calibri" w:hAnsi="Calibri"/>
            <w:color w:val="1155CC"/>
            <w:shd w:val="clear" w:color="auto" w:fill="FFFFFF"/>
          </w:rPr>
          <w:t>http://www.electricalsolutions.net.au/content/business-and-management/article/is-it-time-to-genuinely-adopt-23-v-as-our-distribution-voltage--25053451</w:t>
        </w:r>
      </w:hyperlink>
    </w:p>
  </w:footnote>
  <w:footnote w:id="17">
    <w:p w14:paraId="4BC8032F" w14:textId="77777777" w:rsidR="00FC6FD5" w:rsidRDefault="00FC6FD5">
      <w:pPr>
        <w:pStyle w:val="FootnoteText"/>
      </w:pPr>
      <w:r>
        <w:rPr>
          <w:rStyle w:val="FootnoteReference"/>
        </w:rPr>
        <w:footnoteRef/>
      </w:r>
      <w:r>
        <w:t xml:space="preserve"> AEMC, New rules for cost-reflective network prices, Press release, 27 November 2014, </w:t>
      </w:r>
      <w:r w:rsidRPr="00AE29A3">
        <w:t>http://www.aemc.gov.au/News-Center/What-s-New/Announcements/New-rules-for-cost-reflective-network-prices</w:t>
      </w:r>
    </w:p>
  </w:footnote>
  <w:footnote w:id="18">
    <w:p w14:paraId="532EFDA3" w14:textId="77777777" w:rsidR="00FC6FD5" w:rsidRDefault="00FC6FD5">
      <w:pPr>
        <w:pStyle w:val="FootnoteText"/>
      </w:pPr>
      <w:r>
        <w:rPr>
          <w:rStyle w:val="FootnoteReference"/>
        </w:rPr>
        <w:footnoteRef/>
      </w:r>
      <w:r>
        <w:t xml:space="preserve"> ARENA, Australian Renewable Energy Infrastructure Map: Electricity Infrastructure: Network Opportunities - ISF: Available Capacity, </w:t>
      </w:r>
      <w:r w:rsidRPr="00110D82">
        <w:t>http://nationalmap.gov.au/renewables/#share=22isXn</w:t>
      </w:r>
    </w:p>
  </w:footnote>
  <w:footnote w:id="19">
    <w:p w14:paraId="4CC52EB4" w14:textId="77777777" w:rsidR="00FC6FD5" w:rsidRDefault="00FC6FD5">
      <w:pPr>
        <w:pStyle w:val="FootnoteText"/>
      </w:pPr>
      <w:r>
        <w:rPr>
          <w:rStyle w:val="FootnoteReference"/>
        </w:rPr>
        <w:footnoteRef/>
      </w:r>
      <w:r>
        <w:t xml:space="preserve"> AEMC, Rule Change: Demand Management Incentive Scheme – Fact Sheet, </w:t>
      </w:r>
      <w:r w:rsidRPr="00110D82">
        <w:t>http://aemc.gov.au/getattachment/85b2d487-5026-4a1b-88de-a432afae9855/Fact-sheet.aspx</w:t>
      </w:r>
    </w:p>
  </w:footnote>
  <w:footnote w:id="20">
    <w:p w14:paraId="439D9D16" w14:textId="77777777" w:rsidR="00FC6FD5" w:rsidRDefault="00FC6FD5" w:rsidP="00F6009E">
      <w:pPr>
        <w:pStyle w:val="FootnoteText"/>
      </w:pPr>
      <w:r>
        <w:rPr>
          <w:rStyle w:val="FootnoteReference"/>
        </w:rPr>
        <w:footnoteRef/>
      </w:r>
      <w:r>
        <w:t xml:space="preserve"> Environmental Justice Australia, Clearing the air: Why Australia urgently needs effective national air pollution laws, 20 May 2014, </w:t>
      </w:r>
      <w:r w:rsidRPr="00F6009E">
        <w:t>https://envirojustice.org.au/sites/default/files/files/Submissions%20and%20reports/Envirojustice_air_pollution_report_final.pdf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772"/>
    <w:multiLevelType w:val="hybridMultilevel"/>
    <w:tmpl w:val="4808C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1C7854"/>
    <w:multiLevelType w:val="hybridMultilevel"/>
    <w:tmpl w:val="FE0E0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F852F5"/>
    <w:multiLevelType w:val="hybridMultilevel"/>
    <w:tmpl w:val="B3E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AC269DB"/>
    <w:multiLevelType w:val="hybridMultilevel"/>
    <w:tmpl w:val="75FE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EBC6501"/>
    <w:multiLevelType w:val="hybridMultilevel"/>
    <w:tmpl w:val="5BC64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F9498C"/>
    <w:multiLevelType w:val="hybridMultilevel"/>
    <w:tmpl w:val="74D6C424"/>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6">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A50205"/>
    <w:multiLevelType w:val="hybridMultilevel"/>
    <w:tmpl w:val="5134C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95436C1"/>
    <w:multiLevelType w:val="hybridMultilevel"/>
    <w:tmpl w:val="7CD8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9D80595"/>
    <w:multiLevelType w:val="hybridMultilevel"/>
    <w:tmpl w:val="AD286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590500"/>
    <w:multiLevelType w:val="hybridMultilevel"/>
    <w:tmpl w:val="19842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9C4923"/>
    <w:multiLevelType w:val="hybridMultilevel"/>
    <w:tmpl w:val="254666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BC244C6"/>
    <w:multiLevelType w:val="hybridMultilevel"/>
    <w:tmpl w:val="47CCB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BEA4669"/>
    <w:multiLevelType w:val="hybridMultilevel"/>
    <w:tmpl w:val="EEB2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346411"/>
    <w:multiLevelType w:val="hybridMultilevel"/>
    <w:tmpl w:val="72989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
  </w:num>
  <w:num w:numId="4">
    <w:abstractNumId w:val="1"/>
  </w:num>
  <w:num w:numId="5">
    <w:abstractNumId w:val="4"/>
  </w:num>
  <w:num w:numId="6">
    <w:abstractNumId w:val="7"/>
  </w:num>
  <w:num w:numId="7">
    <w:abstractNumId w:val="10"/>
  </w:num>
  <w:num w:numId="8">
    <w:abstractNumId w:val="14"/>
  </w:num>
  <w:num w:numId="9">
    <w:abstractNumId w:val="8"/>
  </w:num>
  <w:num w:numId="10">
    <w:abstractNumId w:val="12"/>
  </w:num>
  <w:num w:numId="11">
    <w:abstractNumId w:val="11"/>
  </w:num>
  <w:num w:numId="12">
    <w:abstractNumId w:val="3"/>
  </w:num>
  <w:num w:numId="13">
    <w:abstractNumId w:val="13"/>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014365"/>
    <w:rsid w:val="00024027"/>
    <w:rsid w:val="000304DE"/>
    <w:rsid w:val="000479B7"/>
    <w:rsid w:val="000D3B16"/>
    <w:rsid w:val="000F1582"/>
    <w:rsid w:val="001065B4"/>
    <w:rsid w:val="00110D82"/>
    <w:rsid w:val="00132E05"/>
    <w:rsid w:val="00135AA4"/>
    <w:rsid w:val="00160196"/>
    <w:rsid w:val="00171A9B"/>
    <w:rsid w:val="0018122C"/>
    <w:rsid w:val="00192A08"/>
    <w:rsid w:val="00194213"/>
    <w:rsid w:val="001B11FD"/>
    <w:rsid w:val="001C6AC1"/>
    <w:rsid w:val="001D41CB"/>
    <w:rsid w:val="001D61AF"/>
    <w:rsid w:val="001F5794"/>
    <w:rsid w:val="001F5EA9"/>
    <w:rsid w:val="00231856"/>
    <w:rsid w:val="002364D8"/>
    <w:rsid w:val="00245B19"/>
    <w:rsid w:val="00261CCB"/>
    <w:rsid w:val="00273BBB"/>
    <w:rsid w:val="002862BF"/>
    <w:rsid w:val="002A4E8E"/>
    <w:rsid w:val="002A64ED"/>
    <w:rsid w:val="002B2FAF"/>
    <w:rsid w:val="002D40FE"/>
    <w:rsid w:val="002E47BD"/>
    <w:rsid w:val="002E5CB3"/>
    <w:rsid w:val="002F1CF0"/>
    <w:rsid w:val="00361953"/>
    <w:rsid w:val="00381FAA"/>
    <w:rsid w:val="003853E2"/>
    <w:rsid w:val="00385BFD"/>
    <w:rsid w:val="00392CFA"/>
    <w:rsid w:val="003B5570"/>
    <w:rsid w:val="003D1F3D"/>
    <w:rsid w:val="003E3BE2"/>
    <w:rsid w:val="00405E99"/>
    <w:rsid w:val="0043182D"/>
    <w:rsid w:val="0045511E"/>
    <w:rsid w:val="0048143D"/>
    <w:rsid w:val="004840A6"/>
    <w:rsid w:val="00484D84"/>
    <w:rsid w:val="004D0DE7"/>
    <w:rsid w:val="004D3E64"/>
    <w:rsid w:val="004E2DC6"/>
    <w:rsid w:val="004E4B18"/>
    <w:rsid w:val="004E502F"/>
    <w:rsid w:val="0050010A"/>
    <w:rsid w:val="00500524"/>
    <w:rsid w:val="0055633D"/>
    <w:rsid w:val="00576308"/>
    <w:rsid w:val="005B1483"/>
    <w:rsid w:val="005B31C5"/>
    <w:rsid w:val="005C2AEB"/>
    <w:rsid w:val="005C7C45"/>
    <w:rsid w:val="005D3AF4"/>
    <w:rsid w:val="005D3C05"/>
    <w:rsid w:val="005D4EFB"/>
    <w:rsid w:val="00607EDD"/>
    <w:rsid w:val="00634EF4"/>
    <w:rsid w:val="00691259"/>
    <w:rsid w:val="006A552C"/>
    <w:rsid w:val="006D487B"/>
    <w:rsid w:val="006E42C2"/>
    <w:rsid w:val="006F3DD1"/>
    <w:rsid w:val="00703297"/>
    <w:rsid w:val="00711CC6"/>
    <w:rsid w:val="00737608"/>
    <w:rsid w:val="00772801"/>
    <w:rsid w:val="00773C45"/>
    <w:rsid w:val="007742A2"/>
    <w:rsid w:val="00783564"/>
    <w:rsid w:val="00796939"/>
    <w:rsid w:val="007B3F4E"/>
    <w:rsid w:val="007D1547"/>
    <w:rsid w:val="007E6587"/>
    <w:rsid w:val="007F7A40"/>
    <w:rsid w:val="008000A6"/>
    <w:rsid w:val="00804800"/>
    <w:rsid w:val="00804CB8"/>
    <w:rsid w:val="00830188"/>
    <w:rsid w:val="008317A6"/>
    <w:rsid w:val="00854701"/>
    <w:rsid w:val="00860388"/>
    <w:rsid w:val="00861AC2"/>
    <w:rsid w:val="0087135A"/>
    <w:rsid w:val="00880CA5"/>
    <w:rsid w:val="008835F4"/>
    <w:rsid w:val="00891E6D"/>
    <w:rsid w:val="00894483"/>
    <w:rsid w:val="00896CCD"/>
    <w:rsid w:val="008A56E4"/>
    <w:rsid w:val="008D7AA0"/>
    <w:rsid w:val="008E7995"/>
    <w:rsid w:val="008F7E8B"/>
    <w:rsid w:val="00905B58"/>
    <w:rsid w:val="009216CC"/>
    <w:rsid w:val="00953B83"/>
    <w:rsid w:val="00976A70"/>
    <w:rsid w:val="009774CB"/>
    <w:rsid w:val="00990DA8"/>
    <w:rsid w:val="00996654"/>
    <w:rsid w:val="009A59D6"/>
    <w:rsid w:val="009C0B92"/>
    <w:rsid w:val="009C614C"/>
    <w:rsid w:val="00A2269F"/>
    <w:rsid w:val="00A340C3"/>
    <w:rsid w:val="00A40B4D"/>
    <w:rsid w:val="00A51932"/>
    <w:rsid w:val="00A60066"/>
    <w:rsid w:val="00A62C99"/>
    <w:rsid w:val="00AA04A9"/>
    <w:rsid w:val="00AC17DD"/>
    <w:rsid w:val="00AD010D"/>
    <w:rsid w:val="00AE29A3"/>
    <w:rsid w:val="00AE7F77"/>
    <w:rsid w:val="00AF4589"/>
    <w:rsid w:val="00B009A4"/>
    <w:rsid w:val="00B02425"/>
    <w:rsid w:val="00B04183"/>
    <w:rsid w:val="00B074E3"/>
    <w:rsid w:val="00B54D35"/>
    <w:rsid w:val="00B66323"/>
    <w:rsid w:val="00BD4681"/>
    <w:rsid w:val="00BF34CE"/>
    <w:rsid w:val="00C076A0"/>
    <w:rsid w:val="00C17347"/>
    <w:rsid w:val="00C24098"/>
    <w:rsid w:val="00C404A8"/>
    <w:rsid w:val="00C50C2C"/>
    <w:rsid w:val="00C61E01"/>
    <w:rsid w:val="00C82C90"/>
    <w:rsid w:val="00C85003"/>
    <w:rsid w:val="00C9217F"/>
    <w:rsid w:val="00C95A2B"/>
    <w:rsid w:val="00CA15A0"/>
    <w:rsid w:val="00CC0F54"/>
    <w:rsid w:val="00CD44AF"/>
    <w:rsid w:val="00CE3A27"/>
    <w:rsid w:val="00CF6407"/>
    <w:rsid w:val="00D022F5"/>
    <w:rsid w:val="00D36D65"/>
    <w:rsid w:val="00D4362E"/>
    <w:rsid w:val="00D84A50"/>
    <w:rsid w:val="00DB1EBE"/>
    <w:rsid w:val="00DE573B"/>
    <w:rsid w:val="00DF7E03"/>
    <w:rsid w:val="00E1737A"/>
    <w:rsid w:val="00E22086"/>
    <w:rsid w:val="00E40BB5"/>
    <w:rsid w:val="00E81291"/>
    <w:rsid w:val="00E821F8"/>
    <w:rsid w:val="00E94F2E"/>
    <w:rsid w:val="00E95162"/>
    <w:rsid w:val="00E96C3F"/>
    <w:rsid w:val="00E9737E"/>
    <w:rsid w:val="00EB5B0F"/>
    <w:rsid w:val="00EC1971"/>
    <w:rsid w:val="00ED5C33"/>
    <w:rsid w:val="00F1244C"/>
    <w:rsid w:val="00F1427D"/>
    <w:rsid w:val="00F232BE"/>
    <w:rsid w:val="00F24455"/>
    <w:rsid w:val="00F31834"/>
    <w:rsid w:val="00F46951"/>
    <w:rsid w:val="00F50EFB"/>
    <w:rsid w:val="00F52786"/>
    <w:rsid w:val="00F6009E"/>
    <w:rsid w:val="00FA7F05"/>
    <w:rsid w:val="00FB21AE"/>
    <w:rsid w:val="00FC6FD5"/>
    <w:rsid w:val="00FD45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01"/>
  </w:style>
  <w:style w:type="paragraph" w:styleId="Heading1">
    <w:name w:val="heading 1"/>
    <w:basedOn w:val="Normal"/>
    <w:next w:val="Normal"/>
    <w:link w:val="Heading1Char"/>
    <w:uiPriority w:val="9"/>
    <w:qFormat/>
    <w:rsid w:val="00B663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63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customStyle="1" w:styleId="Heading1Char">
    <w:name w:val="Heading 1 Char"/>
    <w:basedOn w:val="DefaultParagraphFont"/>
    <w:link w:val="Heading1"/>
    <w:uiPriority w:val="9"/>
    <w:rsid w:val="00B663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632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40B4D"/>
    <w:pPr>
      <w:ind w:left="720"/>
      <w:contextualSpacing/>
    </w:pPr>
  </w:style>
  <w:style w:type="paragraph" w:styleId="FootnoteText">
    <w:name w:val="footnote text"/>
    <w:basedOn w:val="Normal"/>
    <w:link w:val="FootnoteTextChar"/>
    <w:uiPriority w:val="99"/>
    <w:semiHidden/>
    <w:unhideWhenUsed/>
    <w:rsid w:val="0011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82"/>
    <w:rPr>
      <w:sz w:val="20"/>
      <w:szCs w:val="20"/>
    </w:rPr>
  </w:style>
  <w:style w:type="character" w:styleId="FootnoteReference">
    <w:name w:val="footnote reference"/>
    <w:basedOn w:val="DefaultParagraphFont"/>
    <w:uiPriority w:val="99"/>
    <w:semiHidden/>
    <w:unhideWhenUsed/>
    <w:rsid w:val="00110D82"/>
    <w:rPr>
      <w:vertAlign w:val="superscript"/>
    </w:rPr>
  </w:style>
  <w:style w:type="table" w:styleId="TableGrid">
    <w:name w:val="Table Grid"/>
    <w:basedOn w:val="TableNormal"/>
    <w:uiPriority w:val="59"/>
    <w:rsid w:val="00AC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856"/>
    <w:rPr>
      <w:sz w:val="16"/>
      <w:szCs w:val="16"/>
    </w:rPr>
  </w:style>
  <w:style w:type="paragraph" w:styleId="CommentText">
    <w:name w:val="annotation text"/>
    <w:basedOn w:val="Normal"/>
    <w:link w:val="CommentTextChar"/>
    <w:uiPriority w:val="99"/>
    <w:semiHidden/>
    <w:unhideWhenUsed/>
    <w:rsid w:val="00231856"/>
    <w:pPr>
      <w:spacing w:line="240" w:lineRule="auto"/>
    </w:pPr>
    <w:rPr>
      <w:sz w:val="20"/>
      <w:szCs w:val="20"/>
    </w:rPr>
  </w:style>
  <w:style w:type="character" w:customStyle="1" w:styleId="CommentTextChar">
    <w:name w:val="Comment Text Char"/>
    <w:basedOn w:val="DefaultParagraphFont"/>
    <w:link w:val="CommentText"/>
    <w:uiPriority w:val="99"/>
    <w:semiHidden/>
    <w:rsid w:val="00231856"/>
    <w:rPr>
      <w:sz w:val="20"/>
      <w:szCs w:val="20"/>
    </w:rPr>
  </w:style>
  <w:style w:type="paragraph" w:styleId="CommentSubject">
    <w:name w:val="annotation subject"/>
    <w:basedOn w:val="CommentText"/>
    <w:next w:val="CommentText"/>
    <w:link w:val="CommentSubjectChar"/>
    <w:uiPriority w:val="99"/>
    <w:semiHidden/>
    <w:unhideWhenUsed/>
    <w:rsid w:val="00231856"/>
    <w:rPr>
      <w:b/>
      <w:bCs/>
    </w:rPr>
  </w:style>
  <w:style w:type="character" w:customStyle="1" w:styleId="CommentSubjectChar">
    <w:name w:val="Comment Subject Char"/>
    <w:basedOn w:val="CommentTextChar"/>
    <w:link w:val="CommentSubject"/>
    <w:uiPriority w:val="99"/>
    <w:semiHidden/>
    <w:rsid w:val="00231856"/>
    <w:rPr>
      <w:b/>
      <w:bCs/>
      <w:sz w:val="20"/>
      <w:szCs w:val="20"/>
    </w:rPr>
  </w:style>
  <w:style w:type="paragraph" w:styleId="BalloonText">
    <w:name w:val="Balloon Text"/>
    <w:basedOn w:val="Normal"/>
    <w:link w:val="BalloonTextChar"/>
    <w:uiPriority w:val="99"/>
    <w:semiHidden/>
    <w:unhideWhenUsed/>
    <w:rsid w:val="0023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56"/>
    <w:rPr>
      <w:rFonts w:ascii="Segoe UI" w:hAnsi="Segoe UI" w:cs="Segoe UI"/>
      <w:sz w:val="18"/>
      <w:szCs w:val="18"/>
    </w:rPr>
  </w:style>
  <w:style w:type="paragraph" w:styleId="Caption">
    <w:name w:val="caption"/>
    <w:basedOn w:val="Normal"/>
    <w:next w:val="Normal"/>
    <w:uiPriority w:val="35"/>
    <w:semiHidden/>
    <w:unhideWhenUsed/>
    <w:qFormat/>
    <w:rsid w:val="008F7E8B"/>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7969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801"/>
  </w:style>
  <w:style w:type="paragraph" w:styleId="Heading1">
    <w:name w:val="heading 1"/>
    <w:basedOn w:val="Normal"/>
    <w:next w:val="Normal"/>
    <w:link w:val="Heading1Char"/>
    <w:uiPriority w:val="9"/>
    <w:qFormat/>
    <w:rsid w:val="00B663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663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customStyle="1" w:styleId="Heading1Char">
    <w:name w:val="Heading 1 Char"/>
    <w:basedOn w:val="DefaultParagraphFont"/>
    <w:link w:val="Heading1"/>
    <w:uiPriority w:val="9"/>
    <w:rsid w:val="00B6632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66323"/>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A40B4D"/>
    <w:pPr>
      <w:ind w:left="720"/>
      <w:contextualSpacing/>
    </w:pPr>
  </w:style>
  <w:style w:type="paragraph" w:styleId="FootnoteText">
    <w:name w:val="footnote text"/>
    <w:basedOn w:val="Normal"/>
    <w:link w:val="FootnoteTextChar"/>
    <w:uiPriority w:val="99"/>
    <w:semiHidden/>
    <w:unhideWhenUsed/>
    <w:rsid w:val="00110D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D82"/>
    <w:rPr>
      <w:sz w:val="20"/>
      <w:szCs w:val="20"/>
    </w:rPr>
  </w:style>
  <w:style w:type="character" w:styleId="FootnoteReference">
    <w:name w:val="footnote reference"/>
    <w:basedOn w:val="DefaultParagraphFont"/>
    <w:uiPriority w:val="99"/>
    <w:semiHidden/>
    <w:unhideWhenUsed/>
    <w:rsid w:val="00110D82"/>
    <w:rPr>
      <w:vertAlign w:val="superscript"/>
    </w:rPr>
  </w:style>
  <w:style w:type="table" w:styleId="TableGrid">
    <w:name w:val="Table Grid"/>
    <w:basedOn w:val="TableNormal"/>
    <w:uiPriority w:val="59"/>
    <w:rsid w:val="00AC1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1856"/>
    <w:rPr>
      <w:sz w:val="16"/>
      <w:szCs w:val="16"/>
    </w:rPr>
  </w:style>
  <w:style w:type="paragraph" w:styleId="CommentText">
    <w:name w:val="annotation text"/>
    <w:basedOn w:val="Normal"/>
    <w:link w:val="CommentTextChar"/>
    <w:uiPriority w:val="99"/>
    <w:semiHidden/>
    <w:unhideWhenUsed/>
    <w:rsid w:val="00231856"/>
    <w:pPr>
      <w:spacing w:line="240" w:lineRule="auto"/>
    </w:pPr>
    <w:rPr>
      <w:sz w:val="20"/>
      <w:szCs w:val="20"/>
    </w:rPr>
  </w:style>
  <w:style w:type="character" w:customStyle="1" w:styleId="CommentTextChar">
    <w:name w:val="Comment Text Char"/>
    <w:basedOn w:val="DefaultParagraphFont"/>
    <w:link w:val="CommentText"/>
    <w:uiPriority w:val="99"/>
    <w:semiHidden/>
    <w:rsid w:val="00231856"/>
    <w:rPr>
      <w:sz w:val="20"/>
      <w:szCs w:val="20"/>
    </w:rPr>
  </w:style>
  <w:style w:type="paragraph" w:styleId="CommentSubject">
    <w:name w:val="annotation subject"/>
    <w:basedOn w:val="CommentText"/>
    <w:next w:val="CommentText"/>
    <w:link w:val="CommentSubjectChar"/>
    <w:uiPriority w:val="99"/>
    <w:semiHidden/>
    <w:unhideWhenUsed/>
    <w:rsid w:val="00231856"/>
    <w:rPr>
      <w:b/>
      <w:bCs/>
    </w:rPr>
  </w:style>
  <w:style w:type="character" w:customStyle="1" w:styleId="CommentSubjectChar">
    <w:name w:val="Comment Subject Char"/>
    <w:basedOn w:val="CommentTextChar"/>
    <w:link w:val="CommentSubject"/>
    <w:uiPriority w:val="99"/>
    <w:semiHidden/>
    <w:rsid w:val="00231856"/>
    <w:rPr>
      <w:b/>
      <w:bCs/>
      <w:sz w:val="20"/>
      <w:szCs w:val="20"/>
    </w:rPr>
  </w:style>
  <w:style w:type="paragraph" w:styleId="BalloonText">
    <w:name w:val="Balloon Text"/>
    <w:basedOn w:val="Normal"/>
    <w:link w:val="BalloonTextChar"/>
    <w:uiPriority w:val="99"/>
    <w:semiHidden/>
    <w:unhideWhenUsed/>
    <w:rsid w:val="00231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856"/>
    <w:rPr>
      <w:rFonts w:ascii="Segoe UI" w:hAnsi="Segoe UI" w:cs="Segoe UI"/>
      <w:sz w:val="18"/>
      <w:szCs w:val="18"/>
    </w:rPr>
  </w:style>
  <w:style w:type="paragraph" w:styleId="Caption">
    <w:name w:val="caption"/>
    <w:basedOn w:val="Normal"/>
    <w:next w:val="Normal"/>
    <w:uiPriority w:val="35"/>
    <w:semiHidden/>
    <w:unhideWhenUsed/>
    <w:qFormat/>
    <w:rsid w:val="008F7E8B"/>
    <w:pPr>
      <w:spacing w:line="240" w:lineRule="auto"/>
    </w:pPr>
    <w:rPr>
      <w:i/>
      <w:iCs/>
      <w:color w:val="1F497D" w:themeColor="text2"/>
      <w:sz w:val="18"/>
      <w:szCs w:val="18"/>
    </w:rPr>
  </w:style>
  <w:style w:type="character" w:styleId="Hyperlink">
    <w:name w:val="Hyperlink"/>
    <w:basedOn w:val="DefaultParagraphFont"/>
    <w:uiPriority w:val="99"/>
    <w:semiHidden/>
    <w:unhideWhenUsed/>
    <w:rsid w:val="00796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026022">
      <w:bodyDiv w:val="1"/>
      <w:marLeft w:val="0"/>
      <w:marRight w:val="0"/>
      <w:marTop w:val="0"/>
      <w:marBottom w:val="0"/>
      <w:divBdr>
        <w:top w:val="none" w:sz="0" w:space="0" w:color="auto"/>
        <w:left w:val="none" w:sz="0" w:space="0" w:color="auto"/>
        <w:bottom w:val="none" w:sz="0" w:space="0" w:color="auto"/>
        <w:right w:val="none" w:sz="0" w:space="0" w:color="auto"/>
      </w:divBdr>
    </w:div>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electricalsolutions.net.au/content/business-and-management/article/is-it-time-to-genuinely-adopt-23-v-as-our-distribution-voltage--25053451" TargetMode="External"/><Relationship Id="rId1" Type="http://schemas.openxmlformats.org/officeDocument/2006/relationships/hyperlink" Target="https://www.aer.gov.au/system/files/Energex%20-%2029.%20Power%20Quality%20Strategic%20Plan%20-%20October%20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2BCA6-39F7-43DA-A372-DE1B0EE8B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3331</Words>
  <Characters>18992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22279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Samantha Mikus</cp:lastModifiedBy>
  <cp:revision>2</cp:revision>
  <dcterms:created xsi:type="dcterms:W3CDTF">2016-03-08T23:24:00Z</dcterms:created>
  <dcterms:modified xsi:type="dcterms:W3CDTF">2016-03-08T23:24:00Z</dcterms:modified>
</cp:coreProperties>
</file>