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D91512" w:rsidP="003F46E9">
            <w:pPr>
              <w:pStyle w:val="Title"/>
            </w:pPr>
            <w:r w:rsidRPr="00D91512">
              <w:t>Victorian Energy Efficiency Target Scheme</w:t>
            </w:r>
          </w:p>
        </w:tc>
      </w:tr>
      <w:tr w:rsidR="00975ED3" w:rsidTr="003F46E9">
        <w:trPr>
          <w:trHeight w:val="1247"/>
        </w:trPr>
        <w:tc>
          <w:tcPr>
            <w:tcW w:w="7761" w:type="dxa"/>
            <w:vAlign w:val="center"/>
          </w:tcPr>
          <w:p w:rsidR="000D2D50" w:rsidRDefault="000D2D50" w:rsidP="003F46E9">
            <w:pPr>
              <w:pStyle w:val="Subtitle"/>
            </w:pPr>
            <w:r>
              <w:t xml:space="preserve">Response to Consultation </w:t>
            </w:r>
          </w:p>
          <w:p w:rsidR="00975ED3" w:rsidRDefault="00D91512" w:rsidP="003F46E9">
            <w:pPr>
              <w:pStyle w:val="Subtitle"/>
            </w:pPr>
            <w:r w:rsidRPr="00D91512">
              <w:t>Measurement &amp; Verification Method</w:t>
            </w:r>
          </w:p>
        </w:tc>
      </w:tr>
    </w:tbl>
    <w:p w:rsidR="00806AB6" w:rsidRDefault="00806AB6" w:rsidP="00307C36"/>
    <w:p w:rsidR="00806AB6" w:rsidRDefault="00806AB6" w:rsidP="00806AB6">
      <w:pPr>
        <w:pStyle w:val="BodyText"/>
        <w:sectPr w:rsidR="00806AB6" w:rsidSect="00E97294">
          <w:headerReference w:type="even" r:id="rId8"/>
          <w:footerReference w:type="even" r:id="rId9"/>
          <w:footerReference w:type="default" r:id="rId10"/>
          <w:headerReference w:type="first" r:id="rId11"/>
          <w:footerReference w:type="first" r:id="rId12"/>
          <w:pgSz w:w="11907" w:h="16840" w:code="9"/>
          <w:pgMar w:top="2211" w:right="737" w:bottom="794" w:left="851" w:header="284" w:footer="284" w:gutter="0"/>
          <w:cols w:space="284"/>
          <w:titlePg/>
          <w:docGrid w:linePitch="360"/>
        </w:sectPr>
      </w:pPr>
    </w:p>
    <w:p w:rsidR="001306D2" w:rsidRPr="00050253" w:rsidRDefault="00E641D5" w:rsidP="001306D2">
      <w:pPr>
        <w:pStyle w:val="IntroFeatureText"/>
      </w:pPr>
      <w:r>
        <w:t>The</w:t>
      </w:r>
      <w:r w:rsidR="00D91512" w:rsidRPr="00D91512">
        <w:t xml:space="preserve"> Department of Environment,</w:t>
      </w:r>
      <w:r w:rsidR="005974C6">
        <w:t xml:space="preserve"> Land, Water and Planning (the d</w:t>
      </w:r>
      <w:r w:rsidR="00D91512" w:rsidRPr="00D91512">
        <w:t>epartment) invited stake</w:t>
      </w:r>
      <w:r w:rsidR="005974C6">
        <w:t>holder views on a proposed new p</w:t>
      </w:r>
      <w:r w:rsidR="00D91512" w:rsidRPr="00D91512">
        <w:t>roject</w:t>
      </w:r>
      <w:r w:rsidR="005974C6">
        <w:t>-b</w:t>
      </w:r>
      <w:r w:rsidR="00D91512" w:rsidRPr="00D91512">
        <w:t xml:space="preserve">ased </w:t>
      </w:r>
      <w:r w:rsidR="005974C6">
        <w:t>a</w:t>
      </w:r>
      <w:r w:rsidR="00D91512" w:rsidRPr="00D91512">
        <w:t>ctivity for the Victorian Energy Efficiency Target (VEET) scheme, the Measurement and Verification (M&amp;V) method</w:t>
      </w:r>
      <w:r w:rsidR="001306D2" w:rsidRPr="00050253">
        <w:t xml:space="preserve">.  </w:t>
      </w:r>
    </w:p>
    <w:p w:rsidR="00D91512" w:rsidRDefault="00D91512" w:rsidP="00D91512">
      <w:pPr>
        <w:pStyle w:val="BodyText"/>
      </w:pPr>
      <w:r>
        <w:t>The proposal comprised changes and additions to the VEET Regulations 2008 to support the introduction of the M&amp;V method and a new Schedule to the Regulations that define</w:t>
      </w:r>
      <w:r w:rsidR="000602AB">
        <w:t>d</w:t>
      </w:r>
      <w:r>
        <w:t xml:space="preserve"> the criteria, definitions and calculation steps.</w:t>
      </w:r>
    </w:p>
    <w:p w:rsidR="00D91512" w:rsidRDefault="00D91512" w:rsidP="00D91512">
      <w:pPr>
        <w:pStyle w:val="BodyText"/>
      </w:pPr>
      <w:r>
        <w:t>The consultation period ran from 15 June to 22 J</w:t>
      </w:r>
      <w:r w:rsidR="005974C6">
        <w:t>uly 2016. As part of this, the d</w:t>
      </w:r>
      <w:r>
        <w:t>epartment released a consultation paper, ‘New Project Based Activity method: Meas</w:t>
      </w:r>
      <w:r w:rsidR="005974C6">
        <w:t>urement and Verification’. The d</w:t>
      </w:r>
      <w:r>
        <w:t xml:space="preserve">epartment hosted a public consultation day on Wednesday 15 June 2016 at the Melbourne Convention and Exhibition Centre which was attended by around </w:t>
      </w:r>
      <w:r w:rsidRPr="00EE37AA">
        <w:t>250</w:t>
      </w:r>
      <w:r w:rsidR="005974C6">
        <w:t xml:space="preserve"> people. The d</w:t>
      </w:r>
      <w:r>
        <w:t>epartment also met with individual businesses and peak bodies on request during the consultation period.</w:t>
      </w:r>
    </w:p>
    <w:p w:rsidR="00C2452E" w:rsidRDefault="00D91512" w:rsidP="00D91512">
      <w:pPr>
        <w:pStyle w:val="BodyText"/>
      </w:pPr>
      <w:r>
        <w:t xml:space="preserve">Thirteen written submissions were received from </w:t>
      </w:r>
      <w:r w:rsidR="00211424">
        <w:t>industry associations</w:t>
      </w:r>
      <w:r>
        <w:t>,</w:t>
      </w:r>
      <w:r w:rsidR="00211424">
        <w:t xml:space="preserve"> energy networks,</w:t>
      </w:r>
      <w:r>
        <w:t xml:space="preserve"> energy consumers and energy eff</w:t>
      </w:r>
      <w:r w:rsidR="005974C6">
        <w:t>iciency service providers. The d</w:t>
      </w:r>
      <w:r>
        <w:t xml:space="preserve">epartment would like to thank those who made a submission. </w:t>
      </w:r>
    </w:p>
    <w:p w:rsidR="00D91512" w:rsidRDefault="00D91512" w:rsidP="00D91512">
      <w:pPr>
        <w:pStyle w:val="BodyText"/>
      </w:pPr>
      <w:r>
        <w:t xml:space="preserve">Submissions not marked as confidential </w:t>
      </w:r>
      <w:r w:rsidR="004F29BF">
        <w:t>will be</w:t>
      </w:r>
      <w:r w:rsidR="005974C6">
        <w:t xml:space="preserve"> posted on the d</w:t>
      </w:r>
      <w:r>
        <w:t>epartment’s website</w:t>
      </w:r>
      <w:r w:rsidR="00C2452E">
        <w:t xml:space="preserve">: </w:t>
      </w:r>
      <w:hyperlink r:id="rId13" w:history="1">
        <w:r w:rsidR="000B34C3" w:rsidRPr="000B34C3">
          <w:rPr>
            <w:rStyle w:val="Hyperlink"/>
          </w:rPr>
          <w:t>delwp.vic.gov.au/energy/legislation/energy-saver-incentive</w:t>
        </w:r>
      </w:hyperlink>
      <w:r>
        <w:t>.</w:t>
      </w:r>
    </w:p>
    <w:p w:rsidR="004F29BF" w:rsidRDefault="004F29BF" w:rsidP="004F29BF">
      <w:pPr>
        <w:pStyle w:val="BodyText"/>
      </w:pPr>
      <w:r w:rsidRPr="005A00E6">
        <w:t>The final written form of the method is structurally different from the consultation draft.</w:t>
      </w:r>
      <w:r>
        <w:t xml:space="preserve"> Most significantly, it is contained in a new set of Regulations (the VEET (Project-Based Activities) Regulations 2017) and a new document, M&amp;V in the VEET Scheme – Methods and Variables. </w:t>
      </w:r>
    </w:p>
    <w:p w:rsidR="004F29BF" w:rsidRDefault="004F29BF" w:rsidP="004F29BF">
      <w:pPr>
        <w:pStyle w:val="BodyText"/>
      </w:pPr>
      <w:r>
        <w:t xml:space="preserve">Nonetheless, stakeholder feedback on the content of the method remained relevant and has influenced policy </w:t>
      </w:r>
      <w:r>
        <w:t>development, resulting in a more flexible method with greater applicability for Victorian businesses. This document details that feedback, how it has shaped the method and provides additional background.</w:t>
      </w:r>
    </w:p>
    <w:p w:rsidR="005A00E6" w:rsidRDefault="005A00E6" w:rsidP="005A00E6">
      <w:pPr>
        <w:pStyle w:val="Heading2"/>
      </w:pPr>
      <w:r>
        <w:t>Including the M&amp;V method in the VEET scheme</w:t>
      </w:r>
    </w:p>
    <w:p w:rsidR="00D91512" w:rsidRDefault="00D91512" w:rsidP="004F30D0">
      <w:pPr>
        <w:pStyle w:val="BodyText100ThemeColour"/>
      </w:pPr>
      <w:r w:rsidRPr="00D91512">
        <w:t xml:space="preserve">Submissions supported the introduction of the </w:t>
      </w:r>
      <w:r w:rsidR="005A00E6">
        <w:t>M&amp;V method into the scheme</w:t>
      </w:r>
      <w:r w:rsidRPr="00D91512">
        <w:t xml:space="preserve"> and noted that, in addition to the incentives</w:t>
      </w:r>
      <w:r w:rsidR="000602AB">
        <w:t xml:space="preserve"> the method would provide</w:t>
      </w:r>
      <w:r w:rsidRPr="00D91512">
        <w:t xml:space="preserve">, </w:t>
      </w:r>
      <w:r w:rsidR="000602AB">
        <w:t>it</w:t>
      </w:r>
      <w:r w:rsidRPr="00D91512">
        <w:t xml:space="preserve"> would help businesses to better understand their facilities and the benefits of invest</w:t>
      </w:r>
      <w:r w:rsidR="004F29BF">
        <w:t>ing</w:t>
      </w:r>
      <w:r w:rsidRPr="00D91512">
        <w:t xml:space="preserve"> in energy efficiency.</w:t>
      </w:r>
    </w:p>
    <w:p w:rsidR="005974C6" w:rsidRPr="00D91512" w:rsidRDefault="005974C6" w:rsidP="005974C6">
      <w:pPr>
        <w:pStyle w:val="BodyText"/>
      </w:pPr>
      <w:r>
        <w:t>The M&amp;V method has been prioritised over two other project-based activities, Benchmark Rating and Treatment and Control, that were proposed at the same time.</w:t>
      </w:r>
    </w:p>
    <w:p w:rsidR="00D91512" w:rsidRDefault="00D91512" w:rsidP="00D91512">
      <w:pPr>
        <w:pStyle w:val="Heading2"/>
      </w:pPr>
      <w:r>
        <w:t>Improving the business case for participation</w:t>
      </w:r>
    </w:p>
    <w:p w:rsidR="00D91512" w:rsidRDefault="00D91512" w:rsidP="004F30D0">
      <w:pPr>
        <w:pStyle w:val="BodyText100ThemeColour"/>
      </w:pPr>
      <w:r>
        <w:t>Submissions provided feedback on the balance between cost of participation, potential incentives and scheme rigour, noting the follow key points:</w:t>
      </w:r>
    </w:p>
    <w:p w:rsidR="00D91512" w:rsidRPr="004F30D0" w:rsidRDefault="00D91512" w:rsidP="004F30D0">
      <w:pPr>
        <w:pStyle w:val="ListBullet"/>
        <w:rPr>
          <w:color w:val="0072CE" w:themeColor="text2"/>
        </w:rPr>
      </w:pPr>
      <w:r w:rsidRPr="004F30D0">
        <w:rPr>
          <w:color w:val="0072CE" w:themeColor="text2"/>
        </w:rPr>
        <w:t>The need to adopt a streamlined and risk-based approach to administration, compliance and assessment</w:t>
      </w:r>
    </w:p>
    <w:p w:rsidR="00D91512" w:rsidRPr="004F30D0" w:rsidRDefault="00D91512" w:rsidP="004F30D0">
      <w:pPr>
        <w:pStyle w:val="ListBullet"/>
        <w:rPr>
          <w:color w:val="0072CE" w:themeColor="text2"/>
        </w:rPr>
      </w:pPr>
      <w:r w:rsidRPr="004F30D0">
        <w:rPr>
          <w:color w:val="0072CE" w:themeColor="text2"/>
        </w:rPr>
        <w:t>Instituting ongoing reviews of the method to identify opportunities to reduce hurdles to participation</w:t>
      </w:r>
    </w:p>
    <w:p w:rsidR="00D91512" w:rsidRPr="004F30D0" w:rsidRDefault="00D91512" w:rsidP="004F30D0">
      <w:pPr>
        <w:pStyle w:val="ListBullet"/>
        <w:rPr>
          <w:color w:val="0072CE" w:themeColor="text2"/>
        </w:rPr>
      </w:pPr>
      <w:r w:rsidRPr="004F30D0">
        <w:rPr>
          <w:color w:val="0072CE" w:themeColor="text2"/>
        </w:rPr>
        <w:t>C</w:t>
      </w:r>
      <w:r w:rsidR="005974C6">
        <w:rPr>
          <w:color w:val="0072CE" w:themeColor="text2"/>
        </w:rPr>
        <w:t>lose collaboration between the d</w:t>
      </w:r>
      <w:r w:rsidRPr="004F30D0">
        <w:rPr>
          <w:color w:val="0072CE" w:themeColor="text2"/>
        </w:rPr>
        <w:t>epartment and the Essential Services Commission (ESC)</w:t>
      </w:r>
    </w:p>
    <w:p w:rsidR="001E2D3E" w:rsidRDefault="005974C6" w:rsidP="00D91512">
      <w:pPr>
        <w:pStyle w:val="BodyText"/>
      </w:pPr>
      <w:r>
        <w:t>The d</w:t>
      </w:r>
      <w:r w:rsidR="00D91512">
        <w:t xml:space="preserve">epartment and the ESC </w:t>
      </w:r>
      <w:r w:rsidR="001E2D3E">
        <w:t>have taken a collaborative approach to</w:t>
      </w:r>
      <w:r w:rsidR="00D91512">
        <w:t xml:space="preserve"> developing the M&amp;V method</w:t>
      </w:r>
      <w:r w:rsidR="001E2D3E">
        <w:t xml:space="preserve"> and have identified several opportunities to provide flexibility, including:</w:t>
      </w:r>
    </w:p>
    <w:p w:rsidR="00D91512" w:rsidRDefault="001E2D3E" w:rsidP="001E2D3E">
      <w:pPr>
        <w:pStyle w:val="ListBullet"/>
      </w:pPr>
      <w:r>
        <w:t>A</w:t>
      </w:r>
      <w:r w:rsidR="00D91512">
        <w:t xml:space="preserve">voiding, where possible, </w:t>
      </w:r>
      <w:r>
        <w:t>rigid</w:t>
      </w:r>
      <w:r w:rsidR="00D91512">
        <w:t xml:space="preserve"> requirements </w:t>
      </w:r>
      <w:r w:rsidR="00C2452E">
        <w:t xml:space="preserve">in the Regulations </w:t>
      </w:r>
      <w:r w:rsidR="00D91512">
        <w:t xml:space="preserve">(e.g. </w:t>
      </w:r>
      <w:r w:rsidR="00D91512" w:rsidRPr="00C2452E">
        <w:rPr>
          <w:i/>
        </w:rPr>
        <w:t>x</w:t>
      </w:r>
      <w:r w:rsidR="00D91512">
        <w:t xml:space="preserve"> provided by </w:t>
      </w:r>
      <w:r w:rsidR="00D91512" w:rsidRPr="00C2452E">
        <w:rPr>
          <w:i/>
        </w:rPr>
        <w:t>y</w:t>
      </w:r>
      <w:r w:rsidR="00D91512">
        <w:t xml:space="preserve"> date) that would limit the ability of the ESC to streamline p</w:t>
      </w:r>
      <w:r>
        <w:t>rocesses</w:t>
      </w:r>
    </w:p>
    <w:p w:rsidR="001E2D3E" w:rsidRDefault="001E2D3E" w:rsidP="001E2D3E">
      <w:pPr>
        <w:pStyle w:val="ListBullet"/>
      </w:pPr>
      <w:r>
        <w:t>Facilitating the ESC’s risk-based approach, which balances scheme risk and regulatory activities</w:t>
      </w:r>
    </w:p>
    <w:p w:rsidR="00D91512" w:rsidRDefault="005932E8" w:rsidP="00D91512">
      <w:pPr>
        <w:pStyle w:val="BodyText"/>
      </w:pPr>
      <w:r>
        <w:t>Recognising that the M&amp;V method is a significant change for the scheme, t</w:t>
      </w:r>
      <w:r w:rsidR="005974C6">
        <w:t>he d</w:t>
      </w:r>
      <w:r w:rsidR="00D91512">
        <w:t xml:space="preserve">epartment will </w:t>
      </w:r>
      <w:r w:rsidR="001E2D3E">
        <w:t>convene a</w:t>
      </w:r>
      <w:r w:rsidR="00D91512">
        <w:t xml:space="preserve"> stakeholder </w:t>
      </w:r>
      <w:r w:rsidR="001E2D3E">
        <w:t>reference panel</w:t>
      </w:r>
      <w:r w:rsidR="00D91512">
        <w:t xml:space="preserve"> to review the operation of the method in practice and to identify opportunities for</w:t>
      </w:r>
      <w:r w:rsidR="001E2D3E">
        <w:t xml:space="preserve"> improvement and uptake</w:t>
      </w:r>
      <w:r w:rsidR="00D91512">
        <w:t>.</w:t>
      </w:r>
      <w:r w:rsidR="005974C6">
        <w:t xml:space="preserve"> In addition, the d</w:t>
      </w:r>
      <w:r w:rsidR="001E2D3E">
        <w:t xml:space="preserve">epartment </w:t>
      </w:r>
      <w:r w:rsidR="001E2D3E">
        <w:lastRenderedPageBreak/>
        <w:t xml:space="preserve">will review the method after </w:t>
      </w:r>
      <w:r w:rsidR="004F29BF">
        <w:t>sufficient projects have been completed</w:t>
      </w:r>
      <w:r w:rsidR="001E2D3E">
        <w:t xml:space="preserve"> and as part of this seek broad stakeholder feedback</w:t>
      </w:r>
      <w:r>
        <w:t xml:space="preserve"> for improvement</w:t>
      </w:r>
      <w:r w:rsidR="001E2D3E">
        <w:t xml:space="preserve">. </w:t>
      </w:r>
    </w:p>
    <w:p w:rsidR="00D91512" w:rsidRDefault="00D91512" w:rsidP="00D91512">
      <w:pPr>
        <w:pStyle w:val="Heading2"/>
      </w:pPr>
      <w:r>
        <w:t>Eligibility of projects</w:t>
      </w:r>
    </w:p>
    <w:p w:rsidR="00D91512" w:rsidRDefault="00D91512" w:rsidP="00D91512">
      <w:pPr>
        <w:pStyle w:val="BodyText"/>
      </w:pPr>
      <w:r>
        <w:t>There are several ways in which the Regulations define whether a project is eligible. Submissions raised a number of points relating to eligibility, which will be responded to in turn</w:t>
      </w:r>
      <w:r w:rsidR="001E2D3E">
        <w:t xml:space="preserve"> as follows</w:t>
      </w:r>
      <w:r>
        <w:t>.</w:t>
      </w:r>
    </w:p>
    <w:p w:rsidR="00D91512" w:rsidRDefault="00D91512" w:rsidP="00D91512">
      <w:pPr>
        <w:pStyle w:val="Heading3"/>
      </w:pPr>
      <w:r>
        <w:t>Prescribed greenhouse gas schemes and double-counting</w:t>
      </w:r>
    </w:p>
    <w:p w:rsidR="004F30D0" w:rsidRDefault="001E2D3E" w:rsidP="00D91512">
      <w:pPr>
        <w:pStyle w:val="BodyText"/>
      </w:pPr>
      <w:r>
        <w:t>The VEET scheme prohibits participants from claiming incentives from both VEET and another pr</w:t>
      </w:r>
      <w:r w:rsidR="004F30D0">
        <w:t xml:space="preserve">escribed greenhouse gas scheme </w:t>
      </w:r>
      <w:r>
        <w:t>such as the Renewable Energy Target (RET)</w:t>
      </w:r>
      <w:r w:rsidR="004F30D0">
        <w:t xml:space="preserve">. The exception is </w:t>
      </w:r>
      <w:r>
        <w:t>small-scale technology certificates</w:t>
      </w:r>
      <w:r w:rsidR="004F30D0">
        <w:t xml:space="preserve"> (STCs)</w:t>
      </w:r>
      <w:r>
        <w:t xml:space="preserve"> </w:t>
      </w:r>
      <w:r w:rsidR="00DE6C6B">
        <w:t xml:space="preserve">for </w:t>
      </w:r>
      <w:r>
        <w:t>solar water heat</w:t>
      </w:r>
      <w:r w:rsidR="00DE6C6B">
        <w:t>ers under the RET</w:t>
      </w:r>
      <w:r w:rsidR="004F29BF">
        <w:t xml:space="preserve"> and VEET Schedules 1 to 4</w:t>
      </w:r>
      <w:r>
        <w:t xml:space="preserve">. </w:t>
      </w:r>
    </w:p>
    <w:p w:rsidR="00D91512" w:rsidRDefault="00D91512" w:rsidP="004F30D0">
      <w:pPr>
        <w:pStyle w:val="BodyText100ThemeColour"/>
      </w:pPr>
      <w:r>
        <w:t xml:space="preserve">Stakeholders had mixed views on </w:t>
      </w:r>
      <w:r w:rsidR="004F30D0">
        <w:t>this issue, with some supporting the status quo, and others preferring that this exception is removed.</w:t>
      </w:r>
    </w:p>
    <w:p w:rsidR="00D91512" w:rsidRDefault="005974C6" w:rsidP="00D91512">
      <w:pPr>
        <w:pStyle w:val="BodyText"/>
      </w:pPr>
      <w:r>
        <w:t>The d</w:t>
      </w:r>
      <w:r w:rsidR="00D91512">
        <w:t xml:space="preserve">epartment has </w:t>
      </w:r>
      <w:r w:rsidR="004F29BF">
        <w:t>constrained</w:t>
      </w:r>
      <w:r w:rsidR="004F30D0">
        <w:t xml:space="preserve"> the exception </w:t>
      </w:r>
      <w:r w:rsidR="004F29BF">
        <w:t>to Schedule 1 to 4 activities. M&amp;V projects using solar water heating cannot claim both</w:t>
      </w:r>
      <w:r w:rsidR="00D91512">
        <w:t>.</w:t>
      </w:r>
    </w:p>
    <w:p w:rsidR="00D91512" w:rsidRDefault="00D91512" w:rsidP="00D91512">
      <w:pPr>
        <w:pStyle w:val="Heading3"/>
      </w:pPr>
      <w:r>
        <w:t>Ongoing improvement versus one-off upgrades</w:t>
      </w:r>
    </w:p>
    <w:p w:rsidR="00D91512" w:rsidRDefault="00D91512" w:rsidP="004F30D0">
      <w:pPr>
        <w:pStyle w:val="BodyText100ThemeColour"/>
      </w:pPr>
      <w:r>
        <w:t>Some submissions said that the method should allow ongoing programs of upgrade and improvement, not just one-off projects.</w:t>
      </w:r>
    </w:p>
    <w:p w:rsidR="005A00E6" w:rsidRDefault="005A00E6" w:rsidP="005A00E6">
      <w:pPr>
        <w:pStyle w:val="BodyText"/>
      </w:pPr>
      <w:r>
        <w:t xml:space="preserve">Greater flexibility has been incorporated into the </w:t>
      </w:r>
      <w:r w:rsidR="002D329E">
        <w:t>method</w:t>
      </w:r>
      <w:r>
        <w:t>. The project plan may be varied, allowing for projects to be carried out over an extended period of time. The only restrictions</w:t>
      </w:r>
      <w:r w:rsidR="00C2452E">
        <w:t xml:space="preserve"> on varying a project plan</w:t>
      </w:r>
      <w:r>
        <w:t xml:space="preserve"> are that the project </w:t>
      </w:r>
      <w:r w:rsidR="00C2452E">
        <w:t>description has</w:t>
      </w:r>
      <w:r>
        <w:t xml:space="preserve"> not substantially changed, the scope of services and energy sources affected are not expanded, and it is at the same site. </w:t>
      </w:r>
      <w:r w:rsidR="002D329E">
        <w:t>T</w:t>
      </w:r>
      <w:r>
        <w:t xml:space="preserve">he baseline energy model must </w:t>
      </w:r>
      <w:r w:rsidR="002D329E">
        <w:t xml:space="preserve">also </w:t>
      </w:r>
      <w:r>
        <w:t>remain valid.</w:t>
      </w:r>
    </w:p>
    <w:p w:rsidR="005A00E6" w:rsidRDefault="005A00E6" w:rsidP="005A00E6">
      <w:pPr>
        <w:pStyle w:val="BodyText"/>
      </w:pPr>
      <w:r>
        <w:t>For example, under the same project plan a project could upgrade a single motor to pilot the M&amp;V calculation and certificate creation process, followed by similar upgrades to other motors.</w:t>
      </w:r>
    </w:p>
    <w:p w:rsidR="00D91512" w:rsidRDefault="00D91512" w:rsidP="00D91512">
      <w:pPr>
        <w:pStyle w:val="Heading3"/>
      </w:pPr>
      <w:r>
        <w:t>Multi-site projects</w:t>
      </w:r>
    </w:p>
    <w:p w:rsidR="00D91512" w:rsidRDefault="00D91512" w:rsidP="004F30D0">
      <w:pPr>
        <w:pStyle w:val="BodyText100ThemeColour"/>
      </w:pPr>
      <w:r>
        <w:t>Submissions stated that the method should allow multi-site projects to reduce costs and be inclusive of smaller projects.</w:t>
      </w:r>
    </w:p>
    <w:p w:rsidR="00D91512" w:rsidRDefault="00D91512" w:rsidP="00D91512">
      <w:pPr>
        <w:pStyle w:val="BodyText"/>
      </w:pPr>
      <w:r>
        <w:t>The Regulation</w:t>
      </w:r>
      <w:r w:rsidR="00C2452E">
        <w:t>s</w:t>
      </w:r>
      <w:r>
        <w:t xml:space="preserve"> do not allow for projects over more than one site. This </w:t>
      </w:r>
      <w:r w:rsidR="00DE6C6B">
        <w:t>is</w:t>
      </w:r>
      <w:r>
        <w:t xml:space="preserve"> because, within the legal framework of the VEET scheme, the legislative complexity of a multi-site approach for the M&amp;V method was </w:t>
      </w:r>
      <w:r w:rsidR="00DE6C6B">
        <w:t>excessive</w:t>
      </w:r>
      <w:r>
        <w:t>. In addition, the M&amp;V method is likely to be onerous for smaller upgrades.</w:t>
      </w:r>
      <w:r w:rsidR="00DE6C6B">
        <w:t xml:space="preserve"> </w:t>
      </w:r>
    </w:p>
    <w:p w:rsidR="00D91512" w:rsidRDefault="005974C6" w:rsidP="00D91512">
      <w:pPr>
        <w:pStyle w:val="BodyText"/>
      </w:pPr>
      <w:r>
        <w:t>The method does allow</w:t>
      </w:r>
      <w:r w:rsidR="00D91512">
        <w:t xml:space="preserve"> a </w:t>
      </w:r>
      <w:r>
        <w:t xml:space="preserve">single-site </w:t>
      </w:r>
      <w:r w:rsidR="00D91512">
        <w:t xml:space="preserve">sampling approach </w:t>
      </w:r>
      <w:r>
        <w:t xml:space="preserve">that </w:t>
      </w:r>
      <w:r w:rsidR="00D91512">
        <w:t>could be used</w:t>
      </w:r>
      <w:r w:rsidR="002D329E">
        <w:t xml:space="preserve"> </w:t>
      </w:r>
      <w:r w:rsidR="00D91512">
        <w:t xml:space="preserve">to reduce </w:t>
      </w:r>
      <w:r>
        <w:t xml:space="preserve">the </w:t>
      </w:r>
      <w:r w:rsidR="00D91512">
        <w:t>measurement burden</w:t>
      </w:r>
      <w:r>
        <w:t xml:space="preserve"> for projects involving multiple similar upgrades</w:t>
      </w:r>
      <w:r w:rsidR="00D91512">
        <w:t>.</w:t>
      </w:r>
    </w:p>
    <w:p w:rsidR="00D91512" w:rsidRDefault="00D91512" w:rsidP="00D91512">
      <w:pPr>
        <w:pStyle w:val="BodyText"/>
      </w:pPr>
      <w:r>
        <w:t>Th</w:t>
      </w:r>
      <w:r w:rsidR="005974C6">
        <w:t>e d</w:t>
      </w:r>
      <w:r>
        <w:t>epartment is of the vie</w:t>
      </w:r>
      <w:r w:rsidR="005974C6">
        <w:t>w that efficiencies for multi-site</w:t>
      </w:r>
      <w:r>
        <w:t xml:space="preserve"> projects can be largely achieved at the administrative level.</w:t>
      </w:r>
      <w:r w:rsidR="00DE6C6B">
        <w:t xml:space="preserve"> </w:t>
      </w:r>
      <w:proofErr w:type="spellStart"/>
      <w:r w:rsidR="00DE6C6B">
        <w:t>Futhermore</w:t>
      </w:r>
      <w:proofErr w:type="spellEnd"/>
      <w:r w:rsidR="00DE6C6B">
        <w:t xml:space="preserve">, smaller upgrades over multiple sites </w:t>
      </w:r>
      <w:r w:rsidR="002D329E">
        <w:t>may</w:t>
      </w:r>
      <w:r w:rsidR="00DE6C6B">
        <w:t xml:space="preserve"> be better served by a </w:t>
      </w:r>
      <w:r>
        <w:t xml:space="preserve">dedicated method </w:t>
      </w:r>
      <w:r w:rsidR="00DE6C6B">
        <w:t>that</w:t>
      </w:r>
      <w:r>
        <w:t xml:space="preserve"> achieve</w:t>
      </w:r>
      <w:r w:rsidR="00DE6C6B">
        <w:t>s</w:t>
      </w:r>
      <w:r>
        <w:t xml:space="preserve"> a better match between rigour</w:t>
      </w:r>
      <w:r w:rsidR="005974C6">
        <w:t xml:space="preserve"> and incentives. The d</w:t>
      </w:r>
      <w:r>
        <w:t xml:space="preserve">epartment will consider </w:t>
      </w:r>
      <w:r w:rsidR="002D329E">
        <w:t>options for future methods</w:t>
      </w:r>
      <w:r>
        <w:t>.</w:t>
      </w:r>
    </w:p>
    <w:p w:rsidR="00D91512" w:rsidRDefault="00D91512" w:rsidP="00D91512">
      <w:pPr>
        <w:pStyle w:val="Heading3"/>
      </w:pPr>
      <w:r>
        <w:t>Timing of the project plan</w:t>
      </w:r>
    </w:p>
    <w:p w:rsidR="00D91512" w:rsidRDefault="00D91512" w:rsidP="004F30D0">
      <w:pPr>
        <w:pStyle w:val="BodyText100ThemeColour"/>
      </w:pPr>
      <w:r>
        <w:t xml:space="preserve">Several submissions expressed concern that </w:t>
      </w:r>
      <w:r w:rsidR="00F44A56">
        <w:t>the process of applying to register a project</w:t>
      </w:r>
      <w:r>
        <w:t xml:space="preserve"> will cause bottlenecks.</w:t>
      </w:r>
    </w:p>
    <w:p w:rsidR="00F44A56" w:rsidRDefault="00F44A56" w:rsidP="00D91512">
      <w:pPr>
        <w:pStyle w:val="BodyText"/>
      </w:pPr>
      <w:r>
        <w:t>The process has been revised following legal review, and is now configured as follows:</w:t>
      </w:r>
    </w:p>
    <w:p w:rsidR="00F44A56" w:rsidRDefault="00F44A56" w:rsidP="00F44A56">
      <w:pPr>
        <w:pStyle w:val="ListBullet"/>
      </w:pPr>
      <w:r>
        <w:t>The application process has been split into two steps: scoping approval and project plan approval</w:t>
      </w:r>
    </w:p>
    <w:p w:rsidR="00F44A56" w:rsidRDefault="00217DDE" w:rsidP="00F44A56">
      <w:pPr>
        <w:pStyle w:val="ListBullet"/>
      </w:pPr>
      <w:r>
        <w:t>Scoping approval is largely a confirmation of eligibility and does not require any M&amp;V planning to have been carried out</w:t>
      </w:r>
    </w:p>
    <w:p w:rsidR="00F44A56" w:rsidRDefault="00F44A56" w:rsidP="00F44A56">
      <w:pPr>
        <w:pStyle w:val="ListBullet"/>
      </w:pPr>
      <w:r>
        <w:t>An application for scoping approval</w:t>
      </w:r>
      <w:r w:rsidR="00217DDE">
        <w:t xml:space="preserve"> must be approved by the ESC prior to works commencing on site. This is </w:t>
      </w:r>
      <w:r w:rsidR="00217DDE" w:rsidRPr="00217DDE">
        <w:t>to satisfy section 15 of the Act</w:t>
      </w:r>
      <w:r w:rsidR="00217DDE">
        <w:t>, which deals with additionality</w:t>
      </w:r>
    </w:p>
    <w:p w:rsidR="00217DDE" w:rsidRDefault="00217DDE" w:rsidP="00F44A56">
      <w:pPr>
        <w:pStyle w:val="ListBullet"/>
      </w:pPr>
      <w:r>
        <w:t>Project plan approval involves more detail, including an M&amp;V plan for the project and information that will inform the ESC’s risk-based approach to regulation</w:t>
      </w:r>
      <w:r w:rsidR="002D329E">
        <w:t>. However</w:t>
      </w:r>
      <w:r w:rsidR="005974C6">
        <w:t>,</w:t>
      </w:r>
      <w:r w:rsidR="002D329E">
        <w:t xml:space="preserve"> it does not require further M&amp;V </w:t>
      </w:r>
      <w:r w:rsidR="001A591E">
        <w:t>to be carried out</w:t>
      </w:r>
    </w:p>
    <w:p w:rsidR="00217DDE" w:rsidRDefault="00217DDE" w:rsidP="00F44A56">
      <w:pPr>
        <w:pStyle w:val="ListBullet"/>
      </w:pPr>
      <w:r>
        <w:t>An application for project plan approval must be received (not necessarily approved) prior to the time that all changes to be impl</w:t>
      </w:r>
      <w:r w:rsidR="00D62CCC">
        <w:t>emented as part of the project, including commissioning, are capable of commencing</w:t>
      </w:r>
    </w:p>
    <w:p w:rsidR="00D91512" w:rsidRDefault="00D91512" w:rsidP="00D91512">
      <w:pPr>
        <w:pStyle w:val="Heading2"/>
      </w:pPr>
      <w:r>
        <w:t>Public register of projects</w:t>
      </w:r>
    </w:p>
    <w:p w:rsidR="00D91512" w:rsidRDefault="00D91512" w:rsidP="00D91512">
      <w:pPr>
        <w:pStyle w:val="BodyText"/>
      </w:pPr>
      <w:r>
        <w:t>The</w:t>
      </w:r>
      <w:r w:rsidR="00C2452E">
        <w:t xml:space="preserve"> </w:t>
      </w:r>
      <w:r>
        <w:t xml:space="preserve">draft </w:t>
      </w:r>
      <w:r w:rsidR="002D329E">
        <w:t>proposed</w:t>
      </w:r>
      <w:r>
        <w:t xml:space="preserve"> a public register of projects for which project plans have been approved. The purpose of such a register is to assist APs in managing potential overlapping projects and double counting</w:t>
      </w:r>
      <w:r w:rsidR="004F30D0">
        <w:t xml:space="preserve"> of VEECs</w:t>
      </w:r>
      <w:r>
        <w:t>.</w:t>
      </w:r>
    </w:p>
    <w:p w:rsidR="00D91512" w:rsidRDefault="00D91512" w:rsidP="004F30D0">
      <w:pPr>
        <w:pStyle w:val="BodyText100ThemeColour"/>
      </w:pPr>
      <w:r>
        <w:t xml:space="preserve">Stakeholders were broadly supportive of a public register of M&amp;V projects as it would promote VEEC market transparency and be useful to consumers and APs. Stakeholders felt that public information should be limited to that required to identify overlap, and </w:t>
      </w:r>
      <w:r w:rsidR="004F30D0">
        <w:t>that</w:t>
      </w:r>
      <w:r>
        <w:t xml:space="preserve"> </w:t>
      </w:r>
      <w:r w:rsidR="004F30D0">
        <w:t xml:space="preserve">responsibility to </w:t>
      </w:r>
      <w:r>
        <w:t>manage risk</w:t>
      </w:r>
      <w:r w:rsidR="004F30D0">
        <w:t>s should be left with APs</w:t>
      </w:r>
      <w:r>
        <w:t>.</w:t>
      </w:r>
    </w:p>
    <w:p w:rsidR="00D91512" w:rsidRDefault="00D91512" w:rsidP="00D91512">
      <w:pPr>
        <w:pStyle w:val="BodyText"/>
      </w:pPr>
      <w:r>
        <w:t>The Regulation</w:t>
      </w:r>
      <w:r w:rsidR="004F30D0">
        <w:t>s</w:t>
      </w:r>
      <w:r>
        <w:t xml:space="preserve"> give the ESC the power to publish a register of approved project plans which may include the name of the</w:t>
      </w:r>
      <w:r w:rsidR="002D329E">
        <w:t xml:space="preserve"> project and</w:t>
      </w:r>
      <w:r>
        <w:t xml:space="preserve"> AP, the project location and the method used. This is unchanged from the </w:t>
      </w:r>
      <w:r>
        <w:lastRenderedPageBreak/>
        <w:t>consultation draft</w:t>
      </w:r>
      <w:r w:rsidR="002D329E">
        <w:t xml:space="preserve"> except for the project name</w:t>
      </w:r>
      <w:r>
        <w:t>. The process provides a safeguard against the listing of speculative</w:t>
      </w:r>
      <w:r w:rsidR="004F30D0">
        <w:t xml:space="preserve"> or ‘placeholder’-type</w:t>
      </w:r>
      <w:r>
        <w:t xml:space="preserve"> projects.</w:t>
      </w:r>
    </w:p>
    <w:p w:rsidR="00D91512" w:rsidRDefault="00D91512" w:rsidP="00D91512">
      <w:pPr>
        <w:pStyle w:val="Heading2"/>
      </w:pPr>
      <w:r>
        <w:t>Product requirements</w:t>
      </w:r>
    </w:p>
    <w:p w:rsidR="00D91512" w:rsidRDefault="00D91512" w:rsidP="00D91512">
      <w:pPr>
        <w:pStyle w:val="BodyText"/>
      </w:pPr>
      <w:r>
        <w:t>Two product requirements were proposed in the</w:t>
      </w:r>
      <w:r w:rsidR="00173932">
        <w:t xml:space="preserve"> consultation draft</w:t>
      </w:r>
      <w:r>
        <w:t>:</w:t>
      </w:r>
    </w:p>
    <w:p w:rsidR="00D91512" w:rsidRPr="00D91512" w:rsidRDefault="00D91512" w:rsidP="00D91512">
      <w:pPr>
        <w:pStyle w:val="ListBullet"/>
      </w:pPr>
      <w:r w:rsidRPr="00D91512">
        <w:t>A requirement for new products to be on the ESC register, if products of that size and type are listed on the ESC register</w:t>
      </w:r>
    </w:p>
    <w:p w:rsidR="00D91512" w:rsidRDefault="00D91512" w:rsidP="00D91512">
      <w:pPr>
        <w:pStyle w:val="ListBullet"/>
      </w:pPr>
      <w:r w:rsidRPr="00D91512">
        <w:t>A requirement to decommission products, if products of that type must be decommissioned on other schedules</w:t>
      </w:r>
    </w:p>
    <w:p w:rsidR="00D91512" w:rsidRDefault="00D91512" w:rsidP="004F30D0">
      <w:pPr>
        <w:pStyle w:val="BodyText100ThemeColour"/>
      </w:pPr>
      <w:r>
        <w:t xml:space="preserve">Submissions stated that, while most support the policy intent of consistency in products and decommissioning, it is likely that these requirements </w:t>
      </w:r>
      <w:r w:rsidR="00173932">
        <w:t>would</w:t>
      </w:r>
      <w:r>
        <w:t xml:space="preserve"> create unintended barriers to participation. Specifically, the use of the ESC register may preclude or complicate the use of unregulated or custom products, and the decommissioning rules may not translate well to all contexts.</w:t>
      </w:r>
    </w:p>
    <w:p w:rsidR="00D91512" w:rsidRDefault="005974C6" w:rsidP="00D91512">
      <w:pPr>
        <w:pStyle w:val="BodyText"/>
      </w:pPr>
      <w:r>
        <w:t>The d</w:t>
      </w:r>
      <w:r w:rsidR="00D91512">
        <w:t xml:space="preserve">epartment has amended these aspects to apply only to lighting equipment installed or removed as part of a project. </w:t>
      </w:r>
      <w:r w:rsidR="00236AFE">
        <w:t xml:space="preserve">This </w:t>
      </w:r>
      <w:r w:rsidR="00C2452E">
        <w:t>ensures consistency with current scheme requirements</w:t>
      </w:r>
      <w:r w:rsidR="002D329E" w:rsidRPr="002D329E">
        <w:t xml:space="preserve"> </w:t>
      </w:r>
      <w:r w:rsidR="002D329E">
        <w:t>for lighting installations</w:t>
      </w:r>
      <w:r w:rsidR="00C2452E">
        <w:t>, while retaining flexibility for other technologies.</w:t>
      </w:r>
    </w:p>
    <w:p w:rsidR="00D91512" w:rsidRDefault="00D91512" w:rsidP="00D91512">
      <w:pPr>
        <w:pStyle w:val="Heading2"/>
      </w:pPr>
      <w:r>
        <w:t>Mechanics of the method</w:t>
      </w:r>
    </w:p>
    <w:p w:rsidR="00D91512" w:rsidRDefault="00D91512" w:rsidP="00D91512">
      <w:pPr>
        <w:pStyle w:val="BodyText"/>
      </w:pPr>
      <w:r>
        <w:t>Several stakeholders provided detailed feedback on the inner workings of the method, summarised as follows.</w:t>
      </w:r>
    </w:p>
    <w:p w:rsidR="00D91512" w:rsidRDefault="00D91512" w:rsidP="00D91512">
      <w:pPr>
        <w:pStyle w:val="Heading3"/>
      </w:pPr>
      <w:r>
        <w:t>Use of other energy sources</w:t>
      </w:r>
    </w:p>
    <w:p w:rsidR="00D91512" w:rsidRDefault="00D91512" w:rsidP="00236AFE">
      <w:pPr>
        <w:pStyle w:val="BodyText100ThemeColour"/>
      </w:pPr>
      <w:r>
        <w:t xml:space="preserve">Discussions with stakeholders during the consultation period made clear that potential M&amp;V projects may include transition away from electricity and gas towards renewable energy sources. </w:t>
      </w:r>
    </w:p>
    <w:p w:rsidR="00D91512" w:rsidRDefault="00D91512" w:rsidP="00D91512">
      <w:pPr>
        <w:pStyle w:val="BodyText"/>
      </w:pPr>
      <w:r>
        <w:t>In response, new sections have been added to explicitly allow renewable energy generation to be included as part of a project. The method defines renewable energy as an energy source</w:t>
      </w:r>
      <w:r w:rsidR="00236AFE">
        <w:t xml:space="preserve"> that is not fossil fuel</w:t>
      </w:r>
      <w:r w:rsidR="002621D8">
        <w:t>, derived from fossil fuel</w:t>
      </w:r>
      <w:r w:rsidR="00236AFE">
        <w:t xml:space="preserve"> </w:t>
      </w:r>
      <w:r>
        <w:t xml:space="preserve">or biomass from native forests. </w:t>
      </w:r>
    </w:p>
    <w:p w:rsidR="00D91512" w:rsidRDefault="00236AFE" w:rsidP="00D91512">
      <w:pPr>
        <w:pStyle w:val="BodyText"/>
      </w:pPr>
      <w:r>
        <w:t>Any r</w:t>
      </w:r>
      <w:r w:rsidR="00D91512">
        <w:t>enewable generation must be accounted for within the measurement boundary, which means that energy may not be exported. This is to ensure that the VEET scheme only credits genuine fuel switching</w:t>
      </w:r>
      <w:r w:rsidR="00173932">
        <w:t xml:space="preserve"> and that it does not interact with other renewable energy policies</w:t>
      </w:r>
      <w:r w:rsidR="00D91512">
        <w:t>.</w:t>
      </w:r>
    </w:p>
    <w:p w:rsidR="00236AFE" w:rsidRDefault="00236AFE" w:rsidP="00D91512">
      <w:pPr>
        <w:pStyle w:val="BodyText"/>
      </w:pPr>
      <w:r>
        <w:t>A</w:t>
      </w:r>
      <w:r w:rsidR="0035062C">
        <w:t>n M&amp;V</w:t>
      </w:r>
      <w:r>
        <w:t xml:space="preserve"> project </w:t>
      </w:r>
      <w:r w:rsidR="005932E8">
        <w:t>can</w:t>
      </w:r>
      <w:r>
        <w:t xml:space="preserve">not claim both VEECs and </w:t>
      </w:r>
      <w:r w:rsidR="002621D8">
        <w:t xml:space="preserve">RET </w:t>
      </w:r>
      <w:r w:rsidR="0035062C">
        <w:t>incentives</w:t>
      </w:r>
      <w:r>
        <w:t>.</w:t>
      </w:r>
    </w:p>
    <w:p w:rsidR="00D91512" w:rsidRDefault="00D91512" w:rsidP="00D91512">
      <w:pPr>
        <w:pStyle w:val="Heading3"/>
      </w:pPr>
      <w:r>
        <w:t>Measuring the baseline after implementation</w:t>
      </w:r>
    </w:p>
    <w:p w:rsidR="002B6806" w:rsidRDefault="00D91512" w:rsidP="00D91512">
      <w:pPr>
        <w:pStyle w:val="BodyText"/>
      </w:pPr>
      <w:r>
        <w:t>The proposal included an option to take baseline measurements after implement</w:t>
      </w:r>
      <w:r w:rsidR="005932E8">
        <w:t>ation</w:t>
      </w:r>
      <w:r>
        <w:t xml:space="preserve">, providing it </w:t>
      </w:r>
      <w:r w:rsidR="005932E8">
        <w:t>is</w:t>
      </w:r>
      <w:r>
        <w:t xml:space="preserve"> possible to temporarily disable the effects of the project. </w:t>
      </w:r>
    </w:p>
    <w:p w:rsidR="00D91512" w:rsidRDefault="00D91512" w:rsidP="002B6806">
      <w:pPr>
        <w:pStyle w:val="BodyText100ThemeColour"/>
      </w:pPr>
      <w:r>
        <w:t>Stakeholders were supportive of this inclusion as it provides practical flexibility.</w:t>
      </w:r>
    </w:p>
    <w:p w:rsidR="00D91512" w:rsidRDefault="00D91512" w:rsidP="00B44172">
      <w:pPr>
        <w:pStyle w:val="Heading3"/>
      </w:pPr>
      <w:r>
        <w:t>Moderating the impact of effective range</w:t>
      </w:r>
    </w:p>
    <w:p w:rsidR="00D91512" w:rsidRDefault="00D91512" w:rsidP="002B6806">
      <w:pPr>
        <w:pStyle w:val="BodyText100ThemeColour"/>
      </w:pPr>
      <w:r>
        <w:t>Stakeholders made suggestions for moderating the impact of the effective range on incentives, specifically:</w:t>
      </w:r>
    </w:p>
    <w:p w:rsidR="00D91512" w:rsidRPr="002B6806" w:rsidRDefault="00D91512" w:rsidP="002B6806">
      <w:pPr>
        <w:pStyle w:val="ListBullet"/>
        <w:rPr>
          <w:color w:val="0072CE" w:themeColor="text2"/>
        </w:rPr>
      </w:pPr>
      <w:r w:rsidRPr="002B6806">
        <w:rPr>
          <w:color w:val="0072CE" w:themeColor="text2"/>
        </w:rPr>
        <w:t xml:space="preserve">‘Counted </w:t>
      </w:r>
      <w:proofErr w:type="gramStart"/>
      <w:r w:rsidRPr="002B6806">
        <w:rPr>
          <w:color w:val="0072CE" w:themeColor="text2"/>
        </w:rPr>
        <w:t>savings’</w:t>
      </w:r>
      <w:proofErr w:type="gramEnd"/>
      <w:r w:rsidRPr="002B6806">
        <w:rPr>
          <w:color w:val="0072CE" w:themeColor="text2"/>
        </w:rPr>
        <w:t xml:space="preserve"> from certificates created using other </w:t>
      </w:r>
      <w:r w:rsidR="001A591E">
        <w:rPr>
          <w:color w:val="0072CE" w:themeColor="text2"/>
        </w:rPr>
        <w:t>methods in the VEET scheme</w:t>
      </w:r>
      <w:r w:rsidRPr="002B6806">
        <w:rPr>
          <w:color w:val="0072CE" w:themeColor="text2"/>
        </w:rPr>
        <w:t xml:space="preserve"> should be adjusted pro rata to the time intervals lost due to the effective range</w:t>
      </w:r>
    </w:p>
    <w:p w:rsidR="00D91512" w:rsidRPr="002B6806" w:rsidRDefault="00D91512" w:rsidP="002B6806">
      <w:pPr>
        <w:pStyle w:val="ListBullet"/>
        <w:rPr>
          <w:color w:val="0072CE" w:themeColor="text2"/>
        </w:rPr>
      </w:pPr>
      <w:r w:rsidRPr="002B6806">
        <w:rPr>
          <w:color w:val="0072CE" w:themeColor="text2"/>
        </w:rPr>
        <w:t>The relative precision should be calculated prior to applying the effective range</w:t>
      </w:r>
    </w:p>
    <w:p w:rsidR="00D91512" w:rsidRDefault="00D91512" w:rsidP="00D91512">
      <w:pPr>
        <w:pStyle w:val="BodyText"/>
      </w:pPr>
      <w:r>
        <w:t>The first of these suggestions has been adopted in the Regulation</w:t>
      </w:r>
      <w:r w:rsidR="00173932">
        <w:t>s</w:t>
      </w:r>
      <w:r w:rsidR="002B6806">
        <w:t>. In addition</w:t>
      </w:r>
      <w:r>
        <w:t xml:space="preserve">, </w:t>
      </w:r>
      <w:r w:rsidR="002B6806">
        <w:t xml:space="preserve">it </w:t>
      </w:r>
      <w:r w:rsidR="00173932">
        <w:t>has been made</w:t>
      </w:r>
      <w:r w:rsidR="002B6806">
        <w:t xml:space="preserve"> possible</w:t>
      </w:r>
      <w:r>
        <w:t xml:space="preserve"> to adjust the counted savings for the number of years that the</w:t>
      </w:r>
      <w:r w:rsidR="002B6806">
        <w:t>y</w:t>
      </w:r>
      <w:r>
        <w:t xml:space="preserve"> coincide with the remaining eligible annual reporting periods.</w:t>
      </w:r>
    </w:p>
    <w:p w:rsidR="00D91512" w:rsidRDefault="00D91512" w:rsidP="00D91512">
      <w:pPr>
        <w:pStyle w:val="BodyText"/>
      </w:pPr>
      <w:r>
        <w:t>The relative precision is to be calculated after applying the effective range. Savings are calculated based on eligible time intervals, and</w:t>
      </w:r>
      <w:r w:rsidR="00C2452E">
        <w:t xml:space="preserve"> therefore</w:t>
      </w:r>
      <w:r>
        <w:t xml:space="preserve"> ineligible time intervals cannot contribute to the precision of </w:t>
      </w:r>
      <w:r w:rsidR="00A8293F">
        <w:t>the model. This aligns with the</w:t>
      </w:r>
      <w:r>
        <w:t xml:space="preserve"> approach </w:t>
      </w:r>
      <w:r w:rsidR="00A8293F">
        <w:t xml:space="preserve">used in the New South Wales (NSW) Energy Savings Scheme (ESS) </w:t>
      </w:r>
      <w:r>
        <w:t xml:space="preserve">and rewards projects that create </w:t>
      </w:r>
      <w:r w:rsidR="001A591E">
        <w:t>more accurate</w:t>
      </w:r>
      <w:r>
        <w:t xml:space="preserve"> models.</w:t>
      </w:r>
    </w:p>
    <w:p w:rsidR="00D91512" w:rsidRDefault="00D91512" w:rsidP="00B44172">
      <w:pPr>
        <w:pStyle w:val="Heading3"/>
      </w:pPr>
      <w:r>
        <w:t>Clarifications and technical issues</w:t>
      </w:r>
    </w:p>
    <w:p w:rsidR="002B6806" w:rsidRDefault="00D91512" w:rsidP="002B6806">
      <w:pPr>
        <w:pStyle w:val="BodyText100ThemeColour"/>
      </w:pPr>
      <w:r>
        <w:t xml:space="preserve">A number of stakeholders </w:t>
      </w:r>
      <w:r w:rsidR="00C2452E">
        <w:t>requested</w:t>
      </w:r>
      <w:r>
        <w:t xml:space="preserve"> clarification on some points. </w:t>
      </w:r>
    </w:p>
    <w:p w:rsidR="00D91512" w:rsidRDefault="002B6806" w:rsidP="00D91512">
      <w:pPr>
        <w:pStyle w:val="BodyText"/>
      </w:pPr>
      <w:r>
        <w:t>These points</w:t>
      </w:r>
      <w:r w:rsidR="00C2452E">
        <w:t xml:space="preserve"> have been noted and will be considered when developing industry support materials.</w:t>
      </w:r>
      <w:r>
        <w:t xml:space="preserve"> </w:t>
      </w:r>
      <w:r w:rsidR="00C2452E">
        <w:t>T</w:t>
      </w:r>
      <w:r w:rsidR="00173932">
        <w:t xml:space="preserve">he </w:t>
      </w:r>
      <w:r w:rsidR="00C2452E">
        <w:t xml:space="preserve">points and the </w:t>
      </w:r>
      <w:r w:rsidR="005974C6">
        <w:t>d</w:t>
      </w:r>
      <w:r w:rsidR="00173932">
        <w:t>epartment’s</w:t>
      </w:r>
      <w:r>
        <w:t xml:space="preserve"> response</w:t>
      </w:r>
      <w:r w:rsidR="00D91512">
        <w:t xml:space="preserve"> are </w:t>
      </w:r>
      <w:r w:rsidR="00C2452E">
        <w:t>listed below</w:t>
      </w:r>
      <w:r w:rsidR="00D91512">
        <w:t>:</w:t>
      </w:r>
    </w:p>
    <w:p w:rsidR="00D91512" w:rsidRDefault="00D91512" w:rsidP="00B44172">
      <w:pPr>
        <w:pStyle w:val="ListBullet"/>
      </w:pPr>
      <w:r>
        <w:t>The definition of the implementation start time has been clarified to state that commissioning and testing are part of the implementation process</w:t>
      </w:r>
    </w:p>
    <w:p w:rsidR="00D91512" w:rsidRDefault="00D91512" w:rsidP="00B44172">
      <w:pPr>
        <w:pStyle w:val="ListBullet"/>
      </w:pPr>
      <w:r>
        <w:t>Additional definition has been provided at Equation 1 to clarify ‘counted savings’</w:t>
      </w:r>
    </w:p>
    <w:p w:rsidR="00D91512" w:rsidRDefault="00D91512" w:rsidP="00B44172">
      <w:pPr>
        <w:pStyle w:val="ListBullet"/>
      </w:pPr>
      <w:r>
        <w:t xml:space="preserve">The Low Carbon Australia (LCA) persistence </w:t>
      </w:r>
      <w:r w:rsidR="002B6806">
        <w:t xml:space="preserve">factor </w:t>
      </w:r>
      <w:r>
        <w:t xml:space="preserve">model is not explicitly noted in the </w:t>
      </w:r>
      <w:r w:rsidR="005932E8">
        <w:t>method</w:t>
      </w:r>
      <w:r>
        <w:t xml:space="preserve"> for legal drafting reasons</w:t>
      </w:r>
      <w:r w:rsidR="00C2452E">
        <w:t xml:space="preserve">; however, the </w:t>
      </w:r>
      <w:r w:rsidR="005932E8">
        <w:t>method provides for it to be used</w:t>
      </w:r>
    </w:p>
    <w:p w:rsidR="00D91512" w:rsidRDefault="00D91512" w:rsidP="00B44172">
      <w:pPr>
        <w:pStyle w:val="ListBullet"/>
      </w:pPr>
      <w:r>
        <w:t xml:space="preserve">The implication of </w:t>
      </w:r>
      <w:r w:rsidR="002B6806">
        <w:t>the timing of when an activity is deemed to have been carried out, and when the greenhouse gas reduction has occurred,</w:t>
      </w:r>
      <w:r>
        <w:t xml:space="preserve"> is that APs </w:t>
      </w:r>
      <w:r w:rsidR="002B6806">
        <w:t xml:space="preserve">will </w:t>
      </w:r>
      <w:r>
        <w:t xml:space="preserve">have at least 12 and at most 24 months after the end of the operating or reporting period in which to complete the calculation and other requirements of </w:t>
      </w:r>
      <w:r>
        <w:lastRenderedPageBreak/>
        <w:t xml:space="preserve">the ESC. The amount of time depends on the date </w:t>
      </w:r>
      <w:r w:rsidR="002B6806">
        <w:t>on</w:t>
      </w:r>
      <w:r>
        <w:t xml:space="preserve"> </w:t>
      </w:r>
      <w:r w:rsidR="002B6806">
        <w:t>which the relevant period ended</w:t>
      </w:r>
    </w:p>
    <w:p w:rsidR="00D91512" w:rsidRDefault="00D91512" w:rsidP="00B44172">
      <w:pPr>
        <w:pStyle w:val="ListBullet"/>
      </w:pPr>
      <w:r>
        <w:t xml:space="preserve">The method allows </w:t>
      </w:r>
      <w:r w:rsidR="001A591E">
        <w:t xml:space="preserve">regression </w:t>
      </w:r>
      <w:r>
        <w:t>models to be derived via complex computer algorithms</w:t>
      </w:r>
      <w:r w:rsidR="005932E8">
        <w:t xml:space="preserve"> provided the method can be followed correctly</w:t>
      </w:r>
    </w:p>
    <w:p w:rsidR="00D91512" w:rsidRDefault="00D91512" w:rsidP="00B44172">
      <w:pPr>
        <w:pStyle w:val="ListBullet"/>
      </w:pPr>
      <w:r>
        <w:t>The 5% allowance for the effective range has been reworded to clarify that the 5% applies to the difference between the maximum and minimum values of the effective range</w:t>
      </w:r>
    </w:p>
    <w:p w:rsidR="00D91512" w:rsidRDefault="00D91512" w:rsidP="00B44172">
      <w:pPr>
        <w:pStyle w:val="ListBullet"/>
      </w:pPr>
      <w:r>
        <w:t>All models require one or more site constants. A site constant is a parameter that would affect the energy use of the project but is not expected to change under normal conditions.</w:t>
      </w:r>
    </w:p>
    <w:p w:rsidR="00D91512" w:rsidRDefault="00D91512" w:rsidP="00B44172">
      <w:pPr>
        <w:pStyle w:val="Heading2"/>
      </w:pPr>
      <w:r>
        <w:t>Alignment with other energy efficiency schemes</w:t>
      </w:r>
    </w:p>
    <w:p w:rsidR="00D91512" w:rsidRDefault="00D91512" w:rsidP="00D91512">
      <w:pPr>
        <w:pStyle w:val="BodyText"/>
      </w:pPr>
      <w:r>
        <w:t>The M&amp;V method is based on, and closely aligned to, the Project Impact Assessment with Measurement and Verification (PIAM&amp;V) method from the NSW</w:t>
      </w:r>
      <w:r w:rsidR="00A8293F">
        <w:t xml:space="preserve"> </w:t>
      </w:r>
      <w:r>
        <w:t xml:space="preserve">ESS. </w:t>
      </w:r>
    </w:p>
    <w:p w:rsidR="00D91512" w:rsidRDefault="00D91512" w:rsidP="002B6806">
      <w:pPr>
        <w:pStyle w:val="BodyText100ThemeColour"/>
      </w:pPr>
      <w:r>
        <w:t>Stakeholders expressed strong support for alignment between the VEET scheme and the ESS, and stated that differences should only be included if they improve flexibility and economic feasibility.</w:t>
      </w:r>
    </w:p>
    <w:p w:rsidR="00D91512" w:rsidRDefault="00D91512" w:rsidP="00D91512">
      <w:pPr>
        <w:pStyle w:val="BodyText"/>
      </w:pPr>
      <w:r>
        <w:t>The following inclusions are points of difference that aim to improve flexibility and feasibility:</w:t>
      </w:r>
    </w:p>
    <w:p w:rsidR="00D91512" w:rsidRDefault="005932E8" w:rsidP="00B44172">
      <w:pPr>
        <w:pStyle w:val="ListBullet"/>
      </w:pPr>
      <w:r>
        <w:t>Measuring the baseline after implementation</w:t>
      </w:r>
    </w:p>
    <w:p w:rsidR="00D91512" w:rsidRDefault="005932E8" w:rsidP="00B44172">
      <w:pPr>
        <w:pStyle w:val="ListBullet"/>
      </w:pPr>
      <w:r>
        <w:t>Use of other energy sources</w:t>
      </w:r>
    </w:p>
    <w:p w:rsidR="00D91512" w:rsidRDefault="005932E8" w:rsidP="00B44172">
      <w:pPr>
        <w:pStyle w:val="ListBullet"/>
      </w:pPr>
      <w:r>
        <w:t>Moderating the impact of effective range</w:t>
      </w:r>
    </w:p>
    <w:p w:rsidR="00D91512" w:rsidRDefault="00D91512" w:rsidP="00D91512">
      <w:pPr>
        <w:pStyle w:val="BodyText"/>
      </w:pPr>
      <w:r>
        <w:t xml:space="preserve">Other </w:t>
      </w:r>
      <w:r w:rsidR="001A591E">
        <w:t>options remain excluded</w:t>
      </w:r>
      <w:r w:rsidR="005974C6">
        <w:t xml:space="preserve"> but may be reviewed by the d</w:t>
      </w:r>
      <w:r>
        <w:t>epartment in future:</w:t>
      </w:r>
    </w:p>
    <w:p w:rsidR="00D91512" w:rsidRDefault="00D91512" w:rsidP="00B44172">
      <w:pPr>
        <w:pStyle w:val="ListBullet"/>
      </w:pPr>
      <w:r>
        <w:t>Multi-site projects and multi-site sampling</w:t>
      </w:r>
    </w:p>
    <w:p w:rsidR="00C2452E" w:rsidRDefault="00D91512" w:rsidP="00C2452E">
      <w:pPr>
        <w:pStyle w:val="ListBullet"/>
      </w:pPr>
      <w:r>
        <w:t>Use of simulated baselines, as per IPMVP Option D</w:t>
      </w:r>
    </w:p>
    <w:p w:rsidR="00D91512" w:rsidRDefault="00D91512" w:rsidP="00D91512">
      <w:pPr>
        <w:pStyle w:val="BodyText"/>
      </w:pPr>
      <w:r>
        <w:t>The M&amp;V method is also different to PIAM&amp;V in terms of accounting for annual savings and top up, as described below. These settings manage potential over-crediting of projects.</w:t>
      </w:r>
    </w:p>
    <w:p w:rsidR="00D91512" w:rsidRDefault="00D91512" w:rsidP="00B44172">
      <w:pPr>
        <w:pStyle w:val="ListBullet"/>
      </w:pPr>
      <w:r>
        <w:t xml:space="preserve">Negative savings must be reported in order to </w:t>
      </w:r>
      <w:r>
        <w:t>continue annual creation of certificates</w:t>
      </w:r>
    </w:p>
    <w:p w:rsidR="00D91512" w:rsidRDefault="00D91512" w:rsidP="00B44172">
      <w:pPr>
        <w:pStyle w:val="ListBullet"/>
      </w:pPr>
      <w:r>
        <w:t xml:space="preserve">Top-up certificate creation </w:t>
      </w:r>
      <w:r w:rsidR="002B6806">
        <w:t>can only occur</w:t>
      </w:r>
      <w:r>
        <w:t xml:space="preserve"> after the cumulative energy savings exceed the number of certificates that have been forward created </w:t>
      </w:r>
    </w:p>
    <w:p w:rsidR="00C2452E" w:rsidRDefault="005974C6" w:rsidP="00C2452E">
      <w:pPr>
        <w:pStyle w:val="BodyText"/>
      </w:pPr>
      <w:r>
        <w:t>The d</w:t>
      </w:r>
      <w:r w:rsidR="00A8293F">
        <w:t>epartment also notes that the ESC’s auditing model is different to that used in the NSW ESS.</w:t>
      </w:r>
    </w:p>
    <w:p w:rsidR="00D91512" w:rsidRDefault="00D91512" w:rsidP="00B44172">
      <w:pPr>
        <w:pStyle w:val="Heading2"/>
      </w:pPr>
      <w:r>
        <w:t>Assessors (M&amp;V professionals)</w:t>
      </w:r>
    </w:p>
    <w:p w:rsidR="00D91512" w:rsidRDefault="00D91512" w:rsidP="00D91512">
      <w:pPr>
        <w:pStyle w:val="BodyText"/>
      </w:pPr>
      <w:r>
        <w:t xml:space="preserve">The independence and competency requirements of M&amp;V professionals who assess projects was clearly identified as an important part of the operation of the M&amp;V method. </w:t>
      </w:r>
    </w:p>
    <w:p w:rsidR="00D91512" w:rsidRDefault="00D91512" w:rsidP="002B6806">
      <w:pPr>
        <w:pStyle w:val="BodyText100ThemeColour"/>
      </w:pPr>
      <w:r>
        <w:t>Submissions had mixed views on their independence, some recommending they be external to APs and others preferring to use internal expertise. There was a strong preference among stakeholders to align the competency requirements for M&amp;V professionals with those for the NSW ESS</w:t>
      </w:r>
      <w:bookmarkStart w:id="2" w:name="_GoBack"/>
      <w:bookmarkEnd w:id="2"/>
      <w:r>
        <w:t>.</w:t>
      </w:r>
    </w:p>
    <w:p w:rsidR="002B6806" w:rsidRDefault="00D91512" w:rsidP="00D91512">
      <w:pPr>
        <w:pStyle w:val="BodyText"/>
      </w:pPr>
      <w:r>
        <w:t xml:space="preserve">The ESC, as the independent regulator, is responsible for approving M&amp;V professionals for the VEET scheme. </w:t>
      </w:r>
      <w:r w:rsidR="002B6806">
        <w:t>The only requirement imposed by the Regulations is that an approved M&amp;V professional must hold Certified Measurement and Verification Professional (CMVP) accreditation from the Association of Energy Engineers.</w:t>
      </w:r>
      <w:r w:rsidR="004D231A">
        <w:t xml:space="preserve"> Other requirements will be defined by the ESC.</w:t>
      </w:r>
      <w:r w:rsidR="002B6806">
        <w:t xml:space="preserve"> </w:t>
      </w:r>
    </w:p>
    <w:p w:rsidR="00D91512" w:rsidRDefault="005974C6" w:rsidP="00D91512">
      <w:pPr>
        <w:pStyle w:val="BodyText"/>
      </w:pPr>
      <w:r>
        <w:t>The d</w:t>
      </w:r>
      <w:r w:rsidR="00D91512">
        <w:t xml:space="preserve">epartment will </w:t>
      </w:r>
      <w:r w:rsidR="002B6806">
        <w:t xml:space="preserve">continue to </w:t>
      </w:r>
      <w:r w:rsidR="00D91512">
        <w:t xml:space="preserve">work with the ESC, the policy and regulatory arms of the NSW ESS and key stakeholder groups to </w:t>
      </w:r>
      <w:r w:rsidR="002B6806">
        <w:t>promote alignment</w:t>
      </w:r>
      <w:r w:rsidR="00D91512">
        <w:t>.</w:t>
      </w:r>
    </w:p>
    <w:p w:rsidR="00D91512" w:rsidRDefault="00D91512" w:rsidP="00B44172">
      <w:pPr>
        <w:pStyle w:val="Heading2"/>
      </w:pPr>
      <w:r>
        <w:t>Industry support</w:t>
      </w:r>
    </w:p>
    <w:p w:rsidR="000D2D50" w:rsidRDefault="00D91512" w:rsidP="000D2D50">
      <w:pPr>
        <w:pStyle w:val="BodyText100ThemeColour"/>
      </w:pPr>
      <w:r>
        <w:t xml:space="preserve">Stakeholders noted that there is a need to support the development of industry capacity in carrying out the method, and in M&amp;V more generally. </w:t>
      </w:r>
    </w:p>
    <w:p w:rsidR="006E1C8D" w:rsidRDefault="005974C6" w:rsidP="00F12070">
      <w:pPr>
        <w:pStyle w:val="BodyText"/>
      </w:pPr>
      <w:r>
        <w:t>The d</w:t>
      </w:r>
      <w:r w:rsidR="00D91512">
        <w:t>epartment will investigate means of industry support and capacity building to promote the take-up and understanding of the M&amp;V method.</w:t>
      </w:r>
      <w:r w:rsidR="004D231A">
        <w:t xml:space="preserve"> </w:t>
      </w:r>
    </w:p>
    <w:p w:rsidR="005932E8" w:rsidRDefault="005932E8" w:rsidP="00F12070">
      <w:pPr>
        <w:pStyle w:val="BodyText"/>
      </w:pPr>
      <w:r>
        <w:t>The stakeholder engagement panel for M&amp;V, and other key stakeholders, will be consulted as part of this.</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821500">
              <w:rPr>
                <w:noProof/>
              </w:rPr>
              <w:t>2017</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69FDD8D9" wp14:editId="4A74DD90">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4" w:name="_Accessibility"/>
            <w:bookmarkEnd w:id="4"/>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15" w:history="1">
              <w:r w:rsidR="00EB52C0">
                <w:t>energysaver</w:t>
              </w:r>
              <w:r w:rsidRPr="003C5C56">
                <w:t>.</w:t>
              </w:r>
              <w:r w:rsidR="00EB52C0">
                <w:t>incentive</w:t>
              </w:r>
              <w:r w:rsidRPr="003C5C56">
                <w:t>@delwp.vic.gov.au</w:t>
              </w:r>
            </w:hyperlink>
            <w:r>
              <w:t xml:space="preserve">, or via the National Relay Service on 133 677 </w:t>
            </w:r>
            <w:hyperlink r:id="rId16" w:history="1">
              <w:r w:rsidRPr="00AE3298">
                <w:t>www.relayservice.com.au</w:t>
              </w:r>
            </w:hyperlink>
            <w:r>
              <w:t xml:space="preserve">. This document is also available on the internet at </w:t>
            </w:r>
            <w:hyperlink r:id="rId17" w:history="1">
              <w:r w:rsidRPr="00AE3298">
                <w:t>www.delwp.vic.gov.au</w:t>
              </w:r>
            </w:hyperlink>
            <w:r>
              <w:t xml:space="preserve">. </w:t>
            </w:r>
          </w:p>
          <w:p w:rsidR="00001E86" w:rsidRDefault="00001E86" w:rsidP="00C255C2">
            <w:pPr>
              <w:pStyle w:val="SmallBodyText"/>
            </w:pPr>
          </w:p>
        </w:tc>
      </w:tr>
    </w:tbl>
    <w:p w:rsidR="004C6213" w:rsidRDefault="004C6213" w:rsidP="004C6213">
      <w:pPr>
        <w:pStyle w:val="SmallBodyText"/>
      </w:pPr>
      <w:r>
        <w:t xml:space="preserve"> </w:t>
      </w:r>
    </w:p>
    <w:p w:rsidR="00001E86" w:rsidRPr="00806AB6" w:rsidRDefault="00001E86" w:rsidP="004C6213"/>
    <w:sectPr w:rsidR="00001E86" w:rsidRPr="00806AB6" w:rsidSect="006E1C8D">
      <w:type w:val="continuous"/>
      <w:pgSz w:w="11907" w:h="16840" w:code="9"/>
      <w:pgMar w:top="2211" w:right="851" w:bottom="794"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164" w:rsidRDefault="00673164">
      <w:r>
        <w:separator/>
      </w:r>
    </w:p>
    <w:p w:rsidR="00673164" w:rsidRDefault="00673164"/>
    <w:p w:rsidR="00673164" w:rsidRDefault="00673164"/>
  </w:endnote>
  <w:endnote w:type="continuationSeparator" w:id="0">
    <w:p w:rsidR="00673164" w:rsidRDefault="00673164">
      <w:r>
        <w:continuationSeparator/>
      </w:r>
    </w:p>
    <w:p w:rsidR="00673164" w:rsidRDefault="00673164"/>
    <w:p w:rsidR="00673164" w:rsidRDefault="006731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B5221E" w:rsidRDefault="00A209C4" w:rsidP="00E97294">
    <w:pPr>
      <w:pStyle w:val="FooterEven"/>
    </w:pPr>
    <w:r w:rsidRPr="00D55628">
      <w:rPr>
        <w:noProof/>
      </w:rPr>
      <mc:AlternateContent>
        <mc:Choice Requires="wps">
          <w:drawing>
            <wp:anchor distT="0" distB="0" distL="114300" distR="114300" simplePos="0" relativeHeight="251652608" behindDoc="1" locked="1" layoutInCell="1" allowOverlap="1" wp14:anchorId="7A7DAC41" wp14:editId="42462AE8">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DAC4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38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213C82">
    <w:pPr>
      <w:pStyle w:val="Footer"/>
    </w:pPr>
    <w:r w:rsidRPr="00D55628">
      <w:rPr>
        <w:noProof/>
      </w:rPr>
      <mc:AlternateContent>
        <mc:Choice Requires="wps">
          <w:drawing>
            <wp:anchor distT="0" distB="0" distL="114300" distR="114300" simplePos="0" relativeHeight="251653632" behindDoc="1" locked="1" layoutInCell="1" allowOverlap="1" wp14:anchorId="18E8DDE0" wp14:editId="38949AD0">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E8DDE0"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28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2848" behindDoc="0" locked="1" layoutInCell="1" allowOverlap="1" wp14:anchorId="444B163D" wp14:editId="0FA0F735">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4B163D" id="_x0000_t202" coordsize="21600,21600" o:spt="202" path="m,l,21600r21600,l21600,xe">
              <v:stroke joinstyle="miter"/>
              <v:path gradientshapeok="t" o:connecttype="rect"/>
            </v:shapetype>
            <v:shape id="WebAddress" o:spid="_x0000_s1028" type="#_x0000_t202" style="position:absolute;margin-left:0;margin-top:0;width:303pt;height:56.7pt;z-index:2516628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1824" behindDoc="1" locked="1" layoutInCell="1" allowOverlap="1" wp14:anchorId="2D3865F3" wp14:editId="67ABEFDF">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164" w:rsidRPr="008F5280" w:rsidRDefault="00673164" w:rsidP="008F5280">
      <w:pPr>
        <w:pStyle w:val="FootnoteSeparator"/>
      </w:pPr>
    </w:p>
    <w:p w:rsidR="00673164" w:rsidRDefault="00673164"/>
  </w:footnote>
  <w:footnote w:type="continuationSeparator" w:id="0">
    <w:p w:rsidR="00673164" w:rsidRDefault="00673164" w:rsidP="008F5280">
      <w:pPr>
        <w:pStyle w:val="FootnoteSeparator"/>
      </w:pPr>
    </w:p>
    <w:p w:rsidR="00673164" w:rsidRDefault="00673164"/>
    <w:p w:rsidR="00673164" w:rsidRDefault="00673164"/>
  </w:footnote>
  <w:footnote w:type="continuationNotice" w:id="1">
    <w:p w:rsidR="00673164" w:rsidRDefault="00673164" w:rsidP="00D55628"/>
    <w:p w:rsidR="00673164" w:rsidRDefault="00673164"/>
    <w:p w:rsidR="00673164" w:rsidRDefault="006731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673164" w:rsidP="00920652">
          <w:pPr>
            <w:pStyle w:val="Header"/>
          </w:pPr>
          <w:fldSimple w:instr=" STYLEREF  Title  \* MERGEFORMAT ">
            <w:r w:rsidR="00821500">
              <w:rPr>
                <w:noProof/>
              </w:rPr>
              <w:t>Victorian Energy Efficiency Target Scheme</w:t>
            </w:r>
          </w:fldSimple>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60800" behindDoc="1" locked="0" layoutInCell="1" allowOverlap="1" wp14:anchorId="7A8D0635" wp14:editId="0F340888">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8F71DF" id="TriangleRight" o:spid="_x0000_s1026" style="position:absolute;margin-left:56.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5A3804D3" wp14:editId="321DEE1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EC29E9" id="TriangleLeft" o:spid="_x0000_s1026" style="position:absolute;margin-left:22.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4142CCBB" wp14:editId="3AB4F182">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48CE5EE" id="Rectangle" o:spid="_x0000_s1026" style="position:absolute;margin-left:22.7pt;margin-top:22.7pt;width:552.7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A209C4" w:rsidP="00E97294">
    <w:pPr>
      <w:pStyle w:val="Header"/>
    </w:pPr>
    <w:r w:rsidRPr="00806AB6">
      <w:rPr>
        <w:noProof/>
      </w:rPr>
      <mc:AlternateContent>
        <mc:Choice Requires="wps">
          <w:drawing>
            <wp:anchor distT="0" distB="0" distL="114300" distR="114300" simplePos="0" relativeHeight="251656704" behindDoc="1" locked="0" layoutInCell="1" allowOverlap="1" wp14:anchorId="3803FF7F" wp14:editId="0C6D6E20">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C79983"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5D2683EF" wp14:editId="29A05E83">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E788A" id="TriangleBottom" o:spid="_x0000_s1026" style="position:absolute;margin-left:56.7pt;margin-top:93.55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99c7eb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085696A5" wp14:editId="7CDDDD41">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244CB0" id="TriangleLeft" o:spid="_x0000_s1026" style="position:absolute;margin-left:22.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667DF1FC" wp14:editId="08B935A1">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3B24FE" id="Rectangle" o:spid="_x0000_s1026" style="position:absolute;margin-left:22.7pt;margin-top:22.7pt;width:552.7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72CE"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6" w15:restartNumberingAfterBreak="0">
    <w:nsid w:val="34E61615"/>
    <w:multiLevelType w:val="hybridMultilevel"/>
    <w:tmpl w:val="A0AEA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D545EC4"/>
    <w:multiLevelType w:val="multilevel"/>
    <w:tmpl w:val="A39C1EC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9"/>
  </w:num>
  <w:num w:numId="2">
    <w:abstractNumId w:val="16"/>
  </w:num>
  <w:num w:numId="3">
    <w:abstractNumId w:val="14"/>
  </w:num>
  <w:num w:numId="4">
    <w:abstractNumId w:val="18"/>
  </w:num>
  <w:num w:numId="5">
    <w:abstractNumId w:val="5"/>
  </w:num>
  <w:num w:numId="6">
    <w:abstractNumId w:val="2"/>
  </w:num>
  <w:num w:numId="7">
    <w:abstractNumId w:val="1"/>
  </w:num>
  <w:num w:numId="8">
    <w:abstractNumId w:val="0"/>
  </w:num>
  <w:num w:numId="9">
    <w:abstractNumId w:val="17"/>
  </w:num>
  <w:num w:numId="10">
    <w:abstractNumId w:val="3"/>
  </w:num>
  <w:num w:numId="11">
    <w:abstractNumId w:val="7"/>
  </w:num>
  <w:num w:numId="12">
    <w:abstractNumId w:val="4"/>
  </w:num>
  <w:num w:numId="13">
    <w:abstractNumId w:val="10"/>
  </w:num>
  <w:num w:numId="14">
    <w:abstractNumId w:val="11"/>
  </w:num>
  <w:num w:numId="15">
    <w:abstractNumId w:val="6"/>
  </w:num>
  <w:num w:numId="16">
    <w:abstractNumId w:val="0"/>
  </w:num>
  <w:num w:numId="17">
    <w:abstractNumId w:val="0"/>
  </w:num>
  <w:num w:numId="18">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1"/>
  </w:docVars>
  <w:rsids>
    <w:rsidRoot w:val="00D91512"/>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2AB"/>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4C3"/>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2D50"/>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3D3"/>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932"/>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591E"/>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D3E"/>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424"/>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DDE"/>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AFE"/>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1D8"/>
    <w:rsid w:val="0026285F"/>
    <w:rsid w:val="00262E05"/>
    <w:rsid w:val="00262E69"/>
    <w:rsid w:val="0026369F"/>
    <w:rsid w:val="002636AB"/>
    <w:rsid w:val="0026373B"/>
    <w:rsid w:val="00263BE7"/>
    <w:rsid w:val="00264677"/>
    <w:rsid w:val="00264A62"/>
    <w:rsid w:val="00265045"/>
    <w:rsid w:val="00265096"/>
    <w:rsid w:val="002652F5"/>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806"/>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46D"/>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29E"/>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62C"/>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31A"/>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29BF"/>
    <w:rsid w:val="004F30D0"/>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2E8"/>
    <w:rsid w:val="005938B8"/>
    <w:rsid w:val="00594595"/>
    <w:rsid w:val="00594764"/>
    <w:rsid w:val="0059485F"/>
    <w:rsid w:val="005949B0"/>
    <w:rsid w:val="00595627"/>
    <w:rsid w:val="0059590E"/>
    <w:rsid w:val="0059613A"/>
    <w:rsid w:val="0059627F"/>
    <w:rsid w:val="0059717E"/>
    <w:rsid w:val="00597359"/>
    <w:rsid w:val="005974C6"/>
    <w:rsid w:val="00597C8C"/>
    <w:rsid w:val="00597D3A"/>
    <w:rsid w:val="005A00E6"/>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164"/>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0AB"/>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B31"/>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500"/>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6F5"/>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4D7"/>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93F"/>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172"/>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3ED"/>
    <w:rsid w:val="00C21545"/>
    <w:rsid w:val="00C21870"/>
    <w:rsid w:val="00C21915"/>
    <w:rsid w:val="00C219F9"/>
    <w:rsid w:val="00C21D84"/>
    <w:rsid w:val="00C21D9C"/>
    <w:rsid w:val="00C221D5"/>
    <w:rsid w:val="00C22474"/>
    <w:rsid w:val="00C22490"/>
    <w:rsid w:val="00C226E8"/>
    <w:rsid w:val="00C2413D"/>
    <w:rsid w:val="00C2419D"/>
    <w:rsid w:val="00C2452E"/>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292"/>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2CCC"/>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6CDD"/>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512"/>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6C6B"/>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1D5"/>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2C0"/>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7AA"/>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4A56"/>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1C"/>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3164591E"/>
  <w15:docId w15:val="{16956956-71DF-4B1E-A6AA-DDB29BD79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72CE"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72CE"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72CE"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72CE"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72CE"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2CE" w:themeFill="text2"/>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72CE" w:themeColor="text2"/>
      <w:kern w:val="32"/>
      <w:sz w:val="40"/>
      <w:szCs w:val="32"/>
    </w:rPr>
  </w:style>
  <w:style w:type="character" w:customStyle="1" w:styleId="Heading2Char">
    <w:name w:val="Heading 2 Char"/>
    <w:basedOn w:val="DefaultParagraphFont"/>
    <w:link w:val="Heading2"/>
    <w:rsid w:val="001306D2"/>
    <w:rPr>
      <w:b/>
      <w:bCs/>
      <w:iCs/>
      <w:color w:val="0072CE"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Internal.vic.gov.au\GroupData\Energy\Energy\EPP\Energy%20Policy\ENERGY%20POLICY%20FILE%20SYSTEM\VEET\13_scheme%20policy%20strengthen\Consultation%20-%20June%202016\Consultation%20summaries%20and%20responses\delwp.vic.gov.au\energy\legislation\energy-saver-incentiv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delwp.vic.gov.au" TargetMode="External"/><Relationship Id="rId2" Type="http://schemas.openxmlformats.org/officeDocument/2006/relationships/numbering" Target="numbering.xml"/><Relationship Id="rId16"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customer.service@delwp.vic.gov.au"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HeK\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035B-DF63-44EC-857D-886ADFFA3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101</TotalTime>
  <Pages>5</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Lucas-Healey</dc:creator>
  <cp:lastModifiedBy>Kathryn H Lucas-Healey (DELWP)</cp:lastModifiedBy>
  <cp:revision>3</cp:revision>
  <cp:lastPrinted>2017-05-04T00:33:00Z</cp:lastPrinted>
  <dcterms:created xsi:type="dcterms:W3CDTF">2017-05-03T22:48:00Z</dcterms:created>
  <dcterms:modified xsi:type="dcterms:W3CDTF">2017-05-04T00:33:00Z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