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4.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6.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customXml/itemProps7.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styles.xml" ContentType="application/vnd.openxmlformats-officedocument.wordprocessingml.styl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4DF6B" w14:textId="4ADA95AC" w:rsidR="00254F12" w:rsidRPr="00862057" w:rsidRDefault="00EC4055" w:rsidP="00862057">
      <w:pPr>
        <w:pStyle w:val="Title"/>
      </w:pPr>
      <w:bookmarkStart w:id="0" w:name="_Toc106305998"/>
      <w:r w:rsidRPr="00D97791">
        <w:rPr>
          <w:noProof/>
        </w:rPr>
        <w:drawing>
          <wp:anchor distT="0" distB="0" distL="114300" distR="114300" simplePos="0" relativeHeight="251658245" behindDoc="0" locked="1" layoutInCell="1" allowOverlap="1" wp14:anchorId="32F31531" wp14:editId="3280B7E4">
            <wp:simplePos x="0" y="0"/>
            <wp:positionH relativeFrom="page">
              <wp:posOffset>6511290</wp:posOffset>
            </wp:positionH>
            <wp:positionV relativeFrom="page">
              <wp:posOffset>7125970</wp:posOffset>
            </wp:positionV>
            <wp:extent cx="1050290" cy="2228215"/>
            <wp:effectExtent l="0" t="0" r="0" b="635"/>
            <wp:wrapNone/>
            <wp:docPr id="19"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Corporate">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50290" cy="2228215"/>
                    </a:xfrm>
                    <a:prstGeom prst="rect">
                      <a:avLst/>
                    </a:prstGeom>
                  </pic:spPr>
                </pic:pic>
              </a:graphicData>
            </a:graphic>
            <wp14:sizeRelH relativeFrom="margin">
              <wp14:pctWidth>0</wp14:pctWidth>
            </wp14:sizeRelH>
            <wp14:sizeRelV relativeFrom="margin">
              <wp14:pctHeight>0</wp14:pctHeight>
            </wp14:sizeRelV>
          </wp:anchor>
        </w:drawing>
      </w:r>
      <w:sdt>
        <w:sdtPr>
          <w:alias w:val="Document Title"/>
          <w:tag w:val=""/>
          <w:id w:val="-432211567"/>
          <w:placeholder>
            <w:docPart w:val="8C9D371F1CB348F890DB0B95F03189B3"/>
          </w:placeholder>
          <w:dataBinding w:prefixMappings="xmlns:ns0='http://purl.org/dc/elements/1.1/' xmlns:ns1='http://schemas.openxmlformats.org/package/2006/metadata/core-properties' " w:xpath="/ns1:coreProperties[1]/ns0:title[1]" w:storeItemID="{6C3C8BC8-F283-45AE-878A-BAB7291924A1}"/>
          <w:text/>
        </w:sdtPr>
        <w:sdtContent>
          <w:r w:rsidR="00D71CBA">
            <w:t>Benchmark Rating in Victorian Energy Upgrades</w:t>
          </w:r>
        </w:sdtContent>
      </w:sdt>
    </w:p>
    <w:sdt>
      <w:sdtPr>
        <w:alias w:val="Subtitle"/>
        <w:tag w:val=""/>
        <w:id w:val="328029620"/>
        <w:placeholder>
          <w:docPart w:val="659DDE45D4994ABBAB797FE09338C615"/>
        </w:placeholder>
        <w:dataBinding w:prefixMappings="xmlns:ns0='http://purl.org/dc/elements/1.1/' xmlns:ns1='http://schemas.openxmlformats.org/package/2006/metadata/core-properties' " w:xpath="/ns1:coreProperties[1]/ns0:subject[1]" w:storeItemID="{6C3C8BC8-F283-45AE-878A-BAB7291924A1}"/>
        <w:text/>
      </w:sdtPr>
      <w:sdtContent>
        <w:p w14:paraId="334BEE54" w14:textId="01275D6E" w:rsidR="004C1F02" w:rsidRDefault="00694222" w:rsidP="00862057">
          <w:pPr>
            <w:pStyle w:val="Subtitle"/>
          </w:pPr>
          <w:r>
            <w:t>Specifications – Version 2.0</w:t>
          </w:r>
        </w:p>
      </w:sdtContent>
    </w:sdt>
    <w:p w14:paraId="7A68EF79" w14:textId="77777777" w:rsidR="00254F12" w:rsidRPr="004C1F02" w:rsidRDefault="00254F12" w:rsidP="004E51DB">
      <w:pPr>
        <w:pStyle w:val="xVicLogo"/>
        <w:framePr w:wrap="around"/>
      </w:pPr>
      <w:r w:rsidRPr="004C1F02">
        <w:rPr>
          <w:noProof/>
        </w:rPr>
        <w:drawing>
          <wp:inline distT="0" distB="0" distL="0" distR="0" wp14:anchorId="0F1B7D6C" wp14:editId="2CA758AD">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26B7E8B9" w14:textId="4FE64F16" w:rsidR="00081719" w:rsidRDefault="00081719" w:rsidP="00081719">
      <w:pPr>
        <w:pStyle w:val="xPartnerLogo"/>
        <w:framePr w:wrap="around"/>
      </w:pPr>
      <w:hyperlink r:id="rId17" w:tooltip="Visit DEECA" w:history="1">
        <w:r w:rsidRPr="00081719">
          <w:rPr>
            <w:position w:val="6"/>
          </w:rPr>
          <w:t>deeca</w:t>
        </w:r>
        <w:r w:rsidRPr="00712437">
          <w:rPr>
            <w:position w:val="6"/>
          </w:rPr>
          <w:t>.vic.gov.au</w:t>
        </w:r>
      </w:hyperlink>
      <w:r>
        <w:t> </w:t>
      </w:r>
    </w:p>
    <w:p w14:paraId="7867CD1B" w14:textId="65FC26C5" w:rsidR="00254F12" w:rsidRPr="004C1F02" w:rsidRDefault="00985DB8" w:rsidP="004C1F02">
      <w:r w:rsidRPr="004C1F02">
        <w:rPr>
          <w:noProof/>
        </w:rPr>
        <w:drawing>
          <wp:anchor distT="0" distB="0" distL="114300" distR="114300" simplePos="0" relativeHeight="251658243" behindDoc="1" locked="1" layoutInCell="1" allowOverlap="1" wp14:anchorId="61EAB93C" wp14:editId="6B7B9565">
            <wp:simplePos x="0" y="0"/>
            <wp:positionH relativeFrom="page">
              <wp:posOffset>2509520</wp:posOffset>
            </wp:positionH>
            <wp:positionV relativeFrom="page">
              <wp:posOffset>8457565</wp:posOffset>
            </wp:positionV>
            <wp:extent cx="2322000" cy="2232000"/>
            <wp:effectExtent l="0" t="0" r="2540" b="0"/>
            <wp:wrapNone/>
            <wp:docPr id="8" name="Cover_RibbonElement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ver_RibbonElement3">
                      <a:extLst>
                        <a:ext uri="{C183D7F6-B498-43B3-948B-1728B52AA6E4}">
                          <adec:decorative xmlns:adec="http://schemas.microsoft.com/office/drawing/2017/decorative" val="1"/>
                        </a:ext>
                      </a:extLst>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2322000" cy="2232000"/>
                    </a:xfrm>
                    <a:prstGeom prst="rect">
                      <a:avLst/>
                    </a:prstGeom>
                  </pic:spPr>
                </pic:pic>
              </a:graphicData>
            </a:graphic>
            <wp14:sizeRelH relativeFrom="margin">
              <wp14:pctWidth>0</wp14:pctWidth>
            </wp14:sizeRelH>
            <wp14:sizeRelV relativeFrom="margin">
              <wp14:pctHeight>0</wp14:pctHeight>
            </wp14:sizeRelV>
          </wp:anchor>
        </w:drawing>
      </w:r>
      <w:r w:rsidR="00872D01" w:rsidRPr="004C1F02">
        <w:rPr>
          <w:noProof/>
        </w:rPr>
        <mc:AlternateContent>
          <mc:Choice Requires="wps">
            <w:drawing>
              <wp:anchor distT="0" distB="0" distL="114300" distR="114300" simplePos="0" relativeHeight="251658240" behindDoc="1" locked="1" layoutInCell="1" allowOverlap="1" wp14:anchorId="64098D6F" wp14:editId="4A326A7A">
                <wp:simplePos x="0" y="0"/>
                <wp:positionH relativeFrom="page">
                  <wp:posOffset>0</wp:posOffset>
                </wp:positionH>
                <wp:positionV relativeFrom="page">
                  <wp:posOffset>2228850</wp:posOffset>
                </wp:positionV>
                <wp:extent cx="7563600" cy="7120800"/>
                <wp:effectExtent l="0" t="0" r="0" b="0"/>
                <wp:wrapNone/>
                <wp:docPr id="16" name="Photo Non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3600" cy="7120800"/>
                        </a:xfrm>
                        <a:custGeom>
                          <a:avLst/>
                          <a:gdLst>
                            <a:gd name="connsiteX0" fmla="*/ 0 w 7563408"/>
                            <a:gd name="connsiteY0" fmla="*/ 0 h 7131432"/>
                            <a:gd name="connsiteX1" fmla="*/ 0 w 7563408"/>
                            <a:gd name="connsiteY1" fmla="*/ 7131433 h 7131432"/>
                            <a:gd name="connsiteX2" fmla="*/ 4832160 w 7563408"/>
                            <a:gd name="connsiteY2" fmla="*/ 7131433 h 7131432"/>
                            <a:gd name="connsiteX3" fmla="*/ 7563408 w 7563408"/>
                            <a:gd name="connsiteY3" fmla="*/ 1337144 h 7131432"/>
                            <a:gd name="connsiteX4" fmla="*/ 7563408 w 7563408"/>
                            <a:gd name="connsiteY4" fmla="*/ 0 h 7131432"/>
                            <a:gd name="connsiteX5" fmla="*/ 0 w 7563408"/>
                            <a:gd name="connsiteY5" fmla="*/ 0 h 71314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563408" h="7131432">
                              <a:moveTo>
                                <a:pt x="0" y="0"/>
                              </a:moveTo>
                              <a:lnTo>
                                <a:pt x="0" y="7131433"/>
                              </a:lnTo>
                              <a:lnTo>
                                <a:pt x="4832160" y="7131433"/>
                              </a:lnTo>
                              <a:lnTo>
                                <a:pt x="7563408" y="1337144"/>
                              </a:lnTo>
                              <a:lnTo>
                                <a:pt x="7563408" y="0"/>
                              </a:lnTo>
                              <a:lnTo>
                                <a:pt x="0" y="0"/>
                              </a:lnTo>
                              <a:close/>
                            </a:path>
                          </a:pathLst>
                        </a:custGeom>
                        <a:solidFill>
                          <a:schemeClr val="dk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22315" id="Photo None" o:spid="_x0000_s1026" alt="&quot;&quot;" style="position:absolute;margin-left:0;margin-top:175.5pt;width:595.55pt;height:56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7563408,713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" path="m,l,7131433r4832160,l7563408,1337144,7563408,,,xe" fillcolor="#201547 [3202]" stroked="f" strokeweight=".35264mm">
                <v:stroke joinstyle="miter"/>
                <v:path arrowok="t" o:connecttype="custom" o:connectlocs="0,0;0,7120801;4832283,7120801;7563600,1335150;7563600,0;0,0" o:connectangles="0,0,0,0,0,0"/>
                <w10:wrap anchorx="page" anchory="page"/>
                <w10:anchorlock/>
              </v:shape>
            </w:pict>
          </mc:Fallback>
        </mc:AlternateContent>
      </w:r>
      <w:r w:rsidR="008B1109">
        <w:rPr>
          <w:noProof/>
        </w:rPr>
        <mc:AlternateContent>
          <mc:Choice Requires="wps">
            <w:drawing>
              <wp:anchor distT="0" distB="0" distL="114300" distR="114300" simplePos="0" relativeHeight="251658246" behindDoc="1" locked="1" layoutInCell="1" allowOverlap="1" wp14:anchorId="257B67E0" wp14:editId="0A4CB327">
                <wp:simplePos x="0" y="0"/>
                <wp:positionH relativeFrom="page">
                  <wp:posOffset>0</wp:posOffset>
                </wp:positionH>
                <wp:positionV relativeFrom="page">
                  <wp:posOffset>2228850</wp:posOffset>
                </wp:positionV>
                <wp:extent cx="9435465" cy="442595"/>
                <wp:effectExtent l="0" t="0" r="0" b="0"/>
                <wp:wrapNone/>
                <wp:docPr id="18" name="Cover_ProjectBa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435465" cy="442595"/>
                        </a:xfrm>
                        <a:custGeom>
                          <a:avLst/>
                          <a:gdLst>
                            <a:gd name="connsiteX0" fmla="*/ 0 w 9435280"/>
                            <a:gd name="connsiteY0" fmla="*/ 0 h 443520"/>
                            <a:gd name="connsiteX1" fmla="*/ 9435280 w 9435280"/>
                            <a:gd name="connsiteY1" fmla="*/ 0 h 443520"/>
                            <a:gd name="connsiteX2" fmla="*/ 9226217 w 9435280"/>
                            <a:gd name="connsiteY2" fmla="*/ 443520 h 443520"/>
                            <a:gd name="connsiteX3" fmla="*/ 0 w 9435280"/>
                            <a:gd name="connsiteY3" fmla="*/ 443520 h 443520"/>
                          </a:gdLst>
                          <a:ahLst/>
                          <a:cxnLst>
                            <a:cxn ang="0">
                              <a:pos x="connsiteX0" y="connsiteY0"/>
                            </a:cxn>
                            <a:cxn ang="0">
                              <a:pos x="connsiteX1" y="connsiteY1"/>
                            </a:cxn>
                            <a:cxn ang="0">
                              <a:pos x="connsiteX2" y="connsiteY2"/>
                            </a:cxn>
                            <a:cxn ang="0">
                              <a:pos x="connsiteX3" y="connsiteY3"/>
                            </a:cxn>
                          </a:cxnLst>
                          <a:rect l="l" t="t" r="r" b="b"/>
                          <a:pathLst>
                            <a:path w="9435280" h="443520">
                              <a:moveTo>
                                <a:pt x="0" y="0"/>
                              </a:moveTo>
                              <a:lnTo>
                                <a:pt x="9435280" y="0"/>
                              </a:lnTo>
                              <a:lnTo>
                                <a:pt x="9226217" y="443520"/>
                              </a:lnTo>
                              <a:lnTo>
                                <a:pt x="0" y="443520"/>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EC471" id="Cover_ProjectBar" o:spid="_x0000_s1026" alt="&quot;&quot;" style="position:absolute;margin-left:0;margin-top:175.5pt;width:742.95pt;height:34.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9435280,44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" path="m,l9435280,,9226217,443520,,443520,,xe" fillcolor="#201547 [3215]" stroked="f">
                <v:stroke joinstyle="miter"/>
                <v:path arrowok="t" o:connecttype="custom" o:connectlocs="0,0;9435465,0;9226398,442595;0,442595" o:connectangles="0,0,0,0"/>
                <w10:wrap anchorx="page" anchory="page"/>
                <w10:anchorlock/>
              </v:shape>
            </w:pict>
          </mc:Fallback>
        </mc:AlternateContent>
      </w:r>
      <w:r w:rsidR="00254F12" w:rsidRPr="004C1F02">
        <w:rPr>
          <w:noProof/>
        </w:rPr>
        <w:drawing>
          <wp:anchor distT="0" distB="0" distL="114300" distR="114300" simplePos="0" relativeHeight="251658242" behindDoc="1" locked="1" layoutInCell="1" allowOverlap="1" wp14:anchorId="639EC70A" wp14:editId="1568489B">
            <wp:simplePos x="0" y="0"/>
            <wp:positionH relativeFrom="page">
              <wp:posOffset>4406900</wp:posOffset>
            </wp:positionH>
            <wp:positionV relativeFrom="page">
              <wp:posOffset>8457565</wp:posOffset>
            </wp:positionV>
            <wp:extent cx="838800" cy="889200"/>
            <wp:effectExtent l="0" t="0" r="0" b="6350"/>
            <wp:wrapNone/>
            <wp:docPr id="7" name="Cover_RibbonElement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ver_RibbonElement2">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838800" cy="889200"/>
                    </a:xfrm>
                    <a:prstGeom prst="rect">
                      <a:avLst/>
                    </a:prstGeom>
                  </pic:spPr>
                </pic:pic>
              </a:graphicData>
            </a:graphic>
            <wp14:sizeRelH relativeFrom="margin">
              <wp14:pctWidth>0</wp14:pctWidth>
            </wp14:sizeRelH>
            <wp14:sizeRelV relativeFrom="margin">
              <wp14:pctHeight>0</wp14:pctHeight>
            </wp14:sizeRelV>
          </wp:anchor>
        </w:drawing>
      </w:r>
      <w:r w:rsidR="00254F12" w:rsidRPr="004C1F02">
        <w:rPr>
          <w:noProof/>
        </w:rPr>
        <w:drawing>
          <wp:anchor distT="0" distB="0" distL="114300" distR="114300" simplePos="0" relativeHeight="251658241" behindDoc="1" locked="1" layoutInCell="1" allowOverlap="1" wp14:anchorId="7A48C5D1" wp14:editId="54D9CF59">
            <wp:simplePos x="0" y="0"/>
            <wp:positionH relativeFrom="page">
              <wp:posOffset>3989070</wp:posOffset>
            </wp:positionH>
            <wp:positionV relativeFrom="page">
              <wp:posOffset>7567930</wp:posOffset>
            </wp:positionV>
            <wp:extent cx="2098800" cy="1778400"/>
            <wp:effectExtent l="0" t="0" r="0" b="0"/>
            <wp:wrapNone/>
            <wp:docPr id="6" name="Cover_RibbonElement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ver_RibbonElement4">
                      <a:extLst>
                        <a:ext uri="{C183D7F6-B498-43B3-948B-1728B52AA6E4}">
                          <adec:decorative xmlns:adec="http://schemas.microsoft.com/office/drawing/2017/decorative" val="1"/>
                        </a:ext>
                      </a:extLst>
                    </pic:cNvPr>
                    <pic:cNvPicPr/>
                  </pic:nvPicPr>
                  <pic:blipFill>
                    <a:blip r:embed="rId22">
                      <a:extLst>
                        <a:ext uri="{96DAC541-7B7A-43D3-8B79-37D633B846F1}">
                          <asvg:svgBlip xmlns:asvg="http://schemas.microsoft.com/office/drawing/2016/SVG/main" r:embed="rId23"/>
                        </a:ext>
                      </a:extLst>
                    </a:blip>
                    <a:stretch>
                      <a:fillRect/>
                    </a:stretch>
                  </pic:blipFill>
                  <pic:spPr>
                    <a:xfrm>
                      <a:off x="0" y="0"/>
                      <a:ext cx="2098800" cy="1778400"/>
                    </a:xfrm>
                    <a:prstGeom prst="rect">
                      <a:avLst/>
                    </a:prstGeom>
                  </pic:spPr>
                </pic:pic>
              </a:graphicData>
            </a:graphic>
            <wp14:sizeRelH relativeFrom="margin">
              <wp14:pctWidth>0</wp14:pctWidth>
            </wp14:sizeRelH>
            <wp14:sizeRelV relativeFrom="margin">
              <wp14:pctHeight>0</wp14:pctHeight>
            </wp14:sizeRelV>
          </wp:anchor>
        </w:drawing>
      </w:r>
      <w:r w:rsidR="00254F12" w:rsidRPr="004C1F02">
        <w:rPr>
          <w:noProof/>
        </w:rPr>
        <w:drawing>
          <wp:anchor distT="0" distB="0" distL="114300" distR="114300" simplePos="0" relativeHeight="251658244" behindDoc="1" locked="1" layoutInCell="1" allowOverlap="1" wp14:anchorId="42F45CE1" wp14:editId="339BEB85">
            <wp:simplePos x="0" y="0"/>
            <wp:positionH relativeFrom="page">
              <wp:posOffset>5667375</wp:posOffset>
            </wp:positionH>
            <wp:positionV relativeFrom="page">
              <wp:posOffset>7567930</wp:posOffset>
            </wp:positionV>
            <wp:extent cx="838800" cy="889200"/>
            <wp:effectExtent l="0" t="0" r="0" b="6350"/>
            <wp:wrapNone/>
            <wp:docPr id="5" name="Cover_RibbonElement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er_RibbonElement1">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838800" cy="889200"/>
                    </a:xfrm>
                    <a:prstGeom prst="rect">
                      <a:avLst/>
                    </a:prstGeom>
                  </pic:spPr>
                </pic:pic>
              </a:graphicData>
            </a:graphic>
            <wp14:sizeRelH relativeFrom="margin">
              <wp14:pctWidth>0</wp14:pctWidth>
            </wp14:sizeRelH>
            <wp14:sizeRelV relativeFrom="margin">
              <wp14:pctHeight>0</wp14:pctHeight>
            </wp14:sizeRelV>
          </wp:anchor>
        </w:drawing>
      </w:r>
    </w:p>
    <w:p w14:paraId="41348516" w14:textId="77777777" w:rsidR="00254F12" w:rsidRPr="004C1F02" w:rsidRDefault="00254F12" w:rsidP="004C1F02">
      <w:pPr>
        <w:sectPr w:rsidR="00254F12" w:rsidRPr="004C1F02" w:rsidSect="00CD157B">
          <w:headerReference w:type="even" r:id="rId24"/>
          <w:headerReference w:type="default" r:id="rId25"/>
          <w:footerReference w:type="even" r:id="rId26"/>
          <w:footerReference w:type="default" r:id="rId27"/>
          <w:headerReference w:type="first" r:id="rId28"/>
          <w:footerReference w:type="first" r:id="rId29"/>
          <w:type w:val="continuous"/>
          <w:pgSz w:w="11907" w:h="16839" w:code="9"/>
          <w:pgMar w:top="737" w:right="850" w:bottom="850" w:left="850" w:header="283" w:footer="283" w:gutter="0"/>
          <w:cols w:space="454"/>
          <w:noEndnote/>
          <w:titlePg/>
          <w:docGrid w:linePitch="360"/>
        </w:sectPr>
      </w:pPr>
    </w:p>
    <w:bookmarkEnd w:id="0"/>
    <w:p w14:paraId="40198FB0" w14:textId="77777777" w:rsidR="006614E4" w:rsidRPr="003055C4" w:rsidRDefault="006614E4" w:rsidP="00EE4D70">
      <w:pPr>
        <w:pStyle w:val="BoldBodyText"/>
      </w:pPr>
      <w:r w:rsidRPr="00576720">
        <w:lastRenderedPageBreak/>
        <w:t>Author</w:t>
      </w:r>
    </w:p>
    <w:p w14:paraId="2FAA35C5" w14:textId="708CFFBE" w:rsidR="006614E4" w:rsidRPr="007248D3" w:rsidRDefault="002143CB" w:rsidP="003055C4">
      <w:pPr>
        <w:pStyle w:val="NoSpacing"/>
      </w:pPr>
      <w:r w:rsidRPr="007248D3">
        <w:t>This document has been prepared by the Department of Energy, Environment and Climate Action</w:t>
      </w:r>
    </w:p>
    <w:p w14:paraId="2FDD9072" w14:textId="2D491CAE" w:rsidR="006614E4" w:rsidRPr="007248D3" w:rsidRDefault="002143CB" w:rsidP="00EE4D70">
      <w:pPr>
        <w:pStyle w:val="BoldBodyText"/>
      </w:pPr>
      <w:r w:rsidRPr="007248D3">
        <w:t>Document Version</w:t>
      </w:r>
    </w:p>
    <w:p w14:paraId="61FB42FF" w14:textId="79D35E26" w:rsidR="006614E4" w:rsidRPr="007248D3" w:rsidRDefault="002143CB" w:rsidP="003055C4">
      <w:pPr>
        <w:pStyle w:val="NoSpacing"/>
      </w:pPr>
      <w:r>
        <w:t xml:space="preserve">Version </w:t>
      </w:r>
      <w:r w:rsidR="006C4DBE">
        <w:t>2</w:t>
      </w:r>
      <w:r>
        <w:t xml:space="preserve">.0 comes into effect </w:t>
      </w:r>
      <w:r w:rsidRPr="00453C80">
        <w:t>from</w:t>
      </w:r>
      <w:r w:rsidR="00562516" w:rsidRPr="00453C80">
        <w:t xml:space="preserve"> </w:t>
      </w:r>
      <w:r w:rsidR="59EB087F" w:rsidRPr="00453C80">
        <w:t xml:space="preserve">20 </w:t>
      </w:r>
      <w:r w:rsidR="00562516" w:rsidRPr="00453C80">
        <w:t>June</w:t>
      </w:r>
      <w:r w:rsidR="007248D3" w:rsidRPr="00453C80">
        <w:t xml:space="preserve"> </w:t>
      </w:r>
      <w:r w:rsidRPr="00453C80">
        <w:t>202</w:t>
      </w:r>
      <w:r w:rsidR="002D3284" w:rsidRPr="00453C80">
        <w:t>5</w:t>
      </w:r>
      <w:r w:rsidRPr="00453C80">
        <w:t>. Version</w:t>
      </w:r>
      <w:r w:rsidR="006C4DBE" w:rsidRPr="00453C80">
        <w:t xml:space="preserve"> 1.0 is </w:t>
      </w:r>
      <w:r w:rsidRPr="00453C80">
        <w:t>no long in effect as at</w:t>
      </w:r>
      <w:r w:rsidR="00D2510C" w:rsidRPr="00453C80">
        <w:t xml:space="preserve"> </w:t>
      </w:r>
      <w:r w:rsidR="4BC66242" w:rsidRPr="00453C80">
        <w:t>20</w:t>
      </w:r>
      <w:r w:rsidR="00562516" w:rsidRPr="00453C80">
        <w:t xml:space="preserve"> June</w:t>
      </w:r>
      <w:r w:rsidR="007746F6" w:rsidRPr="00453C80">
        <w:t xml:space="preserve"> </w:t>
      </w:r>
      <w:r w:rsidRPr="00453C80">
        <w:t>202</w:t>
      </w:r>
      <w:r w:rsidR="002D3284" w:rsidRPr="00453C80">
        <w:t>5</w:t>
      </w:r>
      <w:r w:rsidRPr="00453C80">
        <w:t>.</w:t>
      </w:r>
    </w:p>
    <w:tbl>
      <w:tblPr>
        <w:tblStyle w:val="TableGrid"/>
        <w:tblW w:w="9639" w:type="dxa"/>
        <w:tblLook w:val="04A0" w:firstRow="1" w:lastRow="0" w:firstColumn="1" w:lastColumn="0" w:noHBand="0" w:noVBand="1"/>
      </w:tblPr>
      <w:tblGrid>
        <w:gridCol w:w="905"/>
        <w:gridCol w:w="6705"/>
        <w:gridCol w:w="2029"/>
      </w:tblGrid>
      <w:tr w:rsidR="00DC39A7" w:rsidRPr="007248D3" w14:paraId="12C388F3" w14:textId="77777777" w:rsidTr="2F9B83CE">
        <w:trPr>
          <w:cnfStyle w:val="100000000000" w:firstRow="1" w:lastRow="0"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905" w:type="dxa"/>
          </w:tcPr>
          <w:p w14:paraId="599B2ACB" w14:textId="77777777" w:rsidR="00DC39A7" w:rsidRPr="007248D3" w:rsidRDefault="00DC39A7" w:rsidP="006C4DBE">
            <w:pPr>
              <w:pStyle w:val="BodyText"/>
              <w:jc w:val="center"/>
            </w:pPr>
            <w:r w:rsidRPr="007248D3">
              <w:t>Version</w:t>
            </w:r>
          </w:p>
        </w:tc>
        <w:tc>
          <w:tcPr>
            <w:tcW w:w="6705" w:type="dxa"/>
          </w:tcPr>
          <w:p w14:paraId="30C58ACF" w14:textId="77777777" w:rsidR="00DC39A7" w:rsidRPr="007248D3" w:rsidRDefault="00DC39A7" w:rsidP="007B0B02">
            <w:pPr>
              <w:pStyle w:val="BodyText"/>
              <w:cnfStyle w:val="100000000000" w:firstRow="1" w:lastRow="0" w:firstColumn="0" w:lastColumn="0" w:oddVBand="0" w:evenVBand="0" w:oddHBand="0" w:evenHBand="0" w:firstRowFirstColumn="0" w:firstRowLastColumn="0" w:lastRowFirstColumn="0" w:lastRowLastColumn="0"/>
            </w:pPr>
            <w:r w:rsidRPr="007248D3">
              <w:t>Amendments</w:t>
            </w:r>
          </w:p>
        </w:tc>
        <w:tc>
          <w:tcPr>
            <w:tcW w:w="2029" w:type="dxa"/>
          </w:tcPr>
          <w:p w14:paraId="256AF19B" w14:textId="77777777" w:rsidR="00DC39A7" w:rsidRPr="007248D3" w:rsidRDefault="00DC39A7" w:rsidP="00CD1C6D">
            <w:pPr>
              <w:pStyle w:val="BodyText"/>
              <w:jc w:val="left"/>
              <w:cnfStyle w:val="100000000000" w:firstRow="1" w:lastRow="0" w:firstColumn="0" w:lastColumn="0" w:oddVBand="0" w:evenVBand="0" w:oddHBand="0" w:evenHBand="0" w:firstRowFirstColumn="0" w:firstRowLastColumn="0" w:lastRowFirstColumn="0" w:lastRowLastColumn="0"/>
            </w:pPr>
            <w:r w:rsidRPr="007248D3">
              <w:t xml:space="preserve">In effect from </w:t>
            </w:r>
          </w:p>
        </w:tc>
      </w:tr>
      <w:tr w:rsidR="00DC39A7" w14:paraId="0D24C38D" w14:textId="77777777" w:rsidTr="2F9B83CE">
        <w:trPr>
          <w:trHeight w:val="1680"/>
        </w:trPr>
        <w:tc>
          <w:tcPr>
            <w:cnfStyle w:val="001000000000" w:firstRow="0" w:lastRow="0" w:firstColumn="1" w:lastColumn="0" w:oddVBand="0" w:evenVBand="0" w:oddHBand="0" w:evenHBand="0" w:firstRowFirstColumn="0" w:firstRowLastColumn="0" w:lastRowFirstColumn="0" w:lastRowLastColumn="0"/>
            <w:tcW w:w="905" w:type="dxa"/>
          </w:tcPr>
          <w:p w14:paraId="744FB3FF" w14:textId="77777777" w:rsidR="00DC39A7" w:rsidRPr="007248D3" w:rsidRDefault="00DC39A7" w:rsidP="006C4DBE">
            <w:pPr>
              <w:pStyle w:val="TableTextLeft"/>
              <w:jc w:val="center"/>
              <w:rPr>
                <w:sz w:val="20"/>
              </w:rPr>
            </w:pPr>
            <w:r w:rsidRPr="63E0C3F2">
              <w:rPr>
                <w:sz w:val="20"/>
              </w:rPr>
              <w:t>2.0</w:t>
            </w:r>
          </w:p>
        </w:tc>
        <w:tc>
          <w:tcPr>
            <w:tcW w:w="6705" w:type="dxa"/>
          </w:tcPr>
          <w:p w14:paraId="4B83ACAA" w14:textId="35D1758A" w:rsidR="007721C2" w:rsidRPr="007248D3" w:rsidRDefault="006D2DC4" w:rsidP="0094192C">
            <w:pPr>
              <w:pStyle w:val="TableTextLeft"/>
              <w:cnfStyle w:val="000000000000" w:firstRow="0" w:lastRow="0" w:firstColumn="0" w:lastColumn="0" w:oddVBand="0" w:evenVBand="0" w:oddHBand="0" w:evenHBand="0" w:firstRowFirstColumn="0" w:firstRowLastColumn="0" w:lastRowFirstColumn="0" w:lastRowLastColumn="0"/>
              <w:rPr>
                <w:sz w:val="20"/>
              </w:rPr>
            </w:pPr>
            <w:r w:rsidRPr="63E0C3F2">
              <w:rPr>
                <w:sz w:val="20"/>
              </w:rPr>
              <w:t>Added</w:t>
            </w:r>
            <w:r w:rsidR="000C7B53" w:rsidRPr="63E0C3F2">
              <w:rPr>
                <w:sz w:val="20"/>
              </w:rPr>
              <w:t xml:space="preserve"> </w:t>
            </w:r>
            <w:r w:rsidR="007721C2" w:rsidRPr="63E0C3F2">
              <w:rPr>
                <w:sz w:val="20"/>
              </w:rPr>
              <w:t xml:space="preserve">forward creation </w:t>
            </w:r>
            <w:r w:rsidR="00270627" w:rsidRPr="63E0C3F2">
              <w:rPr>
                <w:sz w:val="20"/>
              </w:rPr>
              <w:t>metric to calculate carbon dioxide equivalent to be reduced</w:t>
            </w:r>
            <w:r w:rsidR="7FD1F864" w:rsidRPr="63E0C3F2">
              <w:rPr>
                <w:sz w:val="20"/>
              </w:rPr>
              <w:t xml:space="preserve"> with a corresponding </w:t>
            </w:r>
            <w:r w:rsidR="65EF2638" w:rsidRPr="63E0C3F2">
              <w:rPr>
                <w:sz w:val="20"/>
              </w:rPr>
              <w:t>persistence</w:t>
            </w:r>
            <w:r w:rsidR="7FD1F864" w:rsidRPr="63E0C3F2">
              <w:rPr>
                <w:sz w:val="20"/>
              </w:rPr>
              <w:t xml:space="preserve"> model</w:t>
            </w:r>
          </w:p>
          <w:p w14:paraId="5C50F93C" w14:textId="3C9E5767" w:rsidR="007721C2" w:rsidRPr="007248D3" w:rsidRDefault="663F2FC7" w:rsidP="0094192C">
            <w:pPr>
              <w:pStyle w:val="TableTextLeft"/>
              <w:cnfStyle w:val="000000000000" w:firstRow="0" w:lastRow="0" w:firstColumn="0" w:lastColumn="0" w:oddVBand="0" w:evenVBand="0" w:oddHBand="0" w:evenHBand="0" w:firstRowFirstColumn="0" w:firstRowLastColumn="0" w:lastRowFirstColumn="0" w:lastRowLastColumn="0"/>
              <w:rPr>
                <w:sz w:val="20"/>
              </w:rPr>
            </w:pPr>
            <w:r w:rsidRPr="63E0C3F2">
              <w:rPr>
                <w:sz w:val="20"/>
              </w:rPr>
              <w:t xml:space="preserve">Revised emissions factors and removed benchmark factor. </w:t>
            </w:r>
          </w:p>
          <w:p w14:paraId="30B93440" w14:textId="5BDD5A33" w:rsidR="007721C2" w:rsidRPr="007248D3" w:rsidRDefault="663F2FC7" w:rsidP="0094192C">
            <w:pPr>
              <w:pStyle w:val="TableTextLeft"/>
              <w:cnfStyle w:val="000000000000" w:firstRow="0" w:lastRow="0" w:firstColumn="0" w:lastColumn="0" w:oddVBand="0" w:evenVBand="0" w:oddHBand="0" w:evenHBand="0" w:firstRowFirstColumn="0" w:firstRowLastColumn="0" w:lastRowFirstColumn="0" w:lastRowLastColumn="0"/>
              <w:rPr>
                <w:sz w:val="20"/>
              </w:rPr>
            </w:pPr>
            <w:r w:rsidRPr="63E0C3F2">
              <w:rPr>
                <w:sz w:val="20"/>
              </w:rPr>
              <w:t>E</w:t>
            </w:r>
            <w:r w:rsidR="0DEC16B9" w:rsidRPr="63E0C3F2">
              <w:rPr>
                <w:sz w:val="20"/>
              </w:rPr>
              <w:t>xpan</w:t>
            </w:r>
            <w:r w:rsidR="092D9A86" w:rsidRPr="63E0C3F2">
              <w:rPr>
                <w:sz w:val="20"/>
              </w:rPr>
              <w:t xml:space="preserve">ded </w:t>
            </w:r>
            <w:r w:rsidR="0DEC16B9" w:rsidRPr="63E0C3F2">
              <w:rPr>
                <w:sz w:val="20"/>
              </w:rPr>
              <w:t xml:space="preserve">eligible </w:t>
            </w:r>
            <w:r w:rsidR="003F289E" w:rsidRPr="63E0C3F2">
              <w:rPr>
                <w:sz w:val="20"/>
              </w:rPr>
              <w:t>premises</w:t>
            </w:r>
            <w:r w:rsidR="000C7B53" w:rsidRPr="63E0C3F2">
              <w:rPr>
                <w:sz w:val="20"/>
              </w:rPr>
              <w:t xml:space="preserve"> to </w:t>
            </w:r>
            <w:r w:rsidR="00C0101F" w:rsidRPr="63E0C3F2">
              <w:rPr>
                <w:sz w:val="20"/>
              </w:rPr>
              <w:t>participate in the method</w:t>
            </w:r>
            <w:r w:rsidR="2CE7F906" w:rsidRPr="63E0C3F2">
              <w:rPr>
                <w:sz w:val="20"/>
              </w:rPr>
              <w:t xml:space="preserve"> and the </w:t>
            </w:r>
            <w:r w:rsidR="05EE8835" w:rsidRPr="63E0C3F2">
              <w:rPr>
                <w:sz w:val="20"/>
              </w:rPr>
              <w:t xml:space="preserve">approved tools for calculating maximum energy for a given benchmark rating. </w:t>
            </w:r>
          </w:p>
        </w:tc>
        <w:tc>
          <w:tcPr>
            <w:tcW w:w="2029" w:type="dxa"/>
          </w:tcPr>
          <w:p w14:paraId="4C164368" w14:textId="29889603" w:rsidR="00DC39A7" w:rsidRPr="00562516" w:rsidRDefault="655F9D01" w:rsidP="2F9B83CE">
            <w:pPr>
              <w:pStyle w:val="TableTextLeft"/>
              <w:jc w:val="center"/>
              <w:cnfStyle w:val="000000000000" w:firstRow="0" w:lastRow="0" w:firstColumn="0" w:lastColumn="0" w:oddVBand="0" w:evenVBand="0" w:oddHBand="0" w:evenHBand="0" w:firstRowFirstColumn="0" w:firstRowLastColumn="0" w:lastRowFirstColumn="0" w:lastRowLastColumn="0"/>
              <w:rPr>
                <w:sz w:val="20"/>
                <w:highlight w:val="yellow"/>
              </w:rPr>
            </w:pPr>
            <w:r w:rsidRPr="00453C80">
              <w:rPr>
                <w:sz w:val="20"/>
              </w:rPr>
              <w:t>20</w:t>
            </w:r>
            <w:r w:rsidR="00562516" w:rsidRPr="00453C80">
              <w:rPr>
                <w:sz w:val="20"/>
              </w:rPr>
              <w:t xml:space="preserve"> June</w:t>
            </w:r>
            <w:r w:rsidR="007746F6" w:rsidRPr="00453C80">
              <w:rPr>
                <w:sz w:val="20"/>
              </w:rPr>
              <w:t xml:space="preserve"> </w:t>
            </w:r>
            <w:r w:rsidR="006C4DBE" w:rsidRPr="00453C80">
              <w:rPr>
                <w:sz w:val="20"/>
              </w:rPr>
              <w:t>202</w:t>
            </w:r>
            <w:r w:rsidR="00DA1895" w:rsidRPr="00453C80">
              <w:rPr>
                <w:sz w:val="20"/>
              </w:rPr>
              <w:t>5</w:t>
            </w:r>
          </w:p>
        </w:tc>
      </w:tr>
      <w:tr w:rsidR="00DC39A7" w14:paraId="22E1F174" w14:textId="77777777" w:rsidTr="2F9B83CE">
        <w:tc>
          <w:tcPr>
            <w:cnfStyle w:val="001000000000" w:firstRow="0" w:lastRow="0" w:firstColumn="1" w:lastColumn="0" w:oddVBand="0" w:evenVBand="0" w:oddHBand="0" w:evenHBand="0" w:firstRowFirstColumn="0" w:firstRowLastColumn="0" w:lastRowFirstColumn="0" w:lastRowLastColumn="0"/>
            <w:tcW w:w="905" w:type="dxa"/>
          </w:tcPr>
          <w:p w14:paraId="566EB8BC" w14:textId="77777777" w:rsidR="00DC39A7" w:rsidRDefault="00DC39A7" w:rsidP="006C4DBE">
            <w:pPr>
              <w:pStyle w:val="TableTextLeft"/>
              <w:jc w:val="center"/>
              <w:rPr>
                <w:sz w:val="20"/>
              </w:rPr>
            </w:pPr>
            <w:r w:rsidRPr="63E0C3F2">
              <w:rPr>
                <w:sz w:val="20"/>
              </w:rPr>
              <w:t>1.0</w:t>
            </w:r>
          </w:p>
        </w:tc>
        <w:tc>
          <w:tcPr>
            <w:tcW w:w="6705" w:type="dxa"/>
          </w:tcPr>
          <w:p w14:paraId="70B1ED32" w14:textId="77777777" w:rsidR="00DC39A7" w:rsidRDefault="00DC39A7" w:rsidP="007B0B02">
            <w:pPr>
              <w:pStyle w:val="TableTextLeft"/>
              <w:cnfStyle w:val="000000000000" w:firstRow="0" w:lastRow="0" w:firstColumn="0" w:lastColumn="0" w:oddVBand="0" w:evenVBand="0" w:oddHBand="0" w:evenHBand="0" w:firstRowFirstColumn="0" w:firstRowLastColumn="0" w:lastRowFirstColumn="0" w:lastRowLastColumn="0"/>
              <w:rPr>
                <w:sz w:val="20"/>
              </w:rPr>
            </w:pPr>
            <w:r w:rsidRPr="63E0C3F2">
              <w:rPr>
                <w:sz w:val="20"/>
              </w:rPr>
              <w:t>Secretary approved</w:t>
            </w:r>
          </w:p>
        </w:tc>
        <w:tc>
          <w:tcPr>
            <w:tcW w:w="2029" w:type="dxa"/>
          </w:tcPr>
          <w:p w14:paraId="74E57C64" w14:textId="4F7D4796" w:rsidR="00DC39A7" w:rsidRDefault="00DC39A7" w:rsidP="00CD1C6D">
            <w:pPr>
              <w:pStyle w:val="TableTextLeft"/>
              <w:cnfStyle w:val="000000000000" w:firstRow="0" w:lastRow="0" w:firstColumn="0" w:lastColumn="0" w:oddVBand="0" w:evenVBand="0" w:oddHBand="0" w:evenHBand="0" w:firstRowFirstColumn="0" w:firstRowLastColumn="0" w:lastRowFirstColumn="0" w:lastRowLastColumn="0"/>
              <w:rPr>
                <w:sz w:val="20"/>
              </w:rPr>
            </w:pPr>
            <w:r w:rsidRPr="63E0C3F2">
              <w:rPr>
                <w:sz w:val="20"/>
              </w:rPr>
              <w:t>1</w:t>
            </w:r>
            <w:r w:rsidR="006C4DBE" w:rsidRPr="63E0C3F2">
              <w:rPr>
                <w:sz w:val="20"/>
              </w:rPr>
              <w:t xml:space="preserve">1 December </w:t>
            </w:r>
            <w:r w:rsidRPr="63E0C3F2">
              <w:rPr>
                <w:sz w:val="20"/>
              </w:rPr>
              <w:t>201</w:t>
            </w:r>
            <w:r w:rsidR="006C4DBE" w:rsidRPr="63E0C3F2">
              <w:rPr>
                <w:sz w:val="20"/>
              </w:rPr>
              <w:t>8</w:t>
            </w:r>
          </w:p>
        </w:tc>
      </w:tr>
    </w:tbl>
    <w:p w14:paraId="7C7721C5" w14:textId="77777777" w:rsidR="00DC39A7" w:rsidRDefault="00DC39A7" w:rsidP="00DC39A7">
      <w:pPr>
        <w:pStyle w:val="DisclaimerText"/>
        <w:framePr w:wrap="around" w:vAnchor="page" w:hAnchor="page" w:x="765" w:y="8701"/>
      </w:pPr>
      <w:r>
        <w:rPr>
          <w:noProof/>
        </w:rPr>
        <mc:AlternateContent>
          <mc:Choice Requires="wps">
            <w:drawing>
              <wp:inline distT="0" distB="0" distL="0" distR="0" wp14:anchorId="0905C660" wp14:editId="3D980BB2">
                <wp:extent cx="4512215" cy="1476000"/>
                <wp:effectExtent l="0" t="0" r="3175" b="0"/>
                <wp:docPr id="442537190" name="Acknowledgement" descr="We acknowledge and respect Victorian Traditional Owners as the original custodians of Victoria’s land and waters, their unique ability to care for Country and deep spiritual connection to it.&#10;We honour Elders past and present whose knowledge and wisdom has ensured the continuation of culture and traditional practices.&#10;The Department of Energy, Environment and Climate Action is committed to genuinely partnering with Victorian Traditional Owners and Victoria’s Aboriginal community to progress their aspirati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12215" cy="1476000"/>
                        </a:xfrm>
                        <a:custGeom>
                          <a:avLst/>
                          <a:gdLst>
                            <a:gd name="connsiteX0" fmla="*/ 0 w 3389661"/>
                            <a:gd name="connsiteY0" fmla="*/ 1106043 h 1106043"/>
                            <a:gd name="connsiteX1" fmla="*/ 0 w 3389661"/>
                            <a:gd name="connsiteY1" fmla="*/ 0 h 1106043"/>
                            <a:gd name="connsiteX2" fmla="*/ 3389662 w 3389661"/>
                            <a:gd name="connsiteY2" fmla="*/ 0 h 1106043"/>
                            <a:gd name="connsiteX3" fmla="*/ 2866835 w 3389661"/>
                            <a:gd name="connsiteY3" fmla="*/ 1106043 h 1106043"/>
                            <a:gd name="connsiteX4" fmla="*/ 0 w 3389661"/>
                            <a:gd name="connsiteY4" fmla="*/ 1106043 h 11060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9661" h="1106043">
                              <a:moveTo>
                                <a:pt x="0" y="1106043"/>
                              </a:moveTo>
                              <a:lnTo>
                                <a:pt x="0" y="0"/>
                              </a:lnTo>
                              <a:lnTo>
                                <a:pt x="3389662" y="0"/>
                              </a:lnTo>
                              <a:lnTo>
                                <a:pt x="2866835" y="1106043"/>
                              </a:lnTo>
                              <a:lnTo>
                                <a:pt x="0" y="1106043"/>
                              </a:lnTo>
                              <a:close/>
                            </a:path>
                          </a:pathLst>
                        </a:custGeom>
                        <a:solidFill>
                          <a:schemeClr val="tx2"/>
                        </a:solidFill>
                        <a:ln w="9525" cap="flat">
                          <a:noFill/>
                          <a:prstDash val="solid"/>
                          <a:miter/>
                        </a:ln>
                      </wps:spPr>
                      <wps:txbx>
                        <w:txbxContent>
                          <w:p w14:paraId="50017CF8" w14:textId="77777777" w:rsidR="00DC39A7" w:rsidRDefault="00DC39A7" w:rsidP="00DC39A7">
                            <w:pPr>
                              <w:pStyle w:val="SmallBodyText"/>
                            </w:pPr>
                            <w:r>
                              <w:t>We acknowledge and respect Victorian Traditional Owners as the original custodians of Victoria’s land and waters, their unique ability to care for Country and deep spiritual connection to it.</w:t>
                            </w:r>
                          </w:p>
                          <w:p w14:paraId="64241C4B" w14:textId="77777777" w:rsidR="00DC39A7" w:rsidRDefault="00DC39A7" w:rsidP="00DC39A7">
                            <w:pPr>
                              <w:pStyle w:val="SmallBodyText"/>
                            </w:pPr>
                            <w:r>
                              <w:t xml:space="preserve">We honour Elders past and present whose knowledge and wisdom </w:t>
                            </w:r>
                            <w:r>
                              <w:br/>
                              <w:t>has ensured the continuation of culture and traditional practices.</w:t>
                            </w:r>
                          </w:p>
                          <w:p w14:paraId="585E6028" w14:textId="77777777" w:rsidR="00DC39A7" w:rsidRDefault="00DC39A7" w:rsidP="00DC39A7">
                            <w:pPr>
                              <w:pStyle w:val="SmallBodyText"/>
                            </w:pPr>
                            <w:r>
                              <w:t>DEECA is committed to genuinely partnering with Victorian Traditional Owners and Victoria’s Aboriginal community to progress their aspirations.</w:t>
                            </w:r>
                          </w:p>
                        </w:txbxContent>
                      </wps:txbx>
                      <wps:bodyPr rot="0" spcFirstLastPara="0" vertOverflow="overflow" horzOverflow="overflow" vert="horz" wrap="square" lIns="180000" tIns="90000" rIns="504000" bIns="108000" numCol="1" spcCol="0" rtlCol="0" fromWordArt="0" anchor="t" anchorCtr="0" forceAA="0" compatLnSpc="1">
                        <a:prstTxWarp prst="textNoShape">
                          <a:avLst/>
                        </a:prstTxWarp>
                        <a:noAutofit/>
                      </wps:bodyPr>
                    </wps:wsp>
                  </a:graphicData>
                </a:graphic>
              </wp:inline>
            </w:drawing>
          </mc:Choice>
          <mc:Fallback>
            <w:pict>
              <v:shape w14:anchorId="0905C660" id="Acknowledgement" o:spid="_x0000_s1026" alt="We acknowledge and respect Victorian Traditional Owners as the original custodians of Victoria’s land and waters, their unique ability to care for Country and deep spiritual connection to it.&#10;We honour Elders past and present whose knowledge and wisdom has ensured the continuation of culture and traditional practices.&#10;The Department of Energy, Environment and Climate Action is committed to genuinely partnering with Victorian Traditional Owners and Victoria’s Aboriginal community to progress their aspirations." style="width:355.3pt;height:116.2pt;visibility:visible;mso-wrap-style:square;mso-left-percent:-10001;mso-top-percent:-10001;mso-position-horizontal:absolute;mso-position-horizontal-relative:char;mso-position-vertical:absolute;mso-position-vertical-relative:line;mso-left-percent:-10001;mso-top-percent:-10001;v-text-anchor:top" coordsize="3389661,11060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" adj="-11796480,,5400" path="m,1106043l,,3389662,,2866835,1106043,,1106043xe" fillcolor="#201547 [3215]" stroked="f">
                <v:stroke joinstyle="miter"/>
                <v:formulas/>
                <v:path arrowok="t" o:connecttype="custom" o:connectlocs="0,1476000;0,0;4512216,0;3816245,1476000;0,1476000" o:connectangles="0,0,0,0,0" textboxrect="0,0,3389661,1106043"/>
                <o:lock v:ext="edit" aspectratio="t"/>
                <v:textbox inset="5mm,2.5mm,14mm,3mm">
                  <w:txbxContent>
                    <w:p w14:paraId="50017CF8" w14:textId="77777777" w:rsidR="00DC39A7" w:rsidRDefault="00DC39A7" w:rsidP="00DC39A7">
                      <w:pPr>
                        <w:pStyle w:val="SmallBodyText"/>
                      </w:pPr>
                      <w:r>
                        <w:t>We acknowledge and respect Victorian Traditional Owners as the original custodians of Victoria’s land and waters, their unique ability to care for Country and deep spiritual connection to it.</w:t>
                      </w:r>
                    </w:p>
                    <w:p w14:paraId="64241C4B" w14:textId="77777777" w:rsidR="00DC39A7" w:rsidRDefault="00DC39A7" w:rsidP="00DC39A7">
                      <w:pPr>
                        <w:pStyle w:val="SmallBodyText"/>
                      </w:pPr>
                      <w:r>
                        <w:t xml:space="preserve">We honour Elders past and present whose knowledge and wisdom </w:t>
                      </w:r>
                      <w:r>
                        <w:br/>
                        <w:t>has ensured the continuation of culture and traditional practices.</w:t>
                      </w:r>
                    </w:p>
                    <w:p w14:paraId="585E6028" w14:textId="77777777" w:rsidR="00DC39A7" w:rsidRDefault="00DC39A7" w:rsidP="00DC39A7">
                      <w:pPr>
                        <w:pStyle w:val="SmallBodyText"/>
                      </w:pPr>
                      <w:r>
                        <w:t>DEECA is committed to genuinely partnering with Victorian Traditional Owners and Victoria’s Aboriginal community to progress their aspirations.</w:t>
                      </w:r>
                    </w:p>
                  </w:txbxContent>
                </v:textbox>
                <w10:anchorlock/>
              </v:shape>
            </w:pict>
          </mc:Fallback>
        </mc:AlternateContent>
      </w:r>
      <w:r w:rsidRPr="00A1582B">
        <w:rPr>
          <w:noProof/>
        </w:rPr>
        <w:t xml:space="preserve"> </w:t>
      </w:r>
      <w:r>
        <w:rPr>
          <w:noProof/>
        </w:rPr>
        <w:drawing>
          <wp:anchor distT="0" distB="0" distL="114300" distR="114300" simplePos="0" relativeHeight="251658247" behindDoc="1" locked="1" layoutInCell="1" allowOverlap="1" wp14:anchorId="0D0575B2" wp14:editId="2580F2D3">
            <wp:simplePos x="0" y="0"/>
            <wp:positionH relativeFrom="margin">
              <wp:align>right</wp:align>
            </wp:positionH>
            <wp:positionV relativeFrom="paragraph">
              <wp:posOffset>0</wp:posOffset>
            </wp:positionV>
            <wp:extent cx="2296800" cy="1476000"/>
            <wp:effectExtent l="0" t="0" r="8255" b="0"/>
            <wp:wrapNone/>
            <wp:docPr id="586356646" name="Acknowledgement Artwor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Acknowledgement Artwork">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296800" cy="1476000"/>
                    </a:xfrm>
                    <a:prstGeom prst="rect">
                      <a:avLst/>
                    </a:prstGeom>
                  </pic:spPr>
                </pic:pic>
              </a:graphicData>
            </a:graphic>
            <wp14:sizeRelH relativeFrom="page">
              <wp14:pctWidth>0</wp14:pctWidth>
            </wp14:sizeRelH>
            <wp14:sizeRelV relativeFrom="page">
              <wp14:pctHeight>0</wp14:pctHeight>
            </wp14:sizeRelV>
          </wp:anchor>
        </w:drawing>
      </w:r>
    </w:p>
    <w:p w14:paraId="01578F96" w14:textId="50863B85" w:rsidR="00DC39A7" w:rsidRPr="006614E4" w:rsidRDefault="00DC39A7" w:rsidP="00DC39A7">
      <w:pPr>
        <w:pStyle w:val="DisclaimerTextLeft"/>
        <w:framePr w:wrap="around" w:vAnchor="page" w:hAnchor="page" w:x="765" w:y="8701"/>
      </w:pPr>
      <w:r w:rsidRPr="00576720">
        <w:t xml:space="preserve">© The State </w:t>
      </w:r>
      <w:r w:rsidRPr="006614E4">
        <w:t xml:space="preserve">of Victoria Department of </w:t>
      </w:r>
      <w:r>
        <w:t xml:space="preserve">Energy, </w:t>
      </w:r>
      <w:r w:rsidRPr="006614E4">
        <w:t>Environment</w:t>
      </w:r>
      <w:r>
        <w:t xml:space="preserve"> a</w:t>
      </w:r>
      <w:r w:rsidRPr="006614E4">
        <w:t xml:space="preserve">nd </w:t>
      </w:r>
      <w:r>
        <w:t>Climate Action</w:t>
      </w:r>
      <w:r w:rsidRPr="006614E4">
        <w:t xml:space="preserve"> </w:t>
      </w:r>
      <w:r w:rsidR="00675DF8">
        <w:t>June</w:t>
      </w:r>
      <w:r w:rsidR="00E52BCB">
        <w:t xml:space="preserve"> 2025.</w:t>
      </w:r>
    </w:p>
    <w:p w14:paraId="172C1B47" w14:textId="77777777" w:rsidR="00DC39A7" w:rsidRPr="00C87F39" w:rsidRDefault="00DC39A7" w:rsidP="00DC39A7">
      <w:pPr>
        <w:pStyle w:val="DisclaimerTextLeftBold"/>
        <w:framePr w:wrap="around" w:vAnchor="page" w:hAnchor="page" w:x="765" w:y="8701"/>
      </w:pPr>
      <w:r w:rsidRPr="00C87F39">
        <w:t>Creative Commons</w:t>
      </w:r>
    </w:p>
    <w:p w14:paraId="121F2599" w14:textId="77777777" w:rsidR="00DC39A7" w:rsidRPr="00973D7E" w:rsidRDefault="00DC39A7" w:rsidP="00DC39A7">
      <w:pPr>
        <w:pStyle w:val="DisclaimerTextLeft"/>
        <w:framePr w:wrap="around" w:vAnchor="page" w:hAnchor="page" w:x="765" w:y="8701"/>
        <w:rPr>
          <w:rFonts w:ascii="Arial Bold" w:hAnsi="Arial Bold"/>
        </w:rPr>
      </w:pPr>
      <w:r w:rsidRPr="00973D7E">
        <w:t xml:space="preserve">This work is licensed under a Creative Commons Attribution 4.0 International licence, visit the </w:t>
      </w:r>
      <w:hyperlink r:id="rId31" w:tooltip="Creative Commons website" w:history="1">
        <w:r w:rsidRPr="00973D7E">
          <w:rPr>
            <w:rStyle w:val="Hyperlink"/>
            <w:color w:val="232222" w:themeColor="text1"/>
          </w:rPr>
          <w:t>Creative Commons website</w:t>
        </w:r>
      </w:hyperlink>
      <w:r w:rsidRPr="00973D7E">
        <w:t xml:space="preserve"> (</w:t>
      </w:r>
      <w:hyperlink r:id="rId32" w:history="1">
        <w:r w:rsidRPr="00973D7E">
          <w:rPr>
            <w:rStyle w:val="Hyperlink"/>
            <w:color w:val="232222" w:themeColor="text1"/>
            <w:u w:val="none"/>
          </w:rPr>
          <w:t>http://creativecommons.org/licenses/by/4.0/</w:t>
        </w:r>
      </w:hyperlink>
      <w:r w:rsidRPr="00973D7E">
        <w:t>).</w:t>
      </w:r>
    </w:p>
    <w:p w14:paraId="4FF22367" w14:textId="77777777" w:rsidR="00DC39A7" w:rsidRPr="00973D7E" w:rsidRDefault="00DC39A7" w:rsidP="00DC39A7">
      <w:pPr>
        <w:pStyle w:val="DisclaimerTextLeft"/>
        <w:framePr w:wrap="around" w:vAnchor="page" w:hAnchor="page" w:x="765" w:y="8701"/>
        <w:rPr>
          <w:strike/>
        </w:rPr>
      </w:pPr>
      <w:r w:rsidRPr="00973D7E">
        <w:t>You are free to re-use the work under that licence, on the condition that you credit the State of Victoria as author. The licence does not apply to any images, photographs or branding, including the Victorian Coat of Arms, and the Victorian Government and Department logos.</w:t>
      </w:r>
    </w:p>
    <w:p w14:paraId="17450D2F" w14:textId="77777777" w:rsidR="00DC39A7" w:rsidRPr="00C87F39" w:rsidRDefault="00DC39A7" w:rsidP="00DC39A7">
      <w:pPr>
        <w:pStyle w:val="DisclaimerTextRightBold"/>
        <w:framePr w:wrap="around" w:vAnchor="page" w:hAnchor="page" w:x="765" w:y="8701"/>
      </w:pPr>
      <w:r w:rsidRPr="00C87F39">
        <w:t>Disclaimer</w:t>
      </w:r>
    </w:p>
    <w:p w14:paraId="4F178F4D" w14:textId="77777777" w:rsidR="00DC39A7" w:rsidRPr="006614E4" w:rsidRDefault="00DC39A7" w:rsidP="00DC39A7">
      <w:pPr>
        <w:pStyle w:val="DisclaimerTextRight"/>
        <w:framePr w:wrap="around" w:vAnchor="page" w:hAnchor="page" w:x="765" w:y="8701"/>
      </w:pPr>
      <w:r w:rsidRPr="006614E4">
        <w:t xml:space="preserve">This </w:t>
      </w:r>
      <w:r w:rsidRPr="00CB1C0B">
        <w:t>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r w:rsidRPr="006614E4">
        <w:t>.</w:t>
      </w:r>
    </w:p>
    <w:p w14:paraId="55E164E6" w14:textId="77777777" w:rsidR="00DC39A7" w:rsidRPr="00F15EE0" w:rsidRDefault="00DC39A7" w:rsidP="00DC39A7">
      <w:pPr>
        <w:pStyle w:val="DisclaimerTextRightBold12pt"/>
        <w:framePr w:wrap="around" w:vAnchor="page" w:hAnchor="page" w:x="765" w:y="8701"/>
      </w:pPr>
      <w:r w:rsidRPr="00F15EE0">
        <w:t>Accessibility</w:t>
      </w:r>
    </w:p>
    <w:p w14:paraId="42E8A2EC" w14:textId="646030B7" w:rsidR="00DC39A7" w:rsidRPr="000B497E" w:rsidRDefault="00DC39A7" w:rsidP="00DC39A7">
      <w:pPr>
        <w:pStyle w:val="DisclaimerTextRight12pt"/>
        <w:framePr w:wrap="around" w:vAnchor="page" w:hAnchor="page" w:x="765" w:y="8701"/>
      </w:pPr>
      <w:r w:rsidRPr="00CB1C0B">
        <w:t xml:space="preserve">To receive this document in an alternative format, phone the Customer Service Centre on 136 186, email </w:t>
      </w:r>
      <w:hyperlink r:id="rId33" w:history="1">
        <w:r w:rsidR="00A7305A" w:rsidRPr="004A2609">
          <w:rPr>
            <w:rStyle w:val="Hyperlink"/>
            <w:szCs w:val="24"/>
          </w:rPr>
          <w:t>customer.service@deeca.vic.gov.au</w:t>
        </w:r>
      </w:hyperlink>
      <w:r w:rsidRPr="00CB1C0B">
        <w:t xml:space="preserve">, or contact National Relay Service on 133 677. Available at </w:t>
      </w:r>
      <w:hyperlink r:id="rId34" w:tooltip="Department of Energy, Environment and Climate Action website" w:history="1">
        <w:r w:rsidRPr="00CB1C0B">
          <w:rPr>
            <w:rStyle w:val="Hyperlink"/>
            <w:color w:val="232222" w:themeColor="text1"/>
            <w:szCs w:val="24"/>
          </w:rPr>
          <w:t>DEECA website</w:t>
        </w:r>
      </w:hyperlink>
      <w:r w:rsidRPr="00CB1C0B">
        <w:t xml:space="preserve"> (www.deeca.vic.gov.au)</w:t>
      </w:r>
      <w:r w:rsidRPr="000B497E">
        <w:t>.</w:t>
      </w:r>
      <w:r>
        <w:t xml:space="preserve"> </w:t>
      </w:r>
    </w:p>
    <w:p w14:paraId="71BF09A1" w14:textId="77777777" w:rsidR="00DC39A7" w:rsidRDefault="00DC39A7" w:rsidP="00474212">
      <w:pPr>
        <w:pStyle w:val="TOCHeading"/>
        <w:sectPr w:rsidR="00DC39A7">
          <w:pgSz w:w="11907" w:h="16839" w:code="9"/>
          <w:pgMar w:top="737" w:right="850" w:bottom="850" w:left="850" w:header="283" w:footer="283" w:gutter="0"/>
          <w:cols w:space="454"/>
          <w:noEndnote/>
          <w:docGrid w:linePitch="360"/>
        </w:sectPr>
      </w:pPr>
    </w:p>
    <w:p w14:paraId="2F6DF886" w14:textId="77777777" w:rsidR="00233D6B" w:rsidRPr="00F7242A" w:rsidRDefault="00233D6B" w:rsidP="00474212">
      <w:pPr>
        <w:pStyle w:val="TOCHeading"/>
      </w:pPr>
      <w:r w:rsidRPr="00474212">
        <w:lastRenderedPageBreak/>
        <w:t>Contents</w:t>
      </w:r>
      <w:bookmarkStart w:id="1" w:name="_TOCMarker"/>
      <w:bookmarkEnd w:id="1"/>
    </w:p>
    <w:p w14:paraId="01BFDA99" w14:textId="0D66F925" w:rsidR="00CD1C6D" w:rsidRDefault="002B6635">
      <w:pPr>
        <w:pStyle w:val="TOC1"/>
        <w:rPr>
          <w:rFonts w:eastAsiaTheme="minorEastAsia" w:cstheme="minorBidi"/>
          <w:b w:val="0"/>
          <w:color w:val="auto"/>
          <w:kern w:val="2"/>
          <w14:ligatures w14:val="standardContextual"/>
        </w:rPr>
      </w:pPr>
      <w:r w:rsidRPr="00347D4E">
        <w:rPr>
          <w:rFonts w:eastAsiaTheme="majorEastAsia"/>
        </w:rPr>
        <w:fldChar w:fldCharType="begin"/>
      </w:r>
      <w:r w:rsidRPr="00347D4E">
        <w:rPr>
          <w:rFonts w:eastAsiaTheme="majorEastAsia"/>
        </w:rPr>
        <w:instrText xml:space="preserve"> TOC \o "1-</w:instrText>
      </w:r>
      <w:r w:rsidR="00C05838">
        <w:rPr>
          <w:rFonts w:eastAsiaTheme="majorEastAsia"/>
        </w:rPr>
        <w:instrText>3</w:instrText>
      </w:r>
      <w:r w:rsidRPr="00347D4E">
        <w:rPr>
          <w:rFonts w:eastAsiaTheme="majorEastAsia"/>
        </w:rPr>
        <w:instrText xml:space="preserve">" \h \z \u \t  </w:instrText>
      </w:r>
      <w:r w:rsidRPr="00347D4E">
        <w:rPr>
          <w:rFonts w:eastAsiaTheme="majorEastAsia"/>
        </w:rPr>
        <w:fldChar w:fldCharType="separate"/>
      </w:r>
      <w:hyperlink w:anchor="_Toc195022694" w:history="1">
        <w:r w:rsidR="00CD1C6D" w:rsidRPr="00BD5EC1">
          <w:rPr>
            <w:rStyle w:val="Hyperlink"/>
          </w:rPr>
          <w:t>Introduction</w:t>
        </w:r>
        <w:r w:rsidR="00CD1C6D">
          <w:rPr>
            <w:webHidden/>
          </w:rPr>
          <w:tab/>
        </w:r>
        <w:r w:rsidR="00CD1C6D">
          <w:rPr>
            <w:webHidden/>
          </w:rPr>
          <w:fldChar w:fldCharType="begin"/>
        </w:r>
        <w:r w:rsidR="00CD1C6D">
          <w:rPr>
            <w:webHidden/>
          </w:rPr>
          <w:instrText xml:space="preserve"> PAGEREF _Toc195022694 \h </w:instrText>
        </w:r>
        <w:r w:rsidR="00CD1C6D">
          <w:rPr>
            <w:webHidden/>
          </w:rPr>
        </w:r>
        <w:r w:rsidR="00CD1C6D">
          <w:rPr>
            <w:webHidden/>
          </w:rPr>
          <w:fldChar w:fldCharType="separate"/>
        </w:r>
        <w:r w:rsidR="00453C80">
          <w:rPr>
            <w:webHidden/>
          </w:rPr>
          <w:t>4</w:t>
        </w:r>
        <w:r w:rsidR="00CD1C6D">
          <w:rPr>
            <w:webHidden/>
          </w:rPr>
          <w:fldChar w:fldCharType="end"/>
        </w:r>
      </w:hyperlink>
    </w:p>
    <w:p w14:paraId="3831C293" w14:textId="30BC079F" w:rsidR="00CD1C6D" w:rsidRDefault="00CD1C6D">
      <w:pPr>
        <w:pStyle w:val="TOC2"/>
        <w:rPr>
          <w:rFonts w:eastAsiaTheme="minorEastAsia" w:cstheme="minorBidi"/>
          <w:color w:val="auto"/>
          <w:kern w:val="2"/>
          <w:sz w:val="24"/>
          <w:szCs w:val="24"/>
          <w14:ligatures w14:val="standardContextual"/>
        </w:rPr>
      </w:pPr>
      <w:hyperlink w:anchor="_Toc195022695" w:history="1">
        <w:r w:rsidRPr="00BD5EC1">
          <w:rPr>
            <w:rStyle w:val="Hyperlink"/>
          </w:rPr>
          <w:t>Purpose</w:t>
        </w:r>
        <w:r>
          <w:rPr>
            <w:webHidden/>
          </w:rPr>
          <w:tab/>
        </w:r>
        <w:r>
          <w:rPr>
            <w:webHidden/>
          </w:rPr>
          <w:fldChar w:fldCharType="begin"/>
        </w:r>
        <w:r>
          <w:rPr>
            <w:webHidden/>
          </w:rPr>
          <w:instrText xml:space="preserve"> PAGEREF _Toc195022695 \h </w:instrText>
        </w:r>
        <w:r>
          <w:rPr>
            <w:webHidden/>
          </w:rPr>
        </w:r>
        <w:r>
          <w:rPr>
            <w:webHidden/>
          </w:rPr>
          <w:fldChar w:fldCharType="separate"/>
        </w:r>
        <w:r w:rsidR="00453C80">
          <w:rPr>
            <w:webHidden/>
          </w:rPr>
          <w:t>4</w:t>
        </w:r>
        <w:r>
          <w:rPr>
            <w:webHidden/>
          </w:rPr>
          <w:fldChar w:fldCharType="end"/>
        </w:r>
      </w:hyperlink>
    </w:p>
    <w:p w14:paraId="68025493" w14:textId="35FFC87B" w:rsidR="00CD1C6D" w:rsidRDefault="00CD1C6D">
      <w:pPr>
        <w:pStyle w:val="TOC2"/>
        <w:rPr>
          <w:rFonts w:eastAsiaTheme="minorEastAsia" w:cstheme="minorBidi"/>
          <w:color w:val="auto"/>
          <w:kern w:val="2"/>
          <w:sz w:val="24"/>
          <w:szCs w:val="24"/>
          <w14:ligatures w14:val="standardContextual"/>
        </w:rPr>
      </w:pPr>
      <w:hyperlink w:anchor="_Toc195022696" w:history="1">
        <w:r w:rsidRPr="00BD5EC1">
          <w:rPr>
            <w:rStyle w:val="Hyperlink"/>
          </w:rPr>
          <w:t>Legislation and responsibilities</w:t>
        </w:r>
        <w:r>
          <w:rPr>
            <w:webHidden/>
          </w:rPr>
          <w:tab/>
        </w:r>
        <w:r>
          <w:rPr>
            <w:webHidden/>
          </w:rPr>
          <w:fldChar w:fldCharType="begin"/>
        </w:r>
        <w:r>
          <w:rPr>
            <w:webHidden/>
          </w:rPr>
          <w:instrText xml:space="preserve"> PAGEREF _Toc195022696 \h </w:instrText>
        </w:r>
        <w:r>
          <w:rPr>
            <w:webHidden/>
          </w:rPr>
        </w:r>
        <w:r>
          <w:rPr>
            <w:webHidden/>
          </w:rPr>
          <w:fldChar w:fldCharType="separate"/>
        </w:r>
        <w:r w:rsidR="00453C80">
          <w:rPr>
            <w:webHidden/>
          </w:rPr>
          <w:t>4</w:t>
        </w:r>
        <w:r>
          <w:rPr>
            <w:webHidden/>
          </w:rPr>
          <w:fldChar w:fldCharType="end"/>
        </w:r>
      </w:hyperlink>
    </w:p>
    <w:p w14:paraId="3C736DB5" w14:textId="0EBB5594" w:rsidR="00CD1C6D" w:rsidRDefault="00CD1C6D">
      <w:pPr>
        <w:pStyle w:val="TOC2"/>
        <w:rPr>
          <w:rFonts w:eastAsiaTheme="minorEastAsia" w:cstheme="minorBidi"/>
          <w:color w:val="auto"/>
          <w:kern w:val="2"/>
          <w:sz w:val="24"/>
          <w:szCs w:val="24"/>
          <w14:ligatures w14:val="standardContextual"/>
        </w:rPr>
      </w:pPr>
      <w:hyperlink w:anchor="_Toc195022697" w:history="1">
        <w:r w:rsidRPr="00BD5EC1">
          <w:rPr>
            <w:rStyle w:val="Hyperlink"/>
          </w:rPr>
          <w:t>Using this document</w:t>
        </w:r>
        <w:r>
          <w:rPr>
            <w:webHidden/>
          </w:rPr>
          <w:tab/>
        </w:r>
        <w:r>
          <w:rPr>
            <w:webHidden/>
          </w:rPr>
          <w:fldChar w:fldCharType="begin"/>
        </w:r>
        <w:r>
          <w:rPr>
            <w:webHidden/>
          </w:rPr>
          <w:instrText xml:space="preserve"> PAGEREF _Toc195022697 \h </w:instrText>
        </w:r>
        <w:r>
          <w:rPr>
            <w:webHidden/>
          </w:rPr>
        </w:r>
        <w:r>
          <w:rPr>
            <w:webHidden/>
          </w:rPr>
          <w:fldChar w:fldCharType="separate"/>
        </w:r>
        <w:r w:rsidR="00453C80">
          <w:rPr>
            <w:webHidden/>
          </w:rPr>
          <w:t>4</w:t>
        </w:r>
        <w:r>
          <w:rPr>
            <w:webHidden/>
          </w:rPr>
          <w:fldChar w:fldCharType="end"/>
        </w:r>
      </w:hyperlink>
    </w:p>
    <w:p w14:paraId="33449E95" w14:textId="6FF87F6E" w:rsidR="00CD1C6D" w:rsidRDefault="00CD1C6D">
      <w:pPr>
        <w:pStyle w:val="TOC1"/>
        <w:rPr>
          <w:rFonts w:eastAsiaTheme="minorEastAsia" w:cstheme="minorBidi"/>
          <w:b w:val="0"/>
          <w:color w:val="auto"/>
          <w:kern w:val="2"/>
          <w14:ligatures w14:val="standardContextual"/>
        </w:rPr>
      </w:pPr>
      <w:hyperlink w:anchor="_Toc195022698" w:history="1">
        <w:r w:rsidRPr="00BD5EC1">
          <w:rPr>
            <w:rStyle w:val="Hyperlink"/>
          </w:rPr>
          <w:t>Information to be provided</w:t>
        </w:r>
        <w:r>
          <w:rPr>
            <w:webHidden/>
          </w:rPr>
          <w:tab/>
        </w:r>
        <w:r>
          <w:rPr>
            <w:webHidden/>
          </w:rPr>
          <w:fldChar w:fldCharType="begin"/>
        </w:r>
        <w:r>
          <w:rPr>
            <w:webHidden/>
          </w:rPr>
          <w:instrText xml:space="preserve"> PAGEREF _Toc195022698 \h </w:instrText>
        </w:r>
        <w:r>
          <w:rPr>
            <w:webHidden/>
          </w:rPr>
        </w:r>
        <w:r>
          <w:rPr>
            <w:webHidden/>
          </w:rPr>
          <w:fldChar w:fldCharType="separate"/>
        </w:r>
        <w:r w:rsidR="00453C80">
          <w:rPr>
            <w:webHidden/>
          </w:rPr>
          <w:t>5</w:t>
        </w:r>
        <w:r>
          <w:rPr>
            <w:webHidden/>
          </w:rPr>
          <w:fldChar w:fldCharType="end"/>
        </w:r>
      </w:hyperlink>
    </w:p>
    <w:p w14:paraId="6A848E32" w14:textId="76889A92" w:rsidR="00CD1C6D" w:rsidRDefault="00CD1C6D">
      <w:pPr>
        <w:pStyle w:val="TOC2"/>
        <w:rPr>
          <w:rFonts w:eastAsiaTheme="minorEastAsia" w:cstheme="minorBidi"/>
          <w:color w:val="auto"/>
          <w:kern w:val="2"/>
          <w:sz w:val="24"/>
          <w:szCs w:val="24"/>
          <w14:ligatures w14:val="standardContextual"/>
        </w:rPr>
      </w:pPr>
      <w:hyperlink w:anchor="_Toc195022699" w:history="1">
        <w:r w:rsidRPr="00BD5EC1">
          <w:rPr>
            <w:rStyle w:val="Hyperlink"/>
          </w:rPr>
          <w:t>Information to be provided in an application for scoping approval</w:t>
        </w:r>
        <w:r>
          <w:rPr>
            <w:webHidden/>
          </w:rPr>
          <w:tab/>
        </w:r>
        <w:r>
          <w:rPr>
            <w:webHidden/>
          </w:rPr>
          <w:fldChar w:fldCharType="begin"/>
        </w:r>
        <w:r>
          <w:rPr>
            <w:webHidden/>
          </w:rPr>
          <w:instrText xml:space="preserve"> PAGEREF _Toc195022699 \h </w:instrText>
        </w:r>
        <w:r>
          <w:rPr>
            <w:webHidden/>
          </w:rPr>
        </w:r>
        <w:r>
          <w:rPr>
            <w:webHidden/>
          </w:rPr>
          <w:fldChar w:fldCharType="separate"/>
        </w:r>
        <w:r w:rsidR="00453C80">
          <w:rPr>
            <w:webHidden/>
          </w:rPr>
          <w:t>5</w:t>
        </w:r>
        <w:r>
          <w:rPr>
            <w:webHidden/>
          </w:rPr>
          <w:fldChar w:fldCharType="end"/>
        </w:r>
      </w:hyperlink>
    </w:p>
    <w:p w14:paraId="7A500CB8" w14:textId="7323B9D3" w:rsidR="00CD1C6D" w:rsidRDefault="00CD1C6D">
      <w:pPr>
        <w:pStyle w:val="TOC2"/>
        <w:rPr>
          <w:rFonts w:eastAsiaTheme="minorEastAsia" w:cstheme="minorBidi"/>
          <w:color w:val="auto"/>
          <w:kern w:val="2"/>
          <w:sz w:val="24"/>
          <w:szCs w:val="24"/>
          <w14:ligatures w14:val="standardContextual"/>
        </w:rPr>
      </w:pPr>
      <w:hyperlink w:anchor="_Toc195022700" w:history="1">
        <w:r w:rsidRPr="00BD5EC1">
          <w:rPr>
            <w:rStyle w:val="Hyperlink"/>
          </w:rPr>
          <w:t>Information to be provided in an application for approval of a project impact report</w:t>
        </w:r>
        <w:r>
          <w:rPr>
            <w:webHidden/>
          </w:rPr>
          <w:tab/>
        </w:r>
        <w:r>
          <w:rPr>
            <w:webHidden/>
          </w:rPr>
          <w:fldChar w:fldCharType="begin"/>
        </w:r>
        <w:r>
          <w:rPr>
            <w:webHidden/>
          </w:rPr>
          <w:instrText xml:space="preserve"> PAGEREF _Toc195022700 \h </w:instrText>
        </w:r>
        <w:r>
          <w:rPr>
            <w:webHidden/>
          </w:rPr>
        </w:r>
        <w:r>
          <w:rPr>
            <w:webHidden/>
          </w:rPr>
          <w:fldChar w:fldCharType="separate"/>
        </w:r>
        <w:r w:rsidR="00453C80">
          <w:rPr>
            <w:webHidden/>
          </w:rPr>
          <w:t>5</w:t>
        </w:r>
        <w:r>
          <w:rPr>
            <w:webHidden/>
          </w:rPr>
          <w:fldChar w:fldCharType="end"/>
        </w:r>
      </w:hyperlink>
    </w:p>
    <w:p w14:paraId="6C04F902" w14:textId="6641D845" w:rsidR="00CD1C6D" w:rsidRDefault="00CD1C6D">
      <w:pPr>
        <w:pStyle w:val="TOC1"/>
        <w:rPr>
          <w:rFonts w:eastAsiaTheme="minorEastAsia" w:cstheme="minorBidi"/>
          <w:b w:val="0"/>
          <w:color w:val="auto"/>
          <w:kern w:val="2"/>
          <w14:ligatures w14:val="standardContextual"/>
        </w:rPr>
      </w:pPr>
      <w:hyperlink w:anchor="_Toc195022701" w:history="1">
        <w:r w:rsidRPr="00BD5EC1">
          <w:rPr>
            <w:rStyle w:val="Hyperlink"/>
          </w:rPr>
          <w:t>Methods</w:t>
        </w:r>
        <w:r>
          <w:rPr>
            <w:webHidden/>
          </w:rPr>
          <w:tab/>
        </w:r>
        <w:r>
          <w:rPr>
            <w:webHidden/>
          </w:rPr>
          <w:fldChar w:fldCharType="begin"/>
        </w:r>
        <w:r>
          <w:rPr>
            <w:webHidden/>
          </w:rPr>
          <w:instrText xml:space="preserve"> PAGEREF _Toc195022701 \h </w:instrText>
        </w:r>
        <w:r>
          <w:rPr>
            <w:webHidden/>
          </w:rPr>
        </w:r>
        <w:r>
          <w:rPr>
            <w:webHidden/>
          </w:rPr>
          <w:fldChar w:fldCharType="separate"/>
        </w:r>
        <w:r w:rsidR="00453C80">
          <w:rPr>
            <w:webHidden/>
          </w:rPr>
          <w:t>6</w:t>
        </w:r>
        <w:r>
          <w:rPr>
            <w:webHidden/>
          </w:rPr>
          <w:fldChar w:fldCharType="end"/>
        </w:r>
      </w:hyperlink>
    </w:p>
    <w:p w14:paraId="15D1BFD5" w14:textId="76560ADE" w:rsidR="00CD1C6D" w:rsidRDefault="00CD1C6D">
      <w:pPr>
        <w:pStyle w:val="TOC2"/>
        <w:rPr>
          <w:rFonts w:eastAsiaTheme="minorEastAsia" w:cstheme="minorBidi"/>
          <w:color w:val="auto"/>
          <w:kern w:val="2"/>
          <w:sz w:val="24"/>
          <w:szCs w:val="24"/>
          <w14:ligatures w14:val="standardContextual"/>
        </w:rPr>
      </w:pPr>
      <w:hyperlink w:anchor="_Toc195022702" w:history="1">
        <w:r w:rsidRPr="00BD5EC1">
          <w:rPr>
            <w:rStyle w:val="Hyperlink"/>
          </w:rPr>
          <w:t>Calculation of carbon dioxide equivalents of greenhouse gases</w:t>
        </w:r>
        <w:r>
          <w:rPr>
            <w:webHidden/>
          </w:rPr>
          <w:tab/>
        </w:r>
        <w:r>
          <w:rPr>
            <w:webHidden/>
          </w:rPr>
          <w:fldChar w:fldCharType="begin"/>
        </w:r>
        <w:r>
          <w:rPr>
            <w:webHidden/>
          </w:rPr>
          <w:instrText xml:space="preserve"> PAGEREF _Toc195022702 \h </w:instrText>
        </w:r>
        <w:r>
          <w:rPr>
            <w:webHidden/>
          </w:rPr>
        </w:r>
        <w:r>
          <w:rPr>
            <w:webHidden/>
          </w:rPr>
          <w:fldChar w:fldCharType="separate"/>
        </w:r>
        <w:r w:rsidR="00453C80">
          <w:rPr>
            <w:webHidden/>
          </w:rPr>
          <w:t>6</w:t>
        </w:r>
        <w:r>
          <w:rPr>
            <w:webHidden/>
          </w:rPr>
          <w:fldChar w:fldCharType="end"/>
        </w:r>
      </w:hyperlink>
    </w:p>
    <w:p w14:paraId="2AB91CD5" w14:textId="3B77883A" w:rsidR="00CD1C6D" w:rsidRDefault="00CD1C6D">
      <w:pPr>
        <w:pStyle w:val="TOC2"/>
        <w:rPr>
          <w:rFonts w:eastAsiaTheme="minorEastAsia" w:cstheme="minorBidi"/>
          <w:color w:val="auto"/>
          <w:kern w:val="2"/>
          <w:sz w:val="24"/>
          <w:szCs w:val="24"/>
          <w14:ligatures w14:val="standardContextual"/>
        </w:rPr>
      </w:pPr>
      <w:hyperlink w:anchor="_Toc195022703" w:history="1">
        <w:r w:rsidRPr="00BD5EC1">
          <w:rPr>
            <w:rStyle w:val="Hyperlink"/>
          </w:rPr>
          <w:t>Equation 1 – Carbon dioxide equivalent to be reduced</w:t>
        </w:r>
        <w:r>
          <w:rPr>
            <w:webHidden/>
          </w:rPr>
          <w:tab/>
        </w:r>
        <w:r>
          <w:rPr>
            <w:webHidden/>
          </w:rPr>
          <w:fldChar w:fldCharType="begin"/>
        </w:r>
        <w:r>
          <w:rPr>
            <w:webHidden/>
          </w:rPr>
          <w:instrText xml:space="preserve"> PAGEREF _Toc195022703 \h </w:instrText>
        </w:r>
        <w:r>
          <w:rPr>
            <w:webHidden/>
          </w:rPr>
        </w:r>
        <w:r>
          <w:rPr>
            <w:webHidden/>
          </w:rPr>
          <w:fldChar w:fldCharType="separate"/>
        </w:r>
        <w:r w:rsidR="00453C80">
          <w:rPr>
            <w:webHidden/>
          </w:rPr>
          <w:t>6</w:t>
        </w:r>
        <w:r>
          <w:rPr>
            <w:webHidden/>
          </w:rPr>
          <w:fldChar w:fldCharType="end"/>
        </w:r>
      </w:hyperlink>
    </w:p>
    <w:p w14:paraId="1A93D1AD" w14:textId="0925EFD5" w:rsidR="00CD1C6D" w:rsidRDefault="00CD1C6D">
      <w:pPr>
        <w:pStyle w:val="TOC2"/>
        <w:rPr>
          <w:rFonts w:eastAsiaTheme="minorEastAsia" w:cstheme="minorBidi"/>
          <w:color w:val="auto"/>
          <w:kern w:val="2"/>
          <w:sz w:val="24"/>
          <w:szCs w:val="24"/>
          <w14:ligatures w14:val="standardContextual"/>
        </w:rPr>
      </w:pPr>
      <w:hyperlink w:anchor="_Toc195022704" w:history="1">
        <w:r w:rsidRPr="00BD5EC1">
          <w:rPr>
            <w:rStyle w:val="Hyperlink"/>
          </w:rPr>
          <w:t>Equation 2 – Energy savings</w:t>
        </w:r>
        <w:r>
          <w:rPr>
            <w:webHidden/>
          </w:rPr>
          <w:tab/>
        </w:r>
        <w:r>
          <w:rPr>
            <w:webHidden/>
          </w:rPr>
          <w:fldChar w:fldCharType="begin"/>
        </w:r>
        <w:r>
          <w:rPr>
            <w:webHidden/>
          </w:rPr>
          <w:instrText xml:space="preserve"> PAGEREF _Toc195022704 \h </w:instrText>
        </w:r>
        <w:r>
          <w:rPr>
            <w:webHidden/>
          </w:rPr>
        </w:r>
        <w:r>
          <w:rPr>
            <w:webHidden/>
          </w:rPr>
          <w:fldChar w:fldCharType="separate"/>
        </w:r>
        <w:r w:rsidR="00453C80">
          <w:rPr>
            <w:webHidden/>
          </w:rPr>
          <w:t>7</w:t>
        </w:r>
        <w:r>
          <w:rPr>
            <w:webHidden/>
          </w:rPr>
          <w:fldChar w:fldCharType="end"/>
        </w:r>
      </w:hyperlink>
    </w:p>
    <w:p w14:paraId="33DF9976" w14:textId="1DCA50F0" w:rsidR="00CD1C6D" w:rsidRDefault="00CD1C6D">
      <w:pPr>
        <w:pStyle w:val="TOC2"/>
        <w:rPr>
          <w:rFonts w:eastAsiaTheme="minorEastAsia" w:cstheme="minorBidi"/>
          <w:color w:val="auto"/>
          <w:kern w:val="2"/>
          <w:sz w:val="24"/>
          <w:szCs w:val="24"/>
          <w14:ligatures w14:val="standardContextual"/>
        </w:rPr>
      </w:pPr>
      <w:hyperlink w:anchor="_Toc195022705" w:history="1">
        <w:r w:rsidRPr="00BD5EC1">
          <w:rPr>
            <w:rStyle w:val="Hyperlink"/>
          </w:rPr>
          <w:t>Equation 3 – Reporting energy consumption</w:t>
        </w:r>
        <w:r>
          <w:rPr>
            <w:webHidden/>
          </w:rPr>
          <w:tab/>
        </w:r>
        <w:r>
          <w:rPr>
            <w:webHidden/>
          </w:rPr>
          <w:fldChar w:fldCharType="begin"/>
        </w:r>
        <w:r>
          <w:rPr>
            <w:webHidden/>
          </w:rPr>
          <w:instrText xml:space="preserve"> PAGEREF _Toc195022705 \h </w:instrText>
        </w:r>
        <w:r>
          <w:rPr>
            <w:webHidden/>
          </w:rPr>
        </w:r>
        <w:r>
          <w:rPr>
            <w:webHidden/>
          </w:rPr>
          <w:fldChar w:fldCharType="separate"/>
        </w:r>
        <w:r w:rsidR="00453C80">
          <w:rPr>
            <w:webHidden/>
          </w:rPr>
          <w:t>7</w:t>
        </w:r>
        <w:r>
          <w:rPr>
            <w:webHidden/>
          </w:rPr>
          <w:fldChar w:fldCharType="end"/>
        </w:r>
      </w:hyperlink>
    </w:p>
    <w:p w14:paraId="240F25E0" w14:textId="25ED5DF3" w:rsidR="00CD1C6D" w:rsidRDefault="00CD1C6D">
      <w:pPr>
        <w:pStyle w:val="TOC2"/>
        <w:rPr>
          <w:rFonts w:eastAsiaTheme="minorEastAsia" w:cstheme="minorBidi"/>
          <w:color w:val="auto"/>
          <w:kern w:val="2"/>
          <w:sz w:val="24"/>
          <w:szCs w:val="24"/>
          <w14:ligatures w14:val="standardContextual"/>
        </w:rPr>
      </w:pPr>
      <w:hyperlink w:anchor="_Toc195022706" w:history="1">
        <w:r w:rsidRPr="00BD5EC1">
          <w:rPr>
            <w:rStyle w:val="Hyperlink"/>
          </w:rPr>
          <w:t>Equation 4 – Baseline energy consumption</w:t>
        </w:r>
        <w:r>
          <w:rPr>
            <w:webHidden/>
          </w:rPr>
          <w:tab/>
        </w:r>
        <w:r>
          <w:rPr>
            <w:webHidden/>
          </w:rPr>
          <w:fldChar w:fldCharType="begin"/>
        </w:r>
        <w:r>
          <w:rPr>
            <w:webHidden/>
          </w:rPr>
          <w:instrText xml:space="preserve"> PAGEREF _Toc195022706 \h </w:instrText>
        </w:r>
        <w:r>
          <w:rPr>
            <w:webHidden/>
          </w:rPr>
        </w:r>
        <w:r>
          <w:rPr>
            <w:webHidden/>
          </w:rPr>
          <w:fldChar w:fldCharType="separate"/>
        </w:r>
        <w:r w:rsidR="00453C80">
          <w:rPr>
            <w:webHidden/>
          </w:rPr>
          <w:t>7</w:t>
        </w:r>
        <w:r>
          <w:rPr>
            <w:webHidden/>
          </w:rPr>
          <w:fldChar w:fldCharType="end"/>
        </w:r>
      </w:hyperlink>
    </w:p>
    <w:p w14:paraId="742CCC54" w14:textId="30C32FDA" w:rsidR="00CD1C6D" w:rsidRDefault="00CD1C6D">
      <w:pPr>
        <w:pStyle w:val="TOC2"/>
        <w:rPr>
          <w:rFonts w:eastAsiaTheme="minorEastAsia" w:cstheme="minorBidi"/>
          <w:color w:val="auto"/>
          <w:kern w:val="2"/>
          <w:sz w:val="24"/>
          <w:szCs w:val="24"/>
          <w14:ligatures w14:val="standardContextual"/>
        </w:rPr>
      </w:pPr>
      <w:hyperlink w:anchor="_Toc195022707" w:history="1">
        <w:r w:rsidRPr="00BD5EC1">
          <w:rPr>
            <w:rStyle w:val="Hyperlink"/>
          </w:rPr>
          <w:t>Time at which prescribed activity is undertaken and reduction in greenhouse gas emissions occurs</w:t>
        </w:r>
        <w:r>
          <w:rPr>
            <w:webHidden/>
          </w:rPr>
          <w:tab/>
        </w:r>
        <w:r>
          <w:rPr>
            <w:webHidden/>
          </w:rPr>
          <w:fldChar w:fldCharType="begin"/>
        </w:r>
        <w:r>
          <w:rPr>
            <w:webHidden/>
          </w:rPr>
          <w:instrText xml:space="preserve"> PAGEREF _Toc195022707 \h </w:instrText>
        </w:r>
        <w:r>
          <w:rPr>
            <w:webHidden/>
          </w:rPr>
        </w:r>
        <w:r>
          <w:rPr>
            <w:webHidden/>
          </w:rPr>
          <w:fldChar w:fldCharType="separate"/>
        </w:r>
        <w:r w:rsidR="00453C80">
          <w:rPr>
            <w:webHidden/>
          </w:rPr>
          <w:t>7</w:t>
        </w:r>
        <w:r>
          <w:rPr>
            <w:webHidden/>
          </w:rPr>
          <w:fldChar w:fldCharType="end"/>
        </w:r>
      </w:hyperlink>
    </w:p>
    <w:p w14:paraId="75A79711" w14:textId="2F0C312B" w:rsidR="00CD1C6D" w:rsidRDefault="00CD1C6D">
      <w:pPr>
        <w:pStyle w:val="TOC1"/>
        <w:rPr>
          <w:rFonts w:eastAsiaTheme="minorEastAsia" w:cstheme="minorBidi"/>
          <w:b w:val="0"/>
          <w:color w:val="auto"/>
          <w:kern w:val="2"/>
          <w14:ligatures w14:val="standardContextual"/>
        </w:rPr>
      </w:pPr>
      <w:hyperlink w:anchor="_Toc195022708" w:history="1">
        <w:r w:rsidRPr="00BD5EC1">
          <w:rPr>
            <w:rStyle w:val="Hyperlink"/>
          </w:rPr>
          <w:t>Variables</w:t>
        </w:r>
        <w:r>
          <w:rPr>
            <w:webHidden/>
          </w:rPr>
          <w:tab/>
        </w:r>
        <w:r>
          <w:rPr>
            <w:webHidden/>
          </w:rPr>
          <w:fldChar w:fldCharType="begin"/>
        </w:r>
        <w:r>
          <w:rPr>
            <w:webHidden/>
          </w:rPr>
          <w:instrText xml:space="preserve"> PAGEREF _Toc195022708 \h </w:instrText>
        </w:r>
        <w:r>
          <w:rPr>
            <w:webHidden/>
          </w:rPr>
        </w:r>
        <w:r>
          <w:rPr>
            <w:webHidden/>
          </w:rPr>
          <w:fldChar w:fldCharType="separate"/>
        </w:r>
        <w:r w:rsidR="00453C80">
          <w:rPr>
            <w:webHidden/>
          </w:rPr>
          <w:t>8</w:t>
        </w:r>
        <w:r>
          <w:rPr>
            <w:webHidden/>
          </w:rPr>
          <w:fldChar w:fldCharType="end"/>
        </w:r>
      </w:hyperlink>
    </w:p>
    <w:p w14:paraId="395B5E63" w14:textId="4CE2C579" w:rsidR="00CD1C6D" w:rsidRDefault="00CD1C6D">
      <w:pPr>
        <w:pStyle w:val="TOC2"/>
        <w:rPr>
          <w:rFonts w:eastAsiaTheme="minorEastAsia" w:cstheme="minorBidi"/>
          <w:color w:val="auto"/>
          <w:kern w:val="2"/>
          <w:sz w:val="24"/>
          <w:szCs w:val="24"/>
          <w14:ligatures w14:val="standardContextual"/>
        </w:rPr>
      </w:pPr>
      <w:hyperlink w:anchor="_Toc195022709" w:history="1">
        <w:r w:rsidRPr="00BD5EC1">
          <w:rPr>
            <w:rStyle w:val="Hyperlink"/>
          </w:rPr>
          <w:t>Terms</w:t>
        </w:r>
        <w:r>
          <w:rPr>
            <w:webHidden/>
          </w:rPr>
          <w:tab/>
        </w:r>
        <w:r>
          <w:rPr>
            <w:webHidden/>
          </w:rPr>
          <w:fldChar w:fldCharType="begin"/>
        </w:r>
        <w:r>
          <w:rPr>
            <w:webHidden/>
          </w:rPr>
          <w:instrText xml:space="preserve"> PAGEREF _Toc195022709 \h </w:instrText>
        </w:r>
        <w:r>
          <w:rPr>
            <w:webHidden/>
          </w:rPr>
        </w:r>
        <w:r>
          <w:rPr>
            <w:webHidden/>
          </w:rPr>
          <w:fldChar w:fldCharType="separate"/>
        </w:r>
        <w:r w:rsidR="00453C80">
          <w:rPr>
            <w:webHidden/>
          </w:rPr>
          <w:t>8</w:t>
        </w:r>
        <w:r>
          <w:rPr>
            <w:webHidden/>
          </w:rPr>
          <w:fldChar w:fldCharType="end"/>
        </w:r>
      </w:hyperlink>
    </w:p>
    <w:p w14:paraId="0140D582" w14:textId="519FA8A1" w:rsidR="00CD1C6D" w:rsidRDefault="00CD1C6D">
      <w:pPr>
        <w:pStyle w:val="TOC3"/>
        <w:rPr>
          <w:b w:val="0"/>
          <w:color w:val="auto"/>
          <w:kern w:val="2"/>
          <w:sz w:val="24"/>
          <w:szCs w:val="24"/>
          <w14:ligatures w14:val="standardContextual"/>
        </w:rPr>
      </w:pPr>
      <w:hyperlink w:anchor="_Toc195022710" w:history="1">
        <w:r w:rsidRPr="00BD5EC1">
          <w:rPr>
            <w:rStyle w:val="Hyperlink"/>
          </w:rPr>
          <w:t>Table 1 – Decay factor</w:t>
        </w:r>
        <w:r>
          <w:rPr>
            <w:webHidden/>
          </w:rPr>
          <w:tab/>
        </w:r>
        <w:r>
          <w:rPr>
            <w:webHidden/>
          </w:rPr>
          <w:fldChar w:fldCharType="begin"/>
        </w:r>
        <w:r>
          <w:rPr>
            <w:webHidden/>
          </w:rPr>
          <w:instrText xml:space="preserve"> PAGEREF _Toc195022710 \h </w:instrText>
        </w:r>
        <w:r>
          <w:rPr>
            <w:webHidden/>
          </w:rPr>
        </w:r>
        <w:r>
          <w:rPr>
            <w:webHidden/>
          </w:rPr>
          <w:fldChar w:fldCharType="separate"/>
        </w:r>
        <w:r w:rsidR="00453C80">
          <w:rPr>
            <w:webHidden/>
          </w:rPr>
          <w:t>11</w:t>
        </w:r>
        <w:r>
          <w:rPr>
            <w:webHidden/>
          </w:rPr>
          <w:fldChar w:fldCharType="end"/>
        </w:r>
      </w:hyperlink>
    </w:p>
    <w:p w14:paraId="4A43A24F" w14:textId="2F4B9207" w:rsidR="002B6635" w:rsidRDefault="002B6635" w:rsidP="002B6635">
      <w:pPr>
        <w:pStyle w:val="NoSpacing"/>
        <w:rPr>
          <w:rFonts w:eastAsiaTheme="majorEastAsia"/>
        </w:rPr>
      </w:pPr>
      <w:r w:rsidRPr="00347D4E">
        <w:rPr>
          <w:rFonts w:eastAsiaTheme="majorEastAsia"/>
        </w:rPr>
        <w:fldChar w:fldCharType="end"/>
      </w:r>
    </w:p>
    <w:p w14:paraId="27110993" w14:textId="77777777" w:rsidR="006A090F" w:rsidRPr="006A090F" w:rsidRDefault="006A090F" w:rsidP="006A090F">
      <w:pPr>
        <w:pStyle w:val="BodyText"/>
        <w:rPr>
          <w:rFonts w:eastAsiaTheme="majorEastAsia"/>
        </w:rPr>
      </w:pPr>
    </w:p>
    <w:p w14:paraId="426F6FBD" w14:textId="77777777" w:rsidR="002E31E7" w:rsidRDefault="002E31E7" w:rsidP="002E31E7">
      <w:pPr>
        <w:pStyle w:val="NoSpacing"/>
      </w:pPr>
      <w:bookmarkStart w:id="2" w:name="_Toc4060449"/>
      <w:bookmarkStart w:id="3" w:name="_Toc132706726"/>
      <w:bookmarkStart w:id="4" w:name="_Toc132706771"/>
      <w:bookmarkStart w:id="5" w:name="_Toc132706781"/>
      <w:bookmarkStart w:id="6" w:name="_Toc132706789"/>
      <w:bookmarkStart w:id="7" w:name="_Toc132706796"/>
      <w:bookmarkStart w:id="8" w:name="_Toc132706835"/>
      <w:bookmarkStart w:id="9" w:name="_Toc132707234"/>
      <w:bookmarkStart w:id="10" w:name="_Toc132707345"/>
      <w:bookmarkStart w:id="11" w:name="_Toc132707652"/>
      <w:bookmarkStart w:id="12" w:name="_Toc132707671"/>
      <w:bookmarkStart w:id="13" w:name="_Toc132815935"/>
      <w:bookmarkStart w:id="14" w:name="_Toc132815952"/>
    </w:p>
    <w:p w14:paraId="45526F73" w14:textId="77777777" w:rsidR="002E31E7" w:rsidRDefault="002E31E7" w:rsidP="002E31E7">
      <w:pPr>
        <w:pStyle w:val="NoSpacing"/>
        <w:sectPr w:rsidR="002E31E7">
          <w:pgSz w:w="11907" w:h="16839" w:code="9"/>
          <w:pgMar w:top="737" w:right="850" w:bottom="850" w:left="850" w:header="283" w:footer="283" w:gutter="0"/>
          <w:cols w:space="454"/>
          <w:noEndnote/>
          <w:docGrid w:linePitch="360"/>
        </w:sectPr>
      </w:pPr>
    </w:p>
    <w:p w14:paraId="689AE746" w14:textId="77777777" w:rsidR="00EA3B00" w:rsidRDefault="00EA3B00" w:rsidP="00EA3B00">
      <w:pPr>
        <w:pStyle w:val="Heading1"/>
        <w:numPr>
          <w:ilvl w:val="0"/>
          <w:numId w:val="0"/>
        </w:numPr>
      </w:pPr>
      <w:bookmarkStart w:id="15" w:name="_Toc75862236"/>
      <w:bookmarkStart w:id="16" w:name="_Toc195022694"/>
      <w:bookmarkEnd w:id="2"/>
      <w:bookmarkEnd w:id="3"/>
      <w:bookmarkEnd w:id="4"/>
      <w:bookmarkEnd w:id="5"/>
      <w:bookmarkEnd w:id="6"/>
      <w:bookmarkEnd w:id="7"/>
      <w:bookmarkEnd w:id="8"/>
      <w:bookmarkEnd w:id="9"/>
      <w:bookmarkEnd w:id="10"/>
      <w:bookmarkEnd w:id="11"/>
      <w:bookmarkEnd w:id="12"/>
      <w:bookmarkEnd w:id="13"/>
      <w:bookmarkEnd w:id="14"/>
      <w:r>
        <w:lastRenderedPageBreak/>
        <w:t>Introduction</w:t>
      </w:r>
      <w:bookmarkEnd w:id="15"/>
      <w:bookmarkEnd w:id="16"/>
    </w:p>
    <w:p w14:paraId="37B3203C" w14:textId="5993EF26" w:rsidR="002341FD" w:rsidRPr="002341FD" w:rsidRDefault="002341FD" w:rsidP="002341FD">
      <w:pPr>
        <w:pStyle w:val="IntroFeatureText"/>
      </w:pPr>
      <w:bookmarkStart w:id="17" w:name="_Hlk526333839"/>
      <w:r w:rsidRPr="007519FC">
        <w:t xml:space="preserve">The Benchmark Rating method provides methods and variables for project-based activities in the Victorian Energy Upgrades program. These are contained within this document, the Benchmark Rating Specifications (the specifications). </w:t>
      </w:r>
      <w:bookmarkEnd w:id="17"/>
    </w:p>
    <w:p w14:paraId="719128ED" w14:textId="77777777" w:rsidR="00EA3B00" w:rsidRDefault="00EA3B00" w:rsidP="00EA3B00">
      <w:pPr>
        <w:pStyle w:val="Heading2"/>
        <w:spacing w:line="260" w:lineRule="exact"/>
      </w:pPr>
      <w:bookmarkStart w:id="18" w:name="_Toc75862237"/>
      <w:bookmarkStart w:id="19" w:name="_Toc195022695"/>
      <w:r>
        <w:t>Purpose</w:t>
      </w:r>
      <w:bookmarkEnd w:id="18"/>
      <w:bookmarkEnd w:id="19"/>
    </w:p>
    <w:p w14:paraId="3BBC03AE" w14:textId="3EEAD583" w:rsidR="002341FD" w:rsidRPr="002341FD" w:rsidRDefault="002341FD" w:rsidP="002341FD">
      <w:pPr>
        <w:pStyle w:val="BodyText"/>
      </w:pPr>
      <w:bookmarkStart w:id="20" w:name="_Hlk526333895"/>
      <w:r w:rsidRPr="007519FC">
        <w:t xml:space="preserve">This document sets out the specifications for calculating the carbon dioxide equivalent (in tonnes) of greenhouse gases using the Benchmark Rating method to be reduced by carrying out a prescribed activity.  </w:t>
      </w:r>
      <w:bookmarkEnd w:id="20"/>
    </w:p>
    <w:p w14:paraId="5C10204F" w14:textId="77777777" w:rsidR="00EA3B00" w:rsidRDefault="00EA3B00" w:rsidP="00EA3B00">
      <w:pPr>
        <w:pStyle w:val="Heading2"/>
      </w:pPr>
      <w:bookmarkStart w:id="21" w:name="_Toc75862238"/>
      <w:bookmarkStart w:id="22" w:name="_Toc195022696"/>
      <w:r>
        <w:t>Legislation and responsibilities</w:t>
      </w:r>
      <w:bookmarkEnd w:id="21"/>
      <w:bookmarkEnd w:id="22"/>
    </w:p>
    <w:p w14:paraId="6CBA3320" w14:textId="77777777" w:rsidR="002341FD" w:rsidRPr="007519FC" w:rsidRDefault="002341FD" w:rsidP="002341FD">
      <w:pPr>
        <w:pStyle w:val="BodyText"/>
      </w:pPr>
      <w:bookmarkStart w:id="23" w:name="_Hlk526333776"/>
      <w:r w:rsidRPr="007519FC">
        <w:t>The Victorian Energy Upgrades program is enabled by the Victorian Energy Efficiency Target (VEET) Act 2007, the Victorian Energy Efficiency Target Regulations 20</w:t>
      </w:r>
      <w:r>
        <w:t>1</w:t>
      </w:r>
      <w:r w:rsidRPr="007519FC">
        <w:t>8 (the VEET Regulations 20</w:t>
      </w:r>
      <w:r>
        <w:t>1</w:t>
      </w:r>
      <w:r w:rsidRPr="007519FC">
        <w:t>8), the Victorian Energy Efficiency Target (Project-Based Activities) Regulations 2017 (the VEET PBA Regulations 2017) and the Victorian Energy Efficiency Target Guidelines (the Guidelines).</w:t>
      </w:r>
    </w:p>
    <w:bookmarkEnd w:id="23"/>
    <w:p w14:paraId="3E48342F" w14:textId="73DA3E85" w:rsidR="002341FD" w:rsidRPr="007519FC" w:rsidRDefault="002341FD" w:rsidP="002341FD">
      <w:pPr>
        <w:pStyle w:val="BodyText"/>
      </w:pPr>
      <w:r w:rsidRPr="007519FC">
        <w:t xml:space="preserve">The Department of </w:t>
      </w:r>
      <w:r>
        <w:t>En</w:t>
      </w:r>
      <w:r w:rsidR="4DB51133">
        <w:t xml:space="preserve">ergy, </w:t>
      </w:r>
      <w:r w:rsidRPr="007519FC">
        <w:t xml:space="preserve">Environment and </w:t>
      </w:r>
      <w:r w:rsidR="4DB51133">
        <w:t>Climate Action</w:t>
      </w:r>
      <w:r w:rsidRPr="007519FC">
        <w:t xml:space="preserve"> (the department) supports the Minister in overseeing the Victorian Energy Upgrades legislation. </w:t>
      </w:r>
    </w:p>
    <w:p w14:paraId="7306B5BB" w14:textId="77777777" w:rsidR="002341FD" w:rsidRPr="007519FC" w:rsidRDefault="002341FD" w:rsidP="002341FD">
      <w:pPr>
        <w:pStyle w:val="BodyText"/>
      </w:pPr>
      <w:r w:rsidRPr="007519FC">
        <w:t>This document sets out the rules for defining the methods and variables to be used when calculating the abatement of a prescribed activity using the Benchmark Rating method for the purpose set out in the PBA Regulations.</w:t>
      </w:r>
    </w:p>
    <w:p w14:paraId="6376ABC9" w14:textId="77777777" w:rsidR="002341FD" w:rsidRPr="007519FC" w:rsidRDefault="002341FD" w:rsidP="002341FD">
      <w:pPr>
        <w:pStyle w:val="BodyText"/>
      </w:pPr>
      <w:r w:rsidRPr="007519FC">
        <w:t xml:space="preserve">The Essential Services Commission (ESC) is the administrator of the Victorian Energy Upgrades program and is responsible for the Guidelines. Participants must also comply with the ESC’s </w:t>
      </w:r>
      <w:r>
        <w:t>requirements</w:t>
      </w:r>
      <w:r w:rsidRPr="007519FC">
        <w:t xml:space="preserve">, which are published on their website at </w:t>
      </w:r>
      <w:hyperlink r:id="rId35">
        <w:r w:rsidRPr="007519FC">
          <w:rPr>
            <w:rStyle w:val="Hyperlink"/>
          </w:rPr>
          <w:t>http://veet.vic.gov.au</w:t>
        </w:r>
      </w:hyperlink>
      <w:r w:rsidRPr="007519FC">
        <w:t>.</w:t>
      </w:r>
    </w:p>
    <w:p w14:paraId="2B27EB4F" w14:textId="59FA3C8D" w:rsidR="00EA3B00" w:rsidRPr="007519FC" w:rsidRDefault="002341FD" w:rsidP="00EA3B00">
      <w:pPr>
        <w:pStyle w:val="BodyText"/>
      </w:pPr>
      <w:bookmarkStart w:id="24" w:name="_Hlk526334295"/>
      <w:r w:rsidRPr="007519FC">
        <w:t xml:space="preserve">This document should be read in conjunction with the Act, Regulations and material published by the ESC. </w:t>
      </w:r>
      <w:bookmarkEnd w:id="24"/>
    </w:p>
    <w:p w14:paraId="75F42DB8" w14:textId="5B3C3961" w:rsidR="008C48A1" w:rsidRDefault="00EA3B00" w:rsidP="002E31E7">
      <w:pPr>
        <w:pStyle w:val="Heading2"/>
        <w:spacing w:line="260" w:lineRule="exact"/>
      </w:pPr>
      <w:bookmarkStart w:id="25" w:name="_Toc75862239"/>
      <w:bookmarkStart w:id="26" w:name="_Toc195022697"/>
      <w:r>
        <w:t>Using this document</w:t>
      </w:r>
      <w:bookmarkEnd w:id="25"/>
      <w:bookmarkEnd w:id="26"/>
    </w:p>
    <w:p w14:paraId="748E2E85" w14:textId="77777777" w:rsidR="002341FD" w:rsidRPr="007519FC" w:rsidRDefault="002341FD" w:rsidP="002341FD">
      <w:pPr>
        <w:pStyle w:val="BodyText"/>
      </w:pPr>
      <w:r w:rsidRPr="007519FC">
        <w:t xml:space="preserve">This document is divided into three parts: </w:t>
      </w:r>
      <w:r w:rsidRPr="007519FC">
        <w:rPr>
          <w:b/>
          <w:bCs/>
          <w:color w:val="EA7200" w:themeColor="accent2"/>
        </w:rPr>
        <w:t>Information to be provided</w:t>
      </w:r>
      <w:r w:rsidRPr="007519FC">
        <w:t xml:space="preserve">, </w:t>
      </w:r>
      <w:r w:rsidRPr="007519FC">
        <w:rPr>
          <w:b/>
          <w:bCs/>
          <w:color w:val="EA7200" w:themeColor="accent2"/>
        </w:rPr>
        <w:t>Methods</w:t>
      </w:r>
      <w:r w:rsidRPr="007519FC">
        <w:t xml:space="preserve"> and </w:t>
      </w:r>
      <w:r w:rsidRPr="007519FC">
        <w:rPr>
          <w:b/>
          <w:bCs/>
          <w:color w:val="EA7200" w:themeColor="accent2"/>
        </w:rPr>
        <w:t>Variables</w:t>
      </w:r>
      <w:r w:rsidRPr="007519FC">
        <w:t>.</w:t>
      </w:r>
    </w:p>
    <w:p w14:paraId="0D9B8E91" w14:textId="77777777" w:rsidR="002341FD" w:rsidRPr="007519FC" w:rsidRDefault="002341FD" w:rsidP="002341FD">
      <w:pPr>
        <w:pStyle w:val="BodyText"/>
      </w:pPr>
      <w:r w:rsidRPr="007519FC">
        <w:rPr>
          <w:b/>
          <w:bCs/>
          <w:color w:val="EA7200" w:themeColor="accent2"/>
        </w:rPr>
        <w:t>Information to be provided</w:t>
      </w:r>
      <w:r w:rsidRPr="007519FC">
        <w:t xml:space="preserve"> lists information specific to benchmark rating which must be provided during the scoping approval and project impact report stages.</w:t>
      </w:r>
    </w:p>
    <w:p w14:paraId="23B91A08" w14:textId="77777777" w:rsidR="002341FD" w:rsidRPr="007519FC" w:rsidRDefault="002341FD" w:rsidP="002341FD">
      <w:pPr>
        <w:pStyle w:val="BodyText"/>
      </w:pPr>
      <w:r w:rsidRPr="007519FC">
        <w:rPr>
          <w:b/>
          <w:bCs/>
          <w:color w:val="EA7200" w:themeColor="accent2"/>
        </w:rPr>
        <w:t>Methods</w:t>
      </w:r>
      <w:r w:rsidRPr="007519FC">
        <w:t xml:space="preserve"> sets out the calculations that must be undertaken in determining the abatement.</w:t>
      </w:r>
    </w:p>
    <w:p w14:paraId="0F287814" w14:textId="77777777" w:rsidR="002341FD" w:rsidRPr="007519FC" w:rsidRDefault="002341FD" w:rsidP="002341FD">
      <w:pPr>
        <w:pStyle w:val="BodyText"/>
      </w:pPr>
      <w:r w:rsidRPr="007519FC">
        <w:rPr>
          <w:b/>
          <w:bCs/>
          <w:color w:val="EA7200" w:themeColor="accent2"/>
        </w:rPr>
        <w:t>Variables</w:t>
      </w:r>
      <w:r w:rsidRPr="007519FC">
        <w:t xml:space="preserve"> sets out the terms by which projects are defined.</w:t>
      </w:r>
    </w:p>
    <w:p w14:paraId="3392263E" w14:textId="77777777" w:rsidR="002341FD" w:rsidRDefault="002341FD" w:rsidP="002E31E7">
      <w:pPr>
        <w:sectPr w:rsidR="002341FD" w:rsidSect="002E31E7">
          <w:pgSz w:w="11907" w:h="16839" w:code="9"/>
          <w:pgMar w:top="1134" w:right="1134" w:bottom="1134" w:left="1134" w:header="283" w:footer="283" w:gutter="0"/>
          <w:cols w:space="454"/>
          <w:noEndnote/>
          <w:docGrid w:linePitch="360"/>
        </w:sectPr>
      </w:pPr>
    </w:p>
    <w:p w14:paraId="71828160" w14:textId="08904F69" w:rsidR="00747A21" w:rsidRPr="00C97362" w:rsidRDefault="00747A21" w:rsidP="002341FD">
      <w:pPr>
        <w:pStyle w:val="Heading1"/>
        <w:numPr>
          <w:ilvl w:val="0"/>
          <w:numId w:val="0"/>
        </w:numPr>
      </w:pPr>
      <w:bookmarkStart w:id="27" w:name="_Toc75862240"/>
      <w:bookmarkStart w:id="28" w:name="_Toc195022698"/>
      <w:r>
        <w:lastRenderedPageBreak/>
        <w:t>Information to be provided</w:t>
      </w:r>
      <w:bookmarkEnd w:id="27"/>
      <w:bookmarkEnd w:id="28"/>
    </w:p>
    <w:p w14:paraId="36AA4732" w14:textId="77777777" w:rsidR="00747A21" w:rsidRDefault="00747A21" w:rsidP="00747A21">
      <w:pPr>
        <w:pStyle w:val="Heading2"/>
        <w:spacing w:line="260" w:lineRule="exact"/>
      </w:pPr>
      <w:bookmarkStart w:id="29" w:name="_Toc75862242"/>
      <w:bookmarkStart w:id="30" w:name="_Toc195022699"/>
      <w:r>
        <w:t>Information to be provided in an application for scoping approval</w:t>
      </w:r>
      <w:bookmarkEnd w:id="29"/>
      <w:bookmarkEnd w:id="30"/>
    </w:p>
    <w:p w14:paraId="0A502F9B" w14:textId="1336279A" w:rsidR="002341FD" w:rsidRPr="007519FC" w:rsidRDefault="002341FD" w:rsidP="00CD1C6D">
      <w:pPr>
        <w:pStyle w:val="ListNumber"/>
        <w:numPr>
          <w:ilvl w:val="0"/>
          <w:numId w:val="26"/>
        </w:numPr>
        <w:jc w:val="left"/>
      </w:pPr>
      <w:r w:rsidRPr="003D7D1B">
        <w:t>The applications for scoping approval must include an approved benchmark administrator for a process intended to be used to calculate the reduction in greenhouse gases. The Secretary has approved one benchmark administrator under regulation 17A of the VEET PBA Regulations 2017. Only this benchmark administrator, for the premises or area within premises specified, can be nominated in an application for scoping approval</w:t>
      </w:r>
      <w:r w:rsidRPr="007519FC">
        <w:t>.</w:t>
      </w:r>
    </w:p>
    <w:p w14:paraId="413EF4CC" w14:textId="77777777" w:rsidR="002341FD" w:rsidRPr="007519FC" w:rsidRDefault="002341FD" w:rsidP="00097204">
      <w:pPr>
        <w:pStyle w:val="ListNumber"/>
        <w:numPr>
          <w:ilvl w:val="0"/>
          <w:numId w:val="20"/>
        </w:numPr>
        <w:jc w:val="left"/>
      </w:pPr>
      <w:r w:rsidRPr="007519FC">
        <w:t>NSW OEH</w:t>
      </w:r>
      <w:r w:rsidRPr="007519FC">
        <w:rPr>
          <w:rStyle w:val="FootnoteReference"/>
        </w:rPr>
        <w:footnoteReference w:id="2"/>
      </w:r>
      <w:r w:rsidRPr="007519FC">
        <w:t xml:space="preserve"> – NABERS</w:t>
      </w:r>
      <w:r w:rsidRPr="007519FC">
        <w:rPr>
          <w:rStyle w:val="FootnoteReference"/>
        </w:rPr>
        <w:footnoteReference w:id="3"/>
      </w:r>
      <w:r w:rsidRPr="007519FC">
        <w:t xml:space="preserve"> Energy Rating – Data centres – IT equipment</w:t>
      </w:r>
    </w:p>
    <w:p w14:paraId="27420563" w14:textId="77777777" w:rsidR="002341FD" w:rsidRPr="007519FC" w:rsidRDefault="002341FD" w:rsidP="00097204">
      <w:pPr>
        <w:pStyle w:val="ListNumber"/>
        <w:numPr>
          <w:ilvl w:val="0"/>
          <w:numId w:val="20"/>
        </w:numPr>
        <w:jc w:val="left"/>
      </w:pPr>
      <w:r w:rsidRPr="007519FC">
        <w:t>NSW OEH – NABERS Energy Rating – Data centres – Infrastructure</w:t>
      </w:r>
    </w:p>
    <w:p w14:paraId="2AD56130" w14:textId="77777777" w:rsidR="002341FD" w:rsidRPr="007519FC" w:rsidRDefault="002341FD" w:rsidP="00097204">
      <w:pPr>
        <w:pStyle w:val="ListNumber"/>
        <w:numPr>
          <w:ilvl w:val="0"/>
          <w:numId w:val="20"/>
        </w:numPr>
        <w:jc w:val="left"/>
      </w:pPr>
      <w:r w:rsidRPr="007519FC">
        <w:t>NSW OEH – NABERS Energy Rating – Data centres – Whole facility</w:t>
      </w:r>
    </w:p>
    <w:p w14:paraId="56FE2715" w14:textId="77777777" w:rsidR="002341FD" w:rsidRPr="007519FC" w:rsidRDefault="002341FD" w:rsidP="00097204">
      <w:pPr>
        <w:pStyle w:val="ListNumber"/>
        <w:numPr>
          <w:ilvl w:val="0"/>
          <w:numId w:val="20"/>
        </w:numPr>
        <w:jc w:val="left"/>
      </w:pPr>
      <w:r w:rsidRPr="007519FC">
        <w:t xml:space="preserve">NSW OEH – NABERS Energy Rating – Hotels </w:t>
      </w:r>
    </w:p>
    <w:p w14:paraId="6F2E36C1" w14:textId="77777777" w:rsidR="002341FD" w:rsidRPr="007519FC" w:rsidRDefault="002341FD" w:rsidP="00097204">
      <w:pPr>
        <w:pStyle w:val="ListNumber"/>
        <w:numPr>
          <w:ilvl w:val="0"/>
          <w:numId w:val="20"/>
        </w:numPr>
        <w:jc w:val="left"/>
      </w:pPr>
      <w:r w:rsidRPr="007519FC">
        <w:t>NSW OEH – NABERS Energy Rating – Offices – Tenancy</w:t>
      </w:r>
    </w:p>
    <w:p w14:paraId="5AF77A0E" w14:textId="77777777" w:rsidR="002341FD" w:rsidRPr="007519FC" w:rsidRDefault="002341FD" w:rsidP="00097204">
      <w:pPr>
        <w:pStyle w:val="ListNumber"/>
        <w:numPr>
          <w:ilvl w:val="0"/>
          <w:numId w:val="20"/>
        </w:numPr>
        <w:jc w:val="left"/>
      </w:pPr>
      <w:r w:rsidRPr="007519FC">
        <w:t>NSW OEH – NABERS Energy Rating – Offices – Base building</w:t>
      </w:r>
    </w:p>
    <w:p w14:paraId="6312534F" w14:textId="77777777" w:rsidR="002341FD" w:rsidRPr="007519FC" w:rsidRDefault="002341FD" w:rsidP="00097204">
      <w:pPr>
        <w:pStyle w:val="ListNumber"/>
        <w:numPr>
          <w:ilvl w:val="0"/>
          <w:numId w:val="20"/>
        </w:numPr>
        <w:jc w:val="left"/>
      </w:pPr>
      <w:r w:rsidRPr="007519FC">
        <w:t>NSW OEH – NABERS Energy Rating – Offices – Whole building</w:t>
      </w:r>
    </w:p>
    <w:p w14:paraId="5112F0F0" w14:textId="77777777" w:rsidR="002341FD" w:rsidRPr="007519FC" w:rsidRDefault="002341FD" w:rsidP="00097204">
      <w:pPr>
        <w:pStyle w:val="ListNumber"/>
        <w:numPr>
          <w:ilvl w:val="0"/>
          <w:numId w:val="20"/>
        </w:numPr>
        <w:jc w:val="left"/>
      </w:pPr>
      <w:r w:rsidRPr="007519FC">
        <w:t>NSW OEH – NABERS Energy Rating – Shopping centres</w:t>
      </w:r>
    </w:p>
    <w:p w14:paraId="5EB20EF6" w14:textId="77777777" w:rsidR="002341FD" w:rsidRPr="007519FC" w:rsidRDefault="002341FD" w:rsidP="00097204">
      <w:pPr>
        <w:pStyle w:val="ListNumber"/>
        <w:numPr>
          <w:ilvl w:val="0"/>
          <w:numId w:val="20"/>
        </w:numPr>
        <w:jc w:val="left"/>
      </w:pPr>
      <w:r w:rsidRPr="007519FC">
        <w:t>NSW OEH – NABERS Energy Rating – Hospitals</w:t>
      </w:r>
    </w:p>
    <w:p w14:paraId="0CD47A60" w14:textId="58C746BD" w:rsidR="00747A21" w:rsidRDefault="002341FD" w:rsidP="00097204">
      <w:pPr>
        <w:pStyle w:val="ListNumber"/>
        <w:numPr>
          <w:ilvl w:val="0"/>
          <w:numId w:val="20"/>
        </w:numPr>
        <w:jc w:val="left"/>
      </w:pPr>
      <w:r w:rsidRPr="007519FC">
        <w:t>NSW OEH – NABERS Energy Rating – Apartment buildings</w:t>
      </w:r>
    </w:p>
    <w:p w14:paraId="30ABF907" w14:textId="77777777" w:rsidR="00BA4C05" w:rsidRPr="007248D3" w:rsidRDefault="00BA4C05" w:rsidP="00BA4C05">
      <w:pPr>
        <w:pStyle w:val="BodyText"/>
        <w:numPr>
          <w:ilvl w:val="0"/>
          <w:numId w:val="20"/>
        </w:numPr>
        <w:rPr>
          <w:iCs/>
        </w:rPr>
      </w:pPr>
      <w:r w:rsidRPr="007248D3">
        <w:rPr>
          <w:iCs/>
        </w:rPr>
        <w:t xml:space="preserve">NSW OEH – NABERS Energy Rating – Residential Aged Care </w:t>
      </w:r>
    </w:p>
    <w:p w14:paraId="507D5C5B" w14:textId="77777777" w:rsidR="00BA4C05" w:rsidRPr="007248D3" w:rsidRDefault="00BA4C05" w:rsidP="00BA4C05">
      <w:pPr>
        <w:pStyle w:val="BodyText"/>
        <w:numPr>
          <w:ilvl w:val="0"/>
          <w:numId w:val="20"/>
        </w:numPr>
        <w:rPr>
          <w:iCs/>
        </w:rPr>
      </w:pPr>
      <w:r w:rsidRPr="007248D3">
        <w:rPr>
          <w:iCs/>
        </w:rPr>
        <w:t>NSW OEH – NABERS Energy Rating – Retirement Living</w:t>
      </w:r>
    </w:p>
    <w:p w14:paraId="744CEE97" w14:textId="77777777" w:rsidR="00BA4C05" w:rsidRPr="007248D3" w:rsidRDefault="00BA4C05" w:rsidP="00BA4C05">
      <w:pPr>
        <w:pStyle w:val="BodyText"/>
        <w:numPr>
          <w:ilvl w:val="0"/>
          <w:numId w:val="20"/>
        </w:numPr>
        <w:rPr>
          <w:iCs/>
        </w:rPr>
      </w:pPr>
      <w:r w:rsidRPr="007248D3">
        <w:rPr>
          <w:iCs/>
        </w:rPr>
        <w:t xml:space="preserve">NSW OEH – NABERS Energy Rating – Warehouses and cold stores </w:t>
      </w:r>
    </w:p>
    <w:p w14:paraId="146ECD57" w14:textId="744F51B6" w:rsidR="00775041" w:rsidRPr="007248D3" w:rsidRDefault="00775041" w:rsidP="007248D3">
      <w:pPr>
        <w:pStyle w:val="ListNumber"/>
        <w:numPr>
          <w:ilvl w:val="0"/>
          <w:numId w:val="20"/>
        </w:numPr>
        <w:jc w:val="left"/>
        <w:rPr>
          <w:iCs/>
        </w:rPr>
      </w:pPr>
      <w:r w:rsidRPr="007248D3">
        <w:rPr>
          <w:iCs/>
        </w:rPr>
        <w:t xml:space="preserve">NSW OEH – NABERS Energy Rating – Schools </w:t>
      </w:r>
    </w:p>
    <w:p w14:paraId="2D780DFA" w14:textId="77777777" w:rsidR="00446EF6" w:rsidRPr="007248D3" w:rsidRDefault="00446EF6" w:rsidP="007248D3">
      <w:pPr>
        <w:pStyle w:val="ListNumber"/>
        <w:numPr>
          <w:ilvl w:val="0"/>
          <w:numId w:val="20"/>
        </w:numPr>
        <w:jc w:val="left"/>
        <w:rPr>
          <w:iCs/>
        </w:rPr>
      </w:pPr>
      <w:r w:rsidRPr="007248D3">
        <w:rPr>
          <w:iCs/>
        </w:rPr>
        <w:t>NSW OEH – NABERS Energy Rating – Retail Stores</w:t>
      </w:r>
    </w:p>
    <w:p w14:paraId="21345CE1" w14:textId="339B3AB5" w:rsidR="00CA767E" w:rsidRPr="000C7B53" w:rsidRDefault="00446EF6" w:rsidP="007248D3">
      <w:pPr>
        <w:pStyle w:val="ListNumber"/>
        <w:numPr>
          <w:ilvl w:val="0"/>
          <w:numId w:val="20"/>
        </w:numPr>
        <w:jc w:val="left"/>
        <w:rPr>
          <w:iCs/>
        </w:rPr>
      </w:pPr>
      <w:r w:rsidRPr="007248D3">
        <w:rPr>
          <w:iCs/>
        </w:rPr>
        <w:t xml:space="preserve">NSW OEH – NABERS Energy Performance Indicator </w:t>
      </w:r>
    </w:p>
    <w:p w14:paraId="466A0766" w14:textId="77777777" w:rsidR="00BA4C05" w:rsidRPr="007248D3" w:rsidRDefault="00BA4C05" w:rsidP="00BA4C05">
      <w:pPr>
        <w:pStyle w:val="BodyText"/>
        <w:numPr>
          <w:ilvl w:val="0"/>
          <w:numId w:val="20"/>
        </w:numPr>
        <w:rPr>
          <w:iCs/>
        </w:rPr>
      </w:pPr>
      <w:r w:rsidRPr="007248D3">
        <w:rPr>
          <w:iCs/>
        </w:rPr>
        <w:t xml:space="preserve">NSW OEH – Future NABERS Energy rating tools that are developed excluding pilot rating tools. </w:t>
      </w:r>
    </w:p>
    <w:p w14:paraId="4F116D72" w14:textId="77777777" w:rsidR="00477361" w:rsidRPr="00053457" w:rsidRDefault="00477361" w:rsidP="00BA4C05">
      <w:pPr>
        <w:pStyle w:val="ListNumber"/>
        <w:numPr>
          <w:ilvl w:val="0"/>
          <w:numId w:val="0"/>
        </w:numPr>
        <w:ind w:left="340" w:hanging="340"/>
        <w:jc w:val="left"/>
      </w:pPr>
    </w:p>
    <w:p w14:paraId="4E675EAF" w14:textId="435CC88C" w:rsidR="00747A21" w:rsidRDefault="00747A21" w:rsidP="00747A21">
      <w:pPr>
        <w:pStyle w:val="Heading2"/>
        <w:spacing w:line="260" w:lineRule="exact"/>
      </w:pPr>
      <w:bookmarkStart w:id="31" w:name="_Toc75862243"/>
      <w:bookmarkStart w:id="32" w:name="_Toc195022700"/>
      <w:r>
        <w:t xml:space="preserve">Information to be provided in an application for approval of a project </w:t>
      </w:r>
      <w:bookmarkEnd w:id="31"/>
      <w:r w:rsidR="00477361">
        <w:t>impact report</w:t>
      </w:r>
      <w:bookmarkEnd w:id="32"/>
      <w:r>
        <w:t xml:space="preserve"> </w:t>
      </w:r>
    </w:p>
    <w:p w14:paraId="799E3900" w14:textId="2BB4A943" w:rsidR="002341FD" w:rsidRPr="007519FC" w:rsidRDefault="002341FD" w:rsidP="00CD1C6D">
      <w:pPr>
        <w:pStyle w:val="ListNumber"/>
        <w:numPr>
          <w:ilvl w:val="0"/>
          <w:numId w:val="26"/>
        </w:numPr>
      </w:pPr>
      <w:r w:rsidRPr="007519FC">
        <w:t>The application for approval of a project impact report must include the following:</w:t>
      </w:r>
    </w:p>
    <w:p w14:paraId="45FDBE6B" w14:textId="5CA985BF" w:rsidR="002341FD" w:rsidRPr="003D7D1B" w:rsidRDefault="002341FD" w:rsidP="00CD1C6D">
      <w:pPr>
        <w:pStyle w:val="ListNumber"/>
        <w:numPr>
          <w:ilvl w:val="0"/>
          <w:numId w:val="27"/>
        </w:numPr>
        <w:jc w:val="left"/>
      </w:pPr>
      <w:bookmarkStart w:id="33" w:name="_Hlk525738924"/>
      <w:r w:rsidRPr="003D7D1B">
        <w:t xml:space="preserve">two </w:t>
      </w:r>
      <w:r w:rsidR="0084232B">
        <w:t>NABERS Energy Rating Report</w:t>
      </w:r>
      <w:r w:rsidRPr="003D7D1B">
        <w:t xml:space="preserve"> documents, one accounting for the baseline period and one for the reporting period;</w:t>
      </w:r>
    </w:p>
    <w:p w14:paraId="327EEDCE" w14:textId="354F5251" w:rsidR="002341FD" w:rsidRPr="007519FC" w:rsidRDefault="002341FD" w:rsidP="00CD1C6D">
      <w:pPr>
        <w:pStyle w:val="ListNumber"/>
        <w:numPr>
          <w:ilvl w:val="0"/>
          <w:numId w:val="27"/>
        </w:numPr>
        <w:jc w:val="left"/>
      </w:pPr>
      <w:r w:rsidRPr="007519FC">
        <w:t xml:space="preserve">a calculation of the carbon dioxide equivalent to be reduced using Equations 1 to </w:t>
      </w:r>
      <w:r w:rsidR="00652C74">
        <w:t>4</w:t>
      </w:r>
      <w:r w:rsidRPr="007519FC">
        <w:t>;</w:t>
      </w:r>
    </w:p>
    <w:p w14:paraId="4A75D6FF" w14:textId="77777777" w:rsidR="002341FD" w:rsidRPr="007519FC" w:rsidRDefault="002341FD" w:rsidP="00CD1C6D">
      <w:pPr>
        <w:pStyle w:val="ListNumber"/>
        <w:numPr>
          <w:ilvl w:val="0"/>
          <w:numId w:val="27"/>
        </w:numPr>
        <w:jc w:val="left"/>
      </w:pPr>
      <w:r w:rsidRPr="007519FC">
        <w:t>number of whole years between the baseline period and the reporting period;</w:t>
      </w:r>
    </w:p>
    <w:p w14:paraId="25C5C257" w14:textId="6E7CDFCD" w:rsidR="002341FD" w:rsidRPr="007519FC" w:rsidRDefault="002341FD" w:rsidP="00CD1C6D">
      <w:pPr>
        <w:pStyle w:val="ListNumber"/>
        <w:numPr>
          <w:ilvl w:val="0"/>
          <w:numId w:val="27"/>
        </w:numPr>
        <w:jc w:val="left"/>
      </w:pPr>
      <w:r w:rsidRPr="007519FC">
        <w:t xml:space="preserve">inputs for the </w:t>
      </w:r>
      <w:r w:rsidR="003679E7">
        <w:t>prediction tool</w:t>
      </w:r>
      <w:r w:rsidRPr="007519FC">
        <w:t xml:space="preserve"> for the baseline period;</w:t>
      </w:r>
    </w:p>
    <w:p w14:paraId="2EBD44F2" w14:textId="77777777" w:rsidR="002341FD" w:rsidRPr="007519FC" w:rsidRDefault="002341FD" w:rsidP="00CD1C6D">
      <w:pPr>
        <w:pStyle w:val="ListNumber"/>
        <w:numPr>
          <w:ilvl w:val="0"/>
          <w:numId w:val="27"/>
        </w:numPr>
        <w:jc w:val="left"/>
      </w:pPr>
      <w:r w:rsidRPr="007519FC">
        <w:t>details of the energy content factors for fuels that are not electricity or gas;</w:t>
      </w:r>
    </w:p>
    <w:p w14:paraId="2E0ABA60" w14:textId="77777777" w:rsidR="002341FD" w:rsidRPr="007519FC" w:rsidRDefault="002341FD" w:rsidP="00CD1C6D">
      <w:pPr>
        <w:pStyle w:val="ListNumber"/>
        <w:numPr>
          <w:ilvl w:val="0"/>
          <w:numId w:val="27"/>
        </w:numPr>
        <w:jc w:val="left"/>
      </w:pPr>
      <w:r w:rsidRPr="007519FC">
        <w:t>details of the unaccounted energy consumption during the reporting period;</w:t>
      </w:r>
    </w:p>
    <w:p w14:paraId="6C9CD322" w14:textId="77777777" w:rsidR="002341FD" w:rsidRPr="007519FC" w:rsidRDefault="002341FD" w:rsidP="00CD1C6D">
      <w:pPr>
        <w:pStyle w:val="ListNumber"/>
        <w:numPr>
          <w:ilvl w:val="0"/>
          <w:numId w:val="27"/>
        </w:numPr>
        <w:jc w:val="left"/>
      </w:pPr>
      <w:r w:rsidRPr="007519FC">
        <w:t>details of any negative savings;</w:t>
      </w:r>
      <w:r>
        <w:t xml:space="preserve"> and</w:t>
      </w:r>
    </w:p>
    <w:p w14:paraId="3859EA90" w14:textId="33B5A5A7" w:rsidR="00A86976" w:rsidRPr="00E52BCB" w:rsidRDefault="002341FD" w:rsidP="00CD1C6D">
      <w:pPr>
        <w:pStyle w:val="ListNumber"/>
        <w:numPr>
          <w:ilvl w:val="0"/>
          <w:numId w:val="27"/>
        </w:numPr>
        <w:jc w:val="left"/>
      </w:pPr>
      <w:r w:rsidRPr="007519FC">
        <w:t>details of any counted savings.</w:t>
      </w:r>
      <w:bookmarkStart w:id="34" w:name="_Toc75862246"/>
      <w:bookmarkEnd w:id="33"/>
    </w:p>
    <w:p w14:paraId="51F95D0C" w14:textId="22FF5483" w:rsidR="00747A21" w:rsidRPr="00050253" w:rsidRDefault="00747A21" w:rsidP="00747A21">
      <w:pPr>
        <w:pStyle w:val="Heading1"/>
        <w:numPr>
          <w:ilvl w:val="0"/>
          <w:numId w:val="0"/>
        </w:numPr>
      </w:pPr>
      <w:bookmarkStart w:id="35" w:name="_Toc195022701"/>
      <w:r>
        <w:lastRenderedPageBreak/>
        <w:t>Methods</w:t>
      </w:r>
      <w:bookmarkEnd w:id="34"/>
      <w:bookmarkEnd w:id="35"/>
    </w:p>
    <w:p w14:paraId="6673689A" w14:textId="77777777" w:rsidR="00747A21" w:rsidRPr="00423621" w:rsidRDefault="00747A21" w:rsidP="00747A21">
      <w:pPr>
        <w:pStyle w:val="Heading2"/>
      </w:pPr>
      <w:bookmarkStart w:id="36" w:name="_Toc75862247"/>
      <w:bookmarkStart w:id="37" w:name="_Toc195022702"/>
      <w:r w:rsidRPr="00423621">
        <w:t>Calculation of carbon dioxide equivalents of greenhouse gases</w:t>
      </w:r>
      <w:bookmarkEnd w:id="36"/>
      <w:bookmarkEnd w:id="37"/>
    </w:p>
    <w:p w14:paraId="434436A4" w14:textId="40F91E1E" w:rsidR="00477361" w:rsidRPr="007519FC" w:rsidRDefault="00477361" w:rsidP="00CD1C6D">
      <w:pPr>
        <w:pStyle w:val="ListNumber"/>
        <w:numPr>
          <w:ilvl w:val="0"/>
          <w:numId w:val="26"/>
        </w:numPr>
      </w:pPr>
      <w:r w:rsidRPr="007519FC">
        <w:t xml:space="preserve">The carbon dioxide equivalent (in tonnes) of greenhouse gases to be reduced by undertaking a project is calculated using Equation 1, where variables are determined in accordance with sections </w:t>
      </w:r>
      <w:r w:rsidRPr="003D7D1B">
        <w:fldChar w:fldCharType="begin"/>
      </w:r>
      <w:r w:rsidRPr="003D7D1B">
        <w:instrText xml:space="preserve"> REF _Ref522875354 \r \h </w:instrText>
      </w:r>
      <w:r>
        <w:instrText xml:space="preserve"> \* MERGEFORMAT </w:instrText>
      </w:r>
      <w:r w:rsidRPr="003D7D1B">
        <w:fldChar w:fldCharType="separate"/>
      </w:r>
      <w:r w:rsidR="00453C80">
        <w:t>(6)</w:t>
      </w:r>
      <w:r w:rsidRPr="003D7D1B">
        <w:fldChar w:fldCharType="end"/>
      </w:r>
      <w:r w:rsidRPr="003D7D1B">
        <w:t xml:space="preserve"> to </w:t>
      </w:r>
      <w:r w:rsidRPr="003D7D1B">
        <w:fldChar w:fldCharType="begin"/>
      </w:r>
      <w:r w:rsidRPr="003D7D1B">
        <w:instrText xml:space="preserve"> REF _Ref522876560 \w \h </w:instrText>
      </w:r>
      <w:r>
        <w:instrText xml:space="preserve"> \* MERGEFORMAT </w:instrText>
      </w:r>
      <w:r w:rsidRPr="003D7D1B">
        <w:fldChar w:fldCharType="separate"/>
      </w:r>
      <w:r w:rsidR="00453C80">
        <w:t>(16)</w:t>
      </w:r>
      <w:r w:rsidRPr="003D7D1B">
        <w:fldChar w:fldCharType="end"/>
      </w:r>
      <w:r w:rsidRPr="003D7D1B">
        <w:t>.</w:t>
      </w:r>
    </w:p>
    <w:p w14:paraId="0D681C8B" w14:textId="77777777" w:rsidR="00747A21" w:rsidRDefault="00747A21" w:rsidP="00747A21">
      <w:pPr>
        <w:pStyle w:val="BodyText"/>
      </w:pPr>
    </w:p>
    <w:p w14:paraId="6E1BADD3" w14:textId="77777777" w:rsidR="00747A21" w:rsidRDefault="00747A21" w:rsidP="00747A21">
      <w:pPr>
        <w:pStyle w:val="Heading2"/>
      </w:pPr>
      <w:bookmarkStart w:id="38" w:name="_Toc75862248"/>
      <w:bookmarkStart w:id="39" w:name="_Toc195022703"/>
      <w:r>
        <w:t>Equation 1 – Carbon dioxide equivalent to be reduced</w:t>
      </w:r>
      <w:bookmarkEnd w:id="38"/>
      <w:bookmarkEnd w:id="39"/>
    </w:p>
    <w:p w14:paraId="1BED1411" w14:textId="21D6F368" w:rsidR="00B30DCE" w:rsidRPr="007248D3" w:rsidRDefault="00477361" w:rsidP="00477361">
      <w:pPr>
        <w:pStyle w:val="BodyText"/>
        <w:ind w:left="567"/>
        <w:rPr>
          <w:rFonts w:asciiTheme="majorHAnsi" w:eastAsiaTheme="majorEastAsia" w:hAnsiTheme="majorHAnsi" w:cstheme="majorBidi"/>
          <w:sz w:val="24"/>
          <w:szCs w:val="24"/>
        </w:rPr>
      </w:pPr>
      <m:oMathPara>
        <m:oMathParaPr>
          <m:jc m:val="left"/>
        </m:oMathParaPr>
        <m:oMath>
          <m:r>
            <w:rPr>
              <w:rFonts w:ascii="Cambria Math" w:hAnsi="Cambria Math"/>
              <w:sz w:val="24"/>
            </w:rPr>
            <m:t xml:space="preserve">carbon dioxide equivalent= </m:t>
          </m:r>
          <m:r>
            <m:rPr>
              <m:sty m:val="p"/>
            </m:rPr>
            <w:rPr>
              <w:rFonts w:ascii="Cambria Math" w:hAnsi="Cambria Math"/>
              <w:sz w:val="24"/>
            </w:rPr>
            <w:br/>
          </m:r>
        </m:oMath>
        <m:oMath>
          <m:r>
            <w:rPr>
              <w:rFonts w:ascii="Cambria Math" w:hAnsi="Cambria Math"/>
              <w:sz w:val="24"/>
              <w:szCs w:val="24"/>
            </w:rPr>
            <m:t xml:space="preserve">       </m:t>
          </m:r>
          <m:nary>
            <m:naryPr>
              <m:chr m:val="∑"/>
              <m:limLoc m:val="undOvr"/>
              <m:supHide m:val="1"/>
              <m:ctrlPr>
                <w:rPr>
                  <w:rFonts w:ascii="Cambria Math" w:hAnsi="Cambria Math"/>
                  <w:i/>
                  <w:sz w:val="24"/>
                  <w:szCs w:val="24"/>
                </w:rPr>
              </m:ctrlPr>
            </m:naryPr>
            <m:sub>
              <m:r>
                <w:rPr>
                  <w:rFonts w:ascii="Cambria Math" w:hAnsi="Cambria Math"/>
                  <w:sz w:val="24"/>
                  <w:szCs w:val="24"/>
                </w:rPr>
                <m:t>i</m:t>
              </m:r>
            </m:sub>
            <m:sup/>
            <m:e>
              <m:d>
                <m:dPr>
                  <m:begChr m:val="["/>
                  <m:endChr m:val="]"/>
                  <m:ctrlPr>
                    <w:rPr>
                      <w:rFonts w:ascii="Cambria Math" w:hAnsi="Cambria Math"/>
                      <w:i/>
                      <w:sz w:val="24"/>
                      <w:szCs w:val="24"/>
                    </w:rPr>
                  </m:ctrlPr>
                </m:dPr>
                <m:e>
                  <m:r>
                    <w:rPr>
                      <w:rFonts w:ascii="Cambria Math" w:hAnsi="Cambria Math"/>
                      <w:sz w:val="24"/>
                      <w:szCs w:val="24"/>
                    </w:rPr>
                    <m:t>electrictiy savings x electricity emissions factor x RF+gas savings x gas emissions factor</m:t>
                  </m:r>
                </m:e>
              </m:d>
              <m:r>
                <w:rPr>
                  <w:rFonts w:ascii="Cambria Math" w:hAnsi="Cambria Math"/>
                  <w:sz w:val="24"/>
                  <w:szCs w:val="24"/>
                </w:rPr>
                <m:t xml:space="preserve"> x </m:t>
              </m:r>
            </m:e>
          </m:nary>
          <m:sSub>
            <m:sSubPr>
              <m:ctrlPr>
                <w:rPr>
                  <w:rFonts w:ascii="Cambria Math" w:hAnsi="Cambria Math" w:cstheme="minorHAnsi"/>
                  <w:i/>
                  <w:sz w:val="24"/>
                  <w:szCs w:val="24"/>
                </w:rPr>
              </m:ctrlPr>
            </m:sSubPr>
            <m:e>
              <m:r>
                <w:rPr>
                  <w:rFonts w:ascii="Cambria Math" w:hAnsi="Cambria Math" w:cstheme="minorHAnsi"/>
                  <w:sz w:val="24"/>
                  <w:szCs w:val="24"/>
                </w:rPr>
                <m:t>DF</m:t>
              </m:r>
            </m:e>
            <m:sub>
              <m:r>
                <w:rPr>
                  <w:rFonts w:ascii="Cambria Math" w:hAnsi="Cambria Math" w:cstheme="minorHAnsi"/>
                  <w:sz w:val="24"/>
                  <w:szCs w:val="24"/>
                </w:rPr>
                <m:t>i</m:t>
              </m:r>
            </m:sub>
          </m:sSub>
        </m:oMath>
      </m:oMathPara>
    </w:p>
    <w:p w14:paraId="6EB75709" w14:textId="654DC91E" w:rsidR="00477361" w:rsidRDefault="00483FCF" w:rsidP="00477361">
      <w:pPr>
        <w:pStyle w:val="BodyText"/>
        <w:ind w:left="567"/>
        <w:rPr>
          <w:rFonts w:asciiTheme="majorHAnsi" w:eastAsiaTheme="majorEastAsia" w:hAnsiTheme="majorHAnsi" w:cstheme="majorBidi"/>
          <w:oMath/>
        </w:rPr>
      </w:pPr>
      <m:oMathPara>
        <m:oMath>
          <m:r>
            <w:rPr>
              <w:rFonts w:ascii="Cambria Math" w:hAnsi="Cambria Math"/>
              <w:sz w:val="24"/>
              <w:szCs w:val="24"/>
            </w:rPr>
            <m:t>- counted savings+negative savings ]</m:t>
          </m:r>
          <m:r>
            <m:rPr>
              <m:sty m:val="p"/>
            </m:rPr>
            <w:rPr>
              <w:rFonts w:ascii="Cambria Math" w:hAnsi="Cambria Math"/>
              <w:sz w:val="24"/>
              <w:szCs w:val="24"/>
            </w:rPr>
            <w:br/>
          </m:r>
        </m:oMath>
      </m:oMathPara>
      <w:r w:rsidR="009828B7">
        <w:rPr>
          <w:rFonts w:asciiTheme="majorHAnsi" w:eastAsiaTheme="majorEastAsia" w:hAnsiTheme="majorHAnsi" w:cstheme="majorBidi"/>
        </w:rPr>
        <w:t xml:space="preserve"> </w:t>
      </w:r>
    </w:p>
    <w:p w14:paraId="0A92F320" w14:textId="77777777" w:rsidR="00477361" w:rsidRPr="007519FC" w:rsidRDefault="00477361" w:rsidP="00477361">
      <w:pPr>
        <w:pStyle w:val="BodyText"/>
        <w:rPr>
          <w:rFonts w:cs="Arial"/>
        </w:rPr>
      </w:pPr>
      <w:r w:rsidRPr="007519FC">
        <w:t>where:</w:t>
      </w:r>
    </w:p>
    <w:p w14:paraId="4285DA08" w14:textId="079E2034" w:rsidR="00477361" w:rsidRPr="007519FC" w:rsidRDefault="00477361" w:rsidP="00CD1C6D">
      <w:pPr>
        <w:pStyle w:val="ListNumber2"/>
        <w:numPr>
          <w:ilvl w:val="0"/>
          <w:numId w:val="24"/>
        </w:numPr>
        <w:jc w:val="left"/>
      </w:pPr>
      <w:r w:rsidRPr="007519FC">
        <w:rPr>
          <w:i/>
          <w:iCs/>
        </w:rPr>
        <w:t>electricity savings</w:t>
      </w:r>
      <w:r w:rsidRPr="007519FC">
        <w:t xml:space="preserve"> </w:t>
      </w:r>
      <w:r>
        <w:t>are</w:t>
      </w:r>
      <w:r w:rsidRPr="007519FC">
        <w:t xml:space="preserve"> calculated in MWh using Equation 2, </w:t>
      </w:r>
      <w:r>
        <w:t>in which</w:t>
      </w:r>
      <w:r w:rsidRPr="007519FC">
        <w:t xml:space="preserve"> references to “energy” in Equations 3 to </w:t>
      </w:r>
      <w:r w:rsidR="0096462E">
        <w:t>4</w:t>
      </w:r>
      <w:r w:rsidRPr="007519FC">
        <w:t xml:space="preserve"> of this Division </w:t>
      </w:r>
      <w:r>
        <w:t xml:space="preserve">are taken </w:t>
      </w:r>
      <w:r w:rsidRPr="007519FC">
        <w:t>to mean “electricity”.</w:t>
      </w:r>
    </w:p>
    <w:p w14:paraId="5C42DA12" w14:textId="77777777" w:rsidR="00D9729E" w:rsidRDefault="00477361" w:rsidP="00D9729E">
      <w:pPr>
        <w:pStyle w:val="ListNumber2"/>
        <w:numPr>
          <w:ilvl w:val="0"/>
          <w:numId w:val="24"/>
        </w:numPr>
        <w:jc w:val="left"/>
      </w:pPr>
      <w:r w:rsidRPr="007519FC">
        <w:rPr>
          <w:i/>
          <w:iCs/>
        </w:rPr>
        <w:t>RF</w:t>
      </w:r>
      <w:r w:rsidRPr="007519FC">
        <w:t xml:space="preserve"> is the regional factor, which is 0.98 if the project is undertaken in metropolitan Victoria or 1.04 if the project is undertaken in regional Victoria, as defined </w:t>
      </w:r>
      <w:r>
        <w:t>by</w:t>
      </w:r>
      <w:r w:rsidRPr="007519FC">
        <w:t xml:space="preserve"> </w:t>
      </w:r>
      <w:r>
        <w:t>the Locations Variable List in the Victorian Energy Upgrades Specifications 2018</w:t>
      </w:r>
      <w:r w:rsidRPr="007519FC">
        <w:t>.</w:t>
      </w:r>
    </w:p>
    <w:p w14:paraId="38AE5034" w14:textId="6C5D8EF9" w:rsidR="00477361" w:rsidRPr="007519FC" w:rsidRDefault="00477361" w:rsidP="00D9729E">
      <w:pPr>
        <w:pStyle w:val="ListNumber2"/>
        <w:numPr>
          <w:ilvl w:val="0"/>
          <w:numId w:val="24"/>
        </w:numPr>
        <w:jc w:val="left"/>
      </w:pPr>
      <w:r w:rsidRPr="00D9729E">
        <w:rPr>
          <w:i/>
          <w:iCs/>
        </w:rPr>
        <w:t>gas savings</w:t>
      </w:r>
      <w:r w:rsidRPr="007519FC">
        <w:t xml:space="preserve"> </w:t>
      </w:r>
      <w:r>
        <w:t>are</w:t>
      </w:r>
      <w:r w:rsidRPr="007519FC">
        <w:t xml:space="preserve"> calculated in gigajoules (GJ) using Equation 2, </w:t>
      </w:r>
      <w:r>
        <w:t>in which</w:t>
      </w:r>
      <w:r w:rsidRPr="007519FC">
        <w:t xml:space="preserve"> references to “energy” in Equations 3 to </w:t>
      </w:r>
      <w:r w:rsidR="63A73297">
        <w:t>4</w:t>
      </w:r>
      <w:r w:rsidRPr="007519FC">
        <w:t xml:space="preserve"> of this Division </w:t>
      </w:r>
      <w:r>
        <w:t xml:space="preserve">are taken </w:t>
      </w:r>
      <w:r w:rsidRPr="007519FC">
        <w:t>to mean “gas”.</w:t>
      </w:r>
    </w:p>
    <w:p w14:paraId="1247C00C" w14:textId="53E2EEBA" w:rsidR="00477361" w:rsidRPr="007519FC" w:rsidRDefault="00477361" w:rsidP="00CD1C6D">
      <w:pPr>
        <w:pStyle w:val="ListNumber2"/>
        <w:numPr>
          <w:ilvl w:val="0"/>
          <w:numId w:val="24"/>
        </w:numPr>
        <w:ind w:left="680"/>
        <w:jc w:val="left"/>
      </w:pPr>
      <w:r w:rsidRPr="007519FC">
        <w:rPr>
          <w:i/>
          <w:iCs/>
        </w:rPr>
        <w:t>counted savings</w:t>
      </w:r>
      <w:r w:rsidRPr="007519FC">
        <w:t xml:space="preserve"> is a variable determined in accordance with section </w:t>
      </w:r>
      <w:r>
        <w:fldChar w:fldCharType="begin"/>
      </w:r>
      <w:r>
        <w:instrText xml:space="preserve"> REF _Ref522875354 \r \h </w:instrText>
      </w:r>
      <w:r>
        <w:fldChar w:fldCharType="separate"/>
      </w:r>
      <w:r w:rsidR="00453C80">
        <w:t>(6)</w:t>
      </w:r>
      <w:r>
        <w:fldChar w:fldCharType="end"/>
      </w:r>
      <w:r>
        <w:t>.</w:t>
      </w:r>
    </w:p>
    <w:p w14:paraId="659F4813" w14:textId="00EF7667" w:rsidR="00477361" w:rsidRPr="007519FC" w:rsidRDefault="00477361" w:rsidP="00CD1C6D">
      <w:pPr>
        <w:pStyle w:val="ListNumber2"/>
        <w:numPr>
          <w:ilvl w:val="0"/>
          <w:numId w:val="24"/>
        </w:numPr>
        <w:ind w:left="680"/>
        <w:jc w:val="left"/>
      </w:pPr>
      <w:r w:rsidRPr="007519FC">
        <w:rPr>
          <w:i/>
          <w:iCs/>
        </w:rPr>
        <w:t xml:space="preserve">emissions factors </w:t>
      </w:r>
      <w:r w:rsidRPr="007519FC">
        <w:t xml:space="preserve">are provided in section </w:t>
      </w:r>
      <w:r>
        <w:fldChar w:fldCharType="begin"/>
      </w:r>
      <w:r>
        <w:instrText xml:space="preserve"> REF _Ref522875288 \r \h </w:instrText>
      </w:r>
      <w:r>
        <w:fldChar w:fldCharType="separate"/>
      </w:r>
      <w:r w:rsidR="00453C80">
        <w:t>0</w:t>
      </w:r>
      <w:r>
        <w:fldChar w:fldCharType="end"/>
      </w:r>
      <w:r>
        <w:t>.</w:t>
      </w:r>
    </w:p>
    <w:p w14:paraId="2A9CF831" w14:textId="77777777" w:rsidR="00477361" w:rsidRPr="007519FC" w:rsidRDefault="00477361" w:rsidP="00CD1C6D">
      <w:pPr>
        <w:pStyle w:val="ListNumber2"/>
        <w:numPr>
          <w:ilvl w:val="0"/>
          <w:numId w:val="24"/>
        </w:numPr>
        <w:ind w:left="680"/>
        <w:jc w:val="left"/>
      </w:pPr>
      <w:r w:rsidRPr="007519FC">
        <w:rPr>
          <w:i/>
          <w:iCs/>
        </w:rPr>
        <w:t>negative savings</w:t>
      </w:r>
      <w:r w:rsidRPr="007519FC">
        <w:t xml:space="preserve"> is the negative carbon dioxide equivalent from the previous reporting period (if any), which should be carried through reporting periods until the difference has become zero. </w:t>
      </w:r>
    </w:p>
    <w:p w14:paraId="37E7FA24" w14:textId="770E5301" w:rsidR="00F97674" w:rsidRDefault="00000000" w:rsidP="00CD1C6D">
      <w:pPr>
        <w:pStyle w:val="ListNumber2"/>
        <w:numPr>
          <w:ilvl w:val="0"/>
          <w:numId w:val="24"/>
        </w:numPr>
        <w:jc w:val="left"/>
      </w:pPr>
      <m:oMath>
        <m:sSub>
          <m:sSubPr>
            <m:ctrlPr>
              <w:rPr>
                <w:rFonts w:ascii="Cambria Math" w:hAnsi="Cambria Math" w:cstheme="minorHAnsi"/>
                <w:i/>
                <w:sz w:val="24"/>
                <w:szCs w:val="24"/>
              </w:rPr>
            </m:ctrlPr>
          </m:sSubPr>
          <m:e>
            <m:r>
              <w:rPr>
                <w:rFonts w:ascii="Cambria Math" w:hAnsi="Cambria Math" w:cstheme="minorHAnsi"/>
                <w:sz w:val="24"/>
                <w:szCs w:val="24"/>
              </w:rPr>
              <m:t>DF</m:t>
            </m:r>
          </m:e>
          <m:sub>
            <m:r>
              <w:rPr>
                <w:rFonts w:ascii="Cambria Math" w:hAnsi="Cambria Math" w:cstheme="minorHAnsi"/>
                <w:sz w:val="24"/>
                <w:szCs w:val="24"/>
              </w:rPr>
              <m:t>i</m:t>
            </m:r>
          </m:sub>
        </m:sSub>
      </m:oMath>
      <w:r w:rsidR="009A792F">
        <w:rPr>
          <w:i/>
          <w:iCs/>
        </w:rPr>
        <w:t xml:space="preserve"> </w:t>
      </w:r>
      <w:r w:rsidR="00F97674" w:rsidRPr="005174F9">
        <w:t>is</w:t>
      </w:r>
      <w:r w:rsidR="00F97674" w:rsidRPr="00DD0D8F">
        <w:t xml:space="preserve"> the decay factor for </w:t>
      </w:r>
      <w:r w:rsidR="00F97674">
        <w:t xml:space="preserve">that measurement boundary in </w:t>
      </w:r>
      <w:r w:rsidR="00F97674" w:rsidRPr="00DD0D8F">
        <w:t xml:space="preserve">year </w:t>
      </w:r>
      <m:oMath>
        <m:r>
          <m:rPr>
            <m:sty m:val="p"/>
          </m:rPr>
          <w:rPr>
            <w:rFonts w:ascii="Cambria Math" w:hAnsi="Cambria Math"/>
          </w:rPr>
          <m:t>i</m:t>
        </m:r>
      </m:oMath>
      <w:r w:rsidR="00F97674" w:rsidRPr="005174F9">
        <w:t>.</w:t>
      </w:r>
    </w:p>
    <w:p w14:paraId="1496567F" w14:textId="0E448644" w:rsidR="00366DD6" w:rsidRPr="0008292E" w:rsidRDefault="00083426" w:rsidP="00CD1C6D">
      <w:pPr>
        <w:pStyle w:val="ListNumber2"/>
        <w:numPr>
          <w:ilvl w:val="0"/>
          <w:numId w:val="24"/>
        </w:numPr>
        <w:jc w:val="left"/>
      </w:pPr>
      <m:oMath>
        <m:r>
          <w:rPr>
            <w:rFonts w:ascii="Cambria Math" w:hAnsi="Cambria Math"/>
          </w:rPr>
          <m:t>i</m:t>
        </m:r>
      </m:oMath>
      <w:r w:rsidR="00366DD6" w:rsidRPr="0008292E">
        <w:rPr>
          <w:rFonts w:eastAsiaTheme="minorEastAsia"/>
        </w:rPr>
        <w:t xml:space="preserve"> is a year of the maximum time period</w:t>
      </w:r>
      <w:r w:rsidR="006F103A">
        <w:rPr>
          <w:rFonts w:eastAsiaTheme="minorEastAsia"/>
        </w:rPr>
        <w:t>, 10 years,</w:t>
      </w:r>
      <w:r w:rsidR="00366DD6" w:rsidRPr="0008292E">
        <w:rPr>
          <w:rFonts w:eastAsiaTheme="minorEastAsia"/>
        </w:rPr>
        <w:t xml:space="preserve"> for forward creation for the project.</w:t>
      </w:r>
    </w:p>
    <w:p w14:paraId="7496A7C5" w14:textId="77777777" w:rsidR="00747A21" w:rsidRDefault="00747A21" w:rsidP="00747A21">
      <w:pPr>
        <w:spacing w:line="360" w:lineRule="auto"/>
        <w:rPr>
          <w:rFonts w:ascii="Times New Roman" w:hAnsi="Times New Roman"/>
          <w:b/>
          <w:sz w:val="24"/>
          <w:szCs w:val="24"/>
        </w:rPr>
      </w:pPr>
    </w:p>
    <w:p w14:paraId="52AF344A" w14:textId="77777777" w:rsidR="00747A21" w:rsidRDefault="00747A21" w:rsidP="00747A21">
      <w:pPr>
        <w:rPr>
          <w:b/>
          <w:bCs/>
          <w:iCs/>
          <w:color w:val="201547" w:themeColor="text2"/>
          <w:kern w:val="20"/>
          <w:sz w:val="24"/>
          <w:szCs w:val="28"/>
        </w:rPr>
      </w:pPr>
      <w:r>
        <w:br w:type="page"/>
      </w:r>
    </w:p>
    <w:p w14:paraId="2675E150" w14:textId="5ECC4FFF" w:rsidR="00747A21" w:rsidRDefault="00747A21" w:rsidP="00747A21">
      <w:pPr>
        <w:pStyle w:val="Heading2"/>
      </w:pPr>
      <w:bookmarkStart w:id="40" w:name="_Toc195022704"/>
      <w:bookmarkStart w:id="41" w:name="_Toc75862249"/>
      <w:r w:rsidRPr="004D2378">
        <w:lastRenderedPageBreak/>
        <w:t>Equation 2 – Energy savings</w:t>
      </w:r>
      <w:bookmarkEnd w:id="40"/>
      <w:r w:rsidRPr="004D2378">
        <w:t xml:space="preserve"> </w:t>
      </w:r>
      <w:bookmarkEnd w:id="41"/>
    </w:p>
    <w:p w14:paraId="706D0F34" w14:textId="77777777" w:rsidR="00477361" w:rsidRPr="007519FC" w:rsidRDefault="00477361" w:rsidP="00477361">
      <w:pPr>
        <w:spacing w:line="360" w:lineRule="auto"/>
        <w:ind w:left="567" w:hanging="567"/>
        <w:rPr>
          <w:rFonts w:ascii="Times New Roman" w:hAnsi="Times New Roman"/>
          <w:sz w:val="24"/>
          <w:szCs w:val="24"/>
        </w:rPr>
      </w:pPr>
      <m:oMathPara>
        <m:oMath>
          <m:r>
            <w:rPr>
              <w:rFonts w:ascii="Cambria Math" w:hAnsi="Cambria Math"/>
              <w:sz w:val="24"/>
              <w:szCs w:val="24"/>
            </w:rPr>
            <m:t>energy savings=</m:t>
          </m:r>
          <m:d>
            <m:dPr>
              <m:ctrlPr>
                <w:rPr>
                  <w:rFonts w:ascii="Cambria Math" w:hAnsi="Cambria Math"/>
                  <w:i/>
                  <w:sz w:val="24"/>
                  <w:szCs w:val="24"/>
                </w:rPr>
              </m:ctrlPr>
            </m:dPr>
            <m:e>
              <m:r>
                <w:rPr>
                  <w:rFonts w:ascii="Cambria Math" w:hAnsi="Cambria Math"/>
                  <w:sz w:val="24"/>
                  <w:szCs w:val="24"/>
                </w:rPr>
                <m:t>baseline energy consumption-reporting energy consumption</m:t>
              </m:r>
            </m:e>
          </m:d>
        </m:oMath>
      </m:oMathPara>
    </w:p>
    <w:p w14:paraId="5B670216" w14:textId="77777777" w:rsidR="00477361" w:rsidRPr="007519FC" w:rsidRDefault="00477361" w:rsidP="00477361">
      <w:pPr>
        <w:pStyle w:val="BodyText"/>
      </w:pPr>
      <w:r w:rsidRPr="007519FC">
        <w:t>where:</w:t>
      </w:r>
    </w:p>
    <w:p w14:paraId="19C7EE85" w14:textId="284C04C1" w:rsidR="00477361" w:rsidRPr="007519FC" w:rsidRDefault="00477361" w:rsidP="00097204">
      <w:pPr>
        <w:pStyle w:val="ListNumber2"/>
        <w:numPr>
          <w:ilvl w:val="0"/>
          <w:numId w:val="21"/>
        </w:numPr>
        <w:jc w:val="left"/>
      </w:pPr>
      <w:r w:rsidRPr="007519FC">
        <w:rPr>
          <w:i/>
          <w:iCs/>
        </w:rPr>
        <w:t>baseline energy consumption</w:t>
      </w:r>
      <w:r w:rsidRPr="007519FC">
        <w:t xml:space="preserve"> is calculated using Equation 4. </w:t>
      </w:r>
    </w:p>
    <w:p w14:paraId="3A1B7996" w14:textId="77777777" w:rsidR="00477361" w:rsidRDefault="00477361" w:rsidP="00097204">
      <w:pPr>
        <w:pStyle w:val="ListNumber2"/>
        <w:numPr>
          <w:ilvl w:val="0"/>
          <w:numId w:val="21"/>
        </w:numPr>
        <w:jc w:val="left"/>
      </w:pPr>
      <w:r w:rsidRPr="007519FC">
        <w:rPr>
          <w:i/>
          <w:iCs/>
        </w:rPr>
        <w:t>reporting energy consumption</w:t>
      </w:r>
      <w:r w:rsidRPr="007519FC">
        <w:t xml:space="preserve"> is calculated using Equation 3.</w:t>
      </w:r>
      <w:r>
        <w:t xml:space="preserve"> </w:t>
      </w:r>
    </w:p>
    <w:p w14:paraId="27B22337" w14:textId="302AF329" w:rsidR="00747A21" w:rsidRPr="00477361" w:rsidRDefault="00477361" w:rsidP="00097204">
      <w:pPr>
        <w:pStyle w:val="ListNumber2"/>
        <w:numPr>
          <w:ilvl w:val="0"/>
          <w:numId w:val="21"/>
        </w:numPr>
        <w:jc w:val="left"/>
        <w:rPr>
          <w:b/>
          <w:bCs/>
          <w:iCs/>
          <w:color w:val="201547" w:themeColor="text2"/>
          <w:kern w:val="20"/>
          <w:sz w:val="24"/>
          <w:szCs w:val="28"/>
        </w:rPr>
      </w:pPr>
      <w:r w:rsidRPr="00477361">
        <w:rPr>
          <w:i/>
          <w:iCs/>
        </w:rPr>
        <w:t xml:space="preserve">baseline energy consumption and reporting energy consumption have been calculated for a premises </w:t>
      </w:r>
      <w:r w:rsidRPr="007519FC">
        <w:t xml:space="preserve">with a </w:t>
      </w:r>
      <w:r w:rsidRPr="00477361">
        <w:rPr>
          <w:i/>
          <w:iCs/>
        </w:rPr>
        <w:t>similar configuration</w:t>
      </w:r>
      <w:r w:rsidRPr="007519FC">
        <w:t xml:space="preserve"> as defined in section </w:t>
      </w:r>
      <w:r>
        <w:fldChar w:fldCharType="begin"/>
      </w:r>
      <w:r>
        <w:instrText xml:space="preserve"> REF _Ref522875498 \r \h </w:instrText>
      </w:r>
      <w:r>
        <w:fldChar w:fldCharType="separate"/>
      </w:r>
      <w:r w:rsidR="00453C80">
        <w:t>(8)</w:t>
      </w:r>
      <w:r>
        <w:fldChar w:fldCharType="end"/>
      </w:r>
      <w:r>
        <w:t>.</w:t>
      </w:r>
    </w:p>
    <w:p w14:paraId="5C5954F7" w14:textId="0345F5AA" w:rsidR="00747A21" w:rsidRDefault="00747A21" w:rsidP="00747A21">
      <w:pPr>
        <w:rPr>
          <w:b/>
          <w:bCs/>
          <w:iCs/>
          <w:color w:val="201547" w:themeColor="text2"/>
          <w:kern w:val="20"/>
          <w:sz w:val="24"/>
          <w:szCs w:val="28"/>
        </w:rPr>
      </w:pPr>
    </w:p>
    <w:p w14:paraId="6A1D7B7E" w14:textId="47AC686F" w:rsidR="00747A21" w:rsidRPr="00B420BE" w:rsidRDefault="00747A21" w:rsidP="00747A21">
      <w:pPr>
        <w:pStyle w:val="Heading2"/>
      </w:pPr>
      <w:bookmarkStart w:id="42" w:name="_Toc75862252"/>
      <w:bookmarkStart w:id="43" w:name="_Toc195022705"/>
      <w:r w:rsidRPr="00B420BE">
        <w:t xml:space="preserve">Equation </w:t>
      </w:r>
      <w:r w:rsidR="00477361">
        <w:t>3</w:t>
      </w:r>
      <w:r>
        <w:t xml:space="preserve"> – </w:t>
      </w:r>
      <w:bookmarkEnd w:id="42"/>
      <w:r w:rsidR="00477361">
        <w:t>Reporting energy consumption</w:t>
      </w:r>
      <w:bookmarkEnd w:id="43"/>
    </w:p>
    <w:p w14:paraId="1A26C109" w14:textId="77777777" w:rsidR="00477361" w:rsidRPr="007519FC" w:rsidRDefault="00477361" w:rsidP="00477361">
      <w:pPr>
        <w:spacing w:line="360" w:lineRule="auto"/>
        <w:rPr>
          <w:rFonts w:ascii="Times New Roman" w:hAnsi="Times New Roman"/>
          <w:sz w:val="24"/>
          <w:szCs w:val="24"/>
        </w:rPr>
      </w:pPr>
      <m:oMathPara>
        <m:oMath>
          <m:r>
            <w:rPr>
              <w:rFonts w:ascii="Cambria Math" w:hAnsi="Cambria Math"/>
              <w:sz w:val="24"/>
              <w:szCs w:val="24"/>
            </w:rPr>
            <m:t>Reporting energy consumption=</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R</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U</m:t>
              </m:r>
            </m:sub>
          </m:sSub>
        </m:oMath>
      </m:oMathPara>
    </w:p>
    <w:p w14:paraId="090810AE" w14:textId="77777777" w:rsidR="00747A21" w:rsidRPr="003D143A" w:rsidRDefault="00747A21" w:rsidP="00747A21">
      <w:pPr>
        <w:pStyle w:val="BodyText"/>
      </w:pPr>
      <w:r w:rsidRPr="003D143A">
        <w:t>where:</w:t>
      </w:r>
    </w:p>
    <w:p w14:paraId="16712F0D" w14:textId="5B00DF52" w:rsidR="00477361" w:rsidRPr="007519FC" w:rsidRDefault="00000000" w:rsidP="00097204">
      <w:pPr>
        <w:pStyle w:val="ListNumber2"/>
        <w:numPr>
          <w:ilvl w:val="0"/>
          <w:numId w:val="22"/>
        </w:numPr>
        <w:jc w:val="left"/>
      </w:pPr>
      <m:oMath>
        <m:sSub>
          <m:sSubPr>
            <m:ctrlPr>
              <w:rPr>
                <w:rFonts w:ascii="Cambria Math" w:hAnsi="Cambria Math"/>
                <w:i/>
              </w:rPr>
            </m:ctrlPr>
          </m:sSubPr>
          <m:e>
            <m:r>
              <w:rPr>
                <w:rFonts w:ascii="Cambria Math" w:hAnsi="Cambria Math"/>
              </w:rPr>
              <m:t>E</m:t>
            </m:r>
          </m:e>
          <m:sub>
            <m:r>
              <w:rPr>
                <w:rFonts w:ascii="Cambria Math" w:hAnsi="Cambria Math"/>
              </w:rPr>
              <m:t>R</m:t>
            </m:r>
          </m:sub>
        </m:sSub>
      </m:oMath>
      <w:r w:rsidR="00477361" w:rsidRPr="007519FC">
        <w:rPr>
          <w:rFonts w:eastAsiaTheme="minorEastAsia"/>
        </w:rPr>
        <w:t xml:space="preserve"> is the </w:t>
      </w:r>
      <w:r w:rsidR="00477361" w:rsidRPr="007519FC">
        <w:rPr>
          <w:rFonts w:eastAsiaTheme="minorEastAsia"/>
          <w:i/>
          <w:iCs/>
        </w:rPr>
        <w:t>energy</w:t>
      </w:r>
      <w:r w:rsidR="00477361" w:rsidRPr="007519FC">
        <w:rPr>
          <w:rFonts w:eastAsiaTheme="minorEastAsia"/>
        </w:rPr>
        <w:t xml:space="preserve"> consumption specified in the </w:t>
      </w:r>
      <w:r w:rsidR="005E4A53">
        <w:rPr>
          <w:rFonts w:eastAsiaTheme="minorEastAsia"/>
        </w:rPr>
        <w:t>NABERS Energy Rating Report</w:t>
      </w:r>
      <w:r w:rsidR="00477361">
        <w:rPr>
          <w:rFonts w:eastAsiaTheme="minorEastAsia"/>
        </w:rPr>
        <w:t xml:space="preserve">, as defined in section </w:t>
      </w:r>
      <w:r w:rsidR="00477361">
        <w:rPr>
          <w:rFonts w:eastAsiaTheme="minorEastAsia"/>
        </w:rPr>
        <w:fldChar w:fldCharType="begin"/>
      </w:r>
      <w:r w:rsidR="00477361">
        <w:rPr>
          <w:rFonts w:eastAsiaTheme="minorEastAsia"/>
        </w:rPr>
        <w:instrText xml:space="preserve"> REF _Ref522875972 \r \h </w:instrText>
      </w:r>
      <w:r w:rsidR="00477361">
        <w:rPr>
          <w:rFonts w:eastAsiaTheme="minorEastAsia"/>
        </w:rPr>
        <w:fldChar w:fldCharType="separate"/>
      </w:r>
      <w:r w:rsidR="00453C80">
        <w:rPr>
          <w:rFonts w:eastAsiaTheme="minorEastAsia"/>
          <w:b/>
          <w:bCs/>
          <w:lang w:val="en-US"/>
        </w:rPr>
        <w:t>Error! Reference source not found.</w:t>
      </w:r>
      <w:r w:rsidR="00477361">
        <w:rPr>
          <w:rFonts w:eastAsiaTheme="minorEastAsia"/>
        </w:rPr>
        <w:fldChar w:fldCharType="end"/>
      </w:r>
      <w:r w:rsidR="00477361">
        <w:rPr>
          <w:rFonts w:eastAsiaTheme="minorEastAsia"/>
        </w:rPr>
        <w:t>, f</w:t>
      </w:r>
      <w:r w:rsidR="00477361" w:rsidRPr="007519FC">
        <w:rPr>
          <w:rFonts w:eastAsiaTheme="minorEastAsia"/>
        </w:rPr>
        <w:t xml:space="preserve">or the reporting </w:t>
      </w:r>
      <w:r w:rsidR="00477361">
        <w:rPr>
          <w:rFonts w:eastAsiaTheme="minorEastAsia"/>
        </w:rPr>
        <w:t>period.</w:t>
      </w:r>
    </w:p>
    <w:p w14:paraId="3DA4F3DA" w14:textId="2C7F29F9" w:rsidR="00747A21" w:rsidRDefault="00000000" w:rsidP="00097204">
      <w:pPr>
        <w:pStyle w:val="ListNumber2"/>
        <w:numPr>
          <w:ilvl w:val="0"/>
          <w:numId w:val="22"/>
        </w:numPr>
        <w:jc w:val="left"/>
        <w:rPr>
          <w:rFonts w:eastAsiaTheme="minorEastAsia"/>
        </w:rPr>
      </w:pPr>
      <m:oMath>
        <m:sSub>
          <m:sSubPr>
            <m:ctrlPr>
              <w:rPr>
                <w:rFonts w:ascii="Cambria Math" w:hAnsi="Cambria Math"/>
                <w:i/>
              </w:rPr>
            </m:ctrlPr>
          </m:sSubPr>
          <m:e>
            <m:r>
              <w:rPr>
                <w:rFonts w:ascii="Cambria Math" w:hAnsi="Cambria Math"/>
              </w:rPr>
              <m:t>E</m:t>
            </m:r>
          </m:e>
          <m:sub>
            <m:r>
              <w:rPr>
                <w:rFonts w:ascii="Cambria Math" w:hAnsi="Cambria Math"/>
              </w:rPr>
              <m:t>U</m:t>
            </m:r>
          </m:sub>
        </m:sSub>
      </m:oMath>
      <w:r w:rsidR="00477361" w:rsidRPr="007519FC">
        <w:rPr>
          <w:rFonts w:eastAsiaTheme="minorEastAsia"/>
        </w:rPr>
        <w:t xml:space="preserve"> is the </w:t>
      </w:r>
      <w:r w:rsidR="00477361" w:rsidRPr="007519FC">
        <w:rPr>
          <w:rFonts w:eastAsiaTheme="minorEastAsia"/>
          <w:i/>
          <w:iCs/>
        </w:rPr>
        <w:t>unaccounted</w:t>
      </w:r>
      <w:r w:rsidR="00477361" w:rsidRPr="007519FC">
        <w:rPr>
          <w:rFonts w:eastAsiaTheme="minorEastAsia"/>
        </w:rPr>
        <w:t xml:space="preserve"> </w:t>
      </w:r>
      <w:r w:rsidR="00477361" w:rsidRPr="007519FC">
        <w:rPr>
          <w:rFonts w:eastAsiaTheme="minorEastAsia"/>
          <w:i/>
          <w:iCs/>
        </w:rPr>
        <w:t>energy</w:t>
      </w:r>
      <w:r w:rsidR="00477361" w:rsidRPr="007519FC">
        <w:rPr>
          <w:rFonts w:eastAsiaTheme="minorEastAsia"/>
        </w:rPr>
        <w:t xml:space="preserve"> </w:t>
      </w:r>
      <w:r w:rsidR="00477361" w:rsidRPr="007519FC">
        <w:rPr>
          <w:rFonts w:eastAsiaTheme="minorEastAsia"/>
          <w:i/>
          <w:iCs/>
        </w:rPr>
        <w:t>consumption</w:t>
      </w:r>
      <w:r w:rsidR="00477361" w:rsidRPr="007519FC">
        <w:rPr>
          <w:rFonts w:eastAsiaTheme="minorEastAsia"/>
        </w:rPr>
        <w:t xml:space="preserve"> during the reporting period, at the building where the project is undertaken, that is not included in </w:t>
      </w:r>
      <m:oMath>
        <m:sSub>
          <m:sSubPr>
            <m:ctrlPr>
              <w:rPr>
                <w:rFonts w:ascii="Cambria Math" w:hAnsi="Cambria Math"/>
                <w:i/>
              </w:rPr>
            </m:ctrlPr>
          </m:sSubPr>
          <m:e>
            <m:r>
              <w:rPr>
                <w:rFonts w:ascii="Cambria Math" w:hAnsi="Cambria Math"/>
              </w:rPr>
              <m:t>E</m:t>
            </m:r>
          </m:e>
          <m:sub>
            <m:r>
              <w:rPr>
                <w:rFonts w:ascii="Cambria Math" w:hAnsi="Cambria Math"/>
              </w:rPr>
              <m:t>R</m:t>
            </m:r>
          </m:sub>
        </m:sSub>
      </m:oMath>
      <w:r w:rsidR="00477361" w:rsidRPr="007519FC">
        <w:rPr>
          <w:rFonts w:eastAsiaTheme="minorEastAsia"/>
        </w:rPr>
        <w:t xml:space="preserve"> for reasons defined in </w:t>
      </w:r>
      <w:r w:rsidR="00477361" w:rsidRPr="007519FC">
        <w:t xml:space="preserve">section </w:t>
      </w:r>
      <w:r w:rsidR="00477361">
        <w:fldChar w:fldCharType="begin"/>
      </w:r>
      <w:r w:rsidR="00477361">
        <w:instrText xml:space="preserve"> REF _Ref522876095 \r \h </w:instrText>
      </w:r>
      <w:r w:rsidR="00477361">
        <w:fldChar w:fldCharType="separate"/>
      </w:r>
      <w:r w:rsidR="00453C80">
        <w:t>(9)</w:t>
      </w:r>
      <w:r w:rsidR="00477361">
        <w:fldChar w:fldCharType="end"/>
      </w:r>
      <w:r w:rsidR="00477361">
        <w:t>.</w:t>
      </w:r>
    </w:p>
    <w:p w14:paraId="6863A9D3" w14:textId="77777777" w:rsidR="00477361" w:rsidRDefault="00477361" w:rsidP="00477361">
      <w:pPr>
        <w:pStyle w:val="ListNumber2"/>
        <w:numPr>
          <w:ilvl w:val="0"/>
          <w:numId w:val="0"/>
        </w:numPr>
        <w:ind w:left="360"/>
        <w:jc w:val="left"/>
        <w:rPr>
          <w:rFonts w:eastAsiaTheme="minorEastAsia"/>
        </w:rPr>
      </w:pPr>
    </w:p>
    <w:p w14:paraId="4C5D9B92" w14:textId="4ED39CE7" w:rsidR="00477361" w:rsidRDefault="00477361" w:rsidP="00477361">
      <w:pPr>
        <w:pStyle w:val="Heading2"/>
      </w:pPr>
      <w:bookmarkStart w:id="44" w:name="_Toc195022706"/>
      <w:r w:rsidRPr="00B420BE">
        <w:t xml:space="preserve">Equation </w:t>
      </w:r>
      <w:r>
        <w:t>4 – Baseline energy consumption</w:t>
      </w:r>
      <w:bookmarkEnd w:id="44"/>
    </w:p>
    <w:p w14:paraId="77D97D4B" w14:textId="04959642" w:rsidR="00477361" w:rsidRPr="007519FC" w:rsidRDefault="00477361" w:rsidP="00477361">
      <w:pPr>
        <w:spacing w:line="360" w:lineRule="auto"/>
        <w:rPr>
          <w:rFonts w:ascii="Times New Roman" w:hAnsi="Times New Roman"/>
          <w:sz w:val="24"/>
          <w:szCs w:val="24"/>
        </w:rPr>
      </w:pPr>
      <m:oMathPara>
        <m:oMath>
          <m:r>
            <w:rPr>
              <w:rFonts w:ascii="Cambria Math" w:hAnsi="Cambria Math"/>
              <w:sz w:val="24"/>
              <w:szCs w:val="24"/>
            </w:rPr>
            <m:t>Baseline energy consumption=</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B</m:t>
              </m:r>
            </m:sub>
          </m:sSub>
        </m:oMath>
      </m:oMathPara>
    </w:p>
    <w:p w14:paraId="6DA89C41" w14:textId="77777777" w:rsidR="00477361" w:rsidRDefault="00477361" w:rsidP="00477361">
      <w:pPr>
        <w:pStyle w:val="BodyText"/>
      </w:pPr>
      <w:r w:rsidRPr="007519FC">
        <w:t>where:</w:t>
      </w:r>
    </w:p>
    <w:p w14:paraId="5760111C" w14:textId="77777777" w:rsidR="00DA1F8B" w:rsidRPr="007519FC" w:rsidRDefault="00DA1F8B" w:rsidP="00477361">
      <w:pPr>
        <w:pStyle w:val="BodyText"/>
      </w:pPr>
    </w:p>
    <w:p w14:paraId="787F6D1C" w14:textId="568A09B4" w:rsidR="00477361" w:rsidRPr="003D7D1B" w:rsidRDefault="00000000" w:rsidP="00097204">
      <w:pPr>
        <w:pStyle w:val="BodyText"/>
        <w:numPr>
          <w:ilvl w:val="0"/>
          <w:numId w:val="23"/>
        </w:numPr>
        <w:spacing w:before="60"/>
        <w:jc w:val="left"/>
      </w:pPr>
      <m:oMath>
        <m:sSub>
          <m:sSubPr>
            <m:ctrlPr>
              <w:rPr>
                <w:rFonts w:ascii="Cambria Math" w:hAnsi="Cambria Math"/>
                <w:i/>
              </w:rPr>
            </m:ctrlPr>
          </m:sSubPr>
          <m:e>
            <m:r>
              <w:rPr>
                <w:rFonts w:ascii="Cambria Math" w:hAnsi="Cambria Math"/>
              </w:rPr>
              <m:t>E</m:t>
            </m:r>
          </m:e>
          <m:sub>
            <m:r>
              <w:rPr>
                <w:rFonts w:ascii="Cambria Math" w:hAnsi="Cambria Math"/>
              </w:rPr>
              <m:t>B</m:t>
            </m:r>
          </m:sub>
        </m:sSub>
      </m:oMath>
      <w:r w:rsidR="00477361" w:rsidRPr="007519FC">
        <w:rPr>
          <w:rFonts w:eastAsiaTheme="minorEastAsia"/>
        </w:rPr>
        <w:t xml:space="preserve"> is the </w:t>
      </w:r>
      <w:r w:rsidR="00477361" w:rsidRPr="007519FC">
        <w:rPr>
          <w:rFonts w:eastAsiaTheme="minorEastAsia"/>
          <w:i/>
          <w:iCs/>
        </w:rPr>
        <w:t>energy</w:t>
      </w:r>
      <w:r w:rsidR="00477361" w:rsidRPr="007519FC">
        <w:rPr>
          <w:rFonts w:eastAsiaTheme="minorEastAsia"/>
        </w:rPr>
        <w:t xml:space="preserve"> consumption </w:t>
      </w:r>
      <w:r w:rsidR="00477361">
        <w:rPr>
          <w:rFonts w:eastAsiaTheme="minorEastAsia"/>
        </w:rPr>
        <w:t xml:space="preserve">for the baseline period </w:t>
      </w:r>
      <w:r w:rsidR="00477361" w:rsidRPr="007519FC">
        <w:rPr>
          <w:rFonts w:eastAsiaTheme="minorEastAsia"/>
        </w:rPr>
        <w:t xml:space="preserve">calculated using </w:t>
      </w:r>
      <w:r w:rsidR="00477361" w:rsidRPr="003D7D1B">
        <w:rPr>
          <w:rFonts w:eastAsiaTheme="minorEastAsia"/>
        </w:rPr>
        <w:t xml:space="preserve">the </w:t>
      </w:r>
      <w:r w:rsidR="00931B1B">
        <w:rPr>
          <w:rFonts w:eastAsiaTheme="minorEastAsia"/>
        </w:rPr>
        <w:t xml:space="preserve">NABERS </w:t>
      </w:r>
      <w:r w:rsidR="002946CD">
        <w:rPr>
          <w:rFonts w:eastAsiaTheme="minorEastAsia"/>
        </w:rPr>
        <w:t xml:space="preserve">Prediction Tool </w:t>
      </w:r>
      <w:r w:rsidR="00067446">
        <w:rPr>
          <w:rFonts w:eastAsiaTheme="minorEastAsia"/>
        </w:rPr>
        <w:t xml:space="preserve"> </w:t>
      </w:r>
      <w:r w:rsidR="00477361" w:rsidRPr="003D7D1B">
        <w:rPr>
          <w:rFonts w:eastAsiaTheme="minorEastAsia"/>
        </w:rPr>
        <w:t>approved</w:t>
      </w:r>
      <w:r w:rsidR="00931B1B">
        <w:rPr>
          <w:rFonts w:eastAsiaTheme="minorEastAsia"/>
        </w:rPr>
        <w:t xml:space="preserve"> by the</w:t>
      </w:r>
      <w:r w:rsidR="00477361" w:rsidRPr="003D7D1B">
        <w:rPr>
          <w:rFonts w:eastAsiaTheme="minorEastAsia"/>
        </w:rPr>
        <w:t xml:space="preserve"> benchmark administrator specified in the scoping approval and </w:t>
      </w:r>
      <w:r w:rsidR="00477361" w:rsidRPr="003D7D1B">
        <w:rPr>
          <w:rFonts w:eastAsiaTheme="minorEastAsia"/>
          <w:i/>
          <w:iCs/>
        </w:rPr>
        <w:t xml:space="preserve">inputs for the </w:t>
      </w:r>
      <w:r w:rsidR="002946CD">
        <w:rPr>
          <w:rFonts w:eastAsiaTheme="minorEastAsia"/>
          <w:i/>
          <w:iCs/>
        </w:rPr>
        <w:t>NABERS Prediction Tool</w:t>
      </w:r>
      <w:r w:rsidR="00477361" w:rsidRPr="003D7D1B">
        <w:rPr>
          <w:rFonts w:eastAsiaTheme="minorEastAsia"/>
        </w:rPr>
        <w:t xml:space="preserve"> as defined</w:t>
      </w:r>
      <w:r w:rsidR="00477361" w:rsidRPr="003D7D1B">
        <w:t xml:space="preserve"> </w:t>
      </w:r>
      <w:r w:rsidR="00477361" w:rsidRPr="003D7D1B">
        <w:rPr>
          <w:rFonts w:eastAsiaTheme="minorEastAsia"/>
        </w:rPr>
        <w:t xml:space="preserve">in </w:t>
      </w:r>
      <w:r w:rsidR="00477361" w:rsidRPr="003D7D1B">
        <w:t xml:space="preserve">section </w:t>
      </w:r>
      <w:r w:rsidR="00477361" w:rsidRPr="003D7D1B">
        <w:fldChar w:fldCharType="begin"/>
      </w:r>
      <w:r w:rsidR="00477361" w:rsidRPr="003D7D1B">
        <w:instrText xml:space="preserve"> REF _Ref522876227 \r \h  \* MERGEFORMAT </w:instrText>
      </w:r>
      <w:r w:rsidR="00477361" w:rsidRPr="003D7D1B">
        <w:fldChar w:fldCharType="separate"/>
      </w:r>
      <w:r w:rsidR="00453C80">
        <w:t>(12)</w:t>
      </w:r>
      <w:r w:rsidR="00477361" w:rsidRPr="003D7D1B">
        <w:fldChar w:fldCharType="end"/>
      </w:r>
      <w:r w:rsidR="00477361" w:rsidRPr="003D7D1B">
        <w:t xml:space="preserve">. </w:t>
      </w:r>
    </w:p>
    <w:p w14:paraId="1E09E491" w14:textId="77777777" w:rsidR="00477361" w:rsidRPr="00477361" w:rsidRDefault="00477361" w:rsidP="00477361">
      <w:pPr>
        <w:pStyle w:val="BodyText"/>
      </w:pPr>
    </w:p>
    <w:p w14:paraId="54EA5274" w14:textId="77777777" w:rsidR="00747A21" w:rsidRDefault="00747A21" w:rsidP="00747A21">
      <w:pPr>
        <w:pStyle w:val="Heading2"/>
      </w:pPr>
      <w:bookmarkStart w:id="45" w:name="_Toc75862254"/>
      <w:bookmarkStart w:id="46" w:name="_Toc195022707"/>
      <w:r>
        <w:t>Time at which prescribed activity is undertaken and reduction in greenhouse gas emissions occurs</w:t>
      </w:r>
      <w:bookmarkEnd w:id="45"/>
      <w:bookmarkEnd w:id="46"/>
    </w:p>
    <w:p w14:paraId="423A67FA" w14:textId="77777777" w:rsidR="00477361" w:rsidRPr="007519FC" w:rsidRDefault="00477361" w:rsidP="00477361">
      <w:pPr>
        <w:pStyle w:val="BodyText"/>
      </w:pPr>
      <w:r w:rsidRPr="007519FC">
        <w:t>For the purpose of creating certificates using a reduction in greenhouse gases calculated for a reporting period:</w:t>
      </w:r>
    </w:p>
    <w:p w14:paraId="55B3AB8C" w14:textId="0E2A6022" w:rsidR="00477361" w:rsidRPr="007519FC" w:rsidRDefault="00477361" w:rsidP="00CD1C6D">
      <w:pPr>
        <w:pStyle w:val="ListNumber"/>
        <w:numPr>
          <w:ilvl w:val="0"/>
          <w:numId w:val="25"/>
        </w:numPr>
      </w:pPr>
      <w:r w:rsidRPr="007519FC">
        <w:t>The project is taken to have been undertaken at the end of the reporting period.</w:t>
      </w:r>
    </w:p>
    <w:p w14:paraId="68C90FDF" w14:textId="056371F1" w:rsidR="00477361" w:rsidRPr="007519FC" w:rsidRDefault="00477361" w:rsidP="00CD1C6D">
      <w:pPr>
        <w:pStyle w:val="ListNumber"/>
        <w:numPr>
          <w:ilvl w:val="0"/>
          <w:numId w:val="25"/>
        </w:numPr>
      </w:pPr>
      <w:r w:rsidRPr="007519FC">
        <w:t>The reduction in greenhouse gas emissions that results from a project is taken to have occurred 6 months after the end of the reporting period.</w:t>
      </w:r>
    </w:p>
    <w:p w14:paraId="76F3B6A2" w14:textId="77777777" w:rsidR="00747A21" w:rsidRDefault="00747A21" w:rsidP="00747A21">
      <w:pPr>
        <w:rPr>
          <w:b/>
          <w:bCs/>
          <w:color w:val="201547" w:themeColor="text2"/>
          <w:kern w:val="32"/>
          <w:sz w:val="40"/>
          <w:szCs w:val="32"/>
        </w:rPr>
      </w:pPr>
      <w:r>
        <w:br w:type="page"/>
      </w:r>
    </w:p>
    <w:p w14:paraId="7EB26ECB" w14:textId="77777777" w:rsidR="00747A21" w:rsidRPr="00050253" w:rsidRDefault="00747A21" w:rsidP="00747A21">
      <w:pPr>
        <w:pStyle w:val="Heading1"/>
        <w:numPr>
          <w:ilvl w:val="0"/>
          <w:numId w:val="0"/>
        </w:numPr>
      </w:pPr>
      <w:bookmarkStart w:id="47" w:name="_Toc75862255"/>
      <w:bookmarkStart w:id="48" w:name="_Toc195022708"/>
      <w:r>
        <w:lastRenderedPageBreak/>
        <w:t>Variables</w:t>
      </w:r>
      <w:bookmarkEnd w:id="47"/>
      <w:bookmarkEnd w:id="48"/>
    </w:p>
    <w:p w14:paraId="11D2A43B" w14:textId="600D5940" w:rsidR="00747A21" w:rsidRDefault="00747A21" w:rsidP="00477361">
      <w:pPr>
        <w:pStyle w:val="Heading2"/>
        <w:spacing w:line="260" w:lineRule="exact"/>
      </w:pPr>
      <w:bookmarkStart w:id="49" w:name="_Toc75862256"/>
      <w:bookmarkStart w:id="50" w:name="_Toc195022709"/>
      <w:r>
        <w:t>Terms</w:t>
      </w:r>
      <w:bookmarkEnd w:id="49"/>
      <w:bookmarkEnd w:id="50"/>
    </w:p>
    <w:p w14:paraId="689BFC84" w14:textId="20B8E9D6" w:rsidR="00477361" w:rsidRPr="007519FC" w:rsidRDefault="00477361" w:rsidP="00CD1C6D">
      <w:pPr>
        <w:pStyle w:val="ListNumber"/>
        <w:numPr>
          <w:ilvl w:val="0"/>
          <w:numId w:val="25"/>
        </w:numPr>
      </w:pPr>
      <w:bookmarkStart w:id="51" w:name="_Ref522875354"/>
      <w:r w:rsidRPr="007519FC">
        <w:t>Counted savings</w:t>
      </w:r>
      <w:bookmarkEnd w:id="51"/>
    </w:p>
    <w:p w14:paraId="43333B94" w14:textId="5221E623" w:rsidR="00477361" w:rsidRPr="007519FC" w:rsidRDefault="00477361" w:rsidP="00CD1C6D">
      <w:pPr>
        <w:pStyle w:val="ListNumber2"/>
        <w:numPr>
          <w:ilvl w:val="0"/>
          <w:numId w:val="30"/>
        </w:numPr>
        <w:jc w:val="left"/>
      </w:pPr>
      <w:r w:rsidRPr="007519FC">
        <w:t>Counted savings are the reduction of carbon dioxide equivalent (in tonnes) of greenhouse gases represented by certificates created in respect of activities undertaken within the measurement boundary after the end of the baseline period, unless accounted for in an earlier reporting period.</w:t>
      </w:r>
    </w:p>
    <w:p w14:paraId="7F042A52" w14:textId="7279FF6C" w:rsidR="00477361" w:rsidRPr="007519FC" w:rsidRDefault="00477361" w:rsidP="000554EE">
      <w:pPr>
        <w:pStyle w:val="ListNumber2"/>
        <w:numPr>
          <w:ilvl w:val="0"/>
          <w:numId w:val="30"/>
        </w:numPr>
        <w:ind w:left="680"/>
        <w:jc w:val="left"/>
      </w:pPr>
      <w:r w:rsidRPr="007519FC">
        <w:t xml:space="preserve">An adjustment may be made to counted savings in respect of activities prescribed by the </w:t>
      </w:r>
      <w:r>
        <w:t>Victorian Energy Efficiency Target</w:t>
      </w:r>
      <w:r w:rsidRPr="007519FC">
        <w:t xml:space="preserve"> Regulations 20</w:t>
      </w:r>
      <w:r>
        <w:t>1</w:t>
      </w:r>
      <w:r w:rsidRPr="007519FC">
        <w:t>8 if</w:t>
      </w:r>
      <w:r w:rsidR="000554EE">
        <w:t xml:space="preserve"> the </w:t>
      </w:r>
      <w:r w:rsidR="000554EE" w:rsidRPr="00357160">
        <w:t>adjustment is required for compliance with Regulation 14(b) of the Victorian Energy Efficiency Target (Project-Based Activities) Regulations 2017.</w:t>
      </w:r>
    </w:p>
    <w:p w14:paraId="7A0C3EA3" w14:textId="77777777" w:rsidR="003332E8" w:rsidRDefault="003332E8" w:rsidP="003332E8">
      <w:pPr>
        <w:pStyle w:val="ListNumber"/>
        <w:numPr>
          <w:ilvl w:val="0"/>
          <w:numId w:val="0"/>
        </w:numPr>
        <w:ind w:left="340" w:hanging="340"/>
        <w:jc w:val="left"/>
      </w:pPr>
      <w:bookmarkStart w:id="52" w:name="_Ref468700865"/>
      <w:bookmarkStart w:id="53" w:name="_Ref522875288"/>
    </w:p>
    <w:p w14:paraId="5DD884B9" w14:textId="497DCC1D" w:rsidR="00477361" w:rsidRPr="007519FC" w:rsidRDefault="00477361" w:rsidP="00CD1C6D">
      <w:pPr>
        <w:pStyle w:val="ListNumber"/>
        <w:numPr>
          <w:ilvl w:val="0"/>
          <w:numId w:val="25"/>
        </w:numPr>
        <w:jc w:val="left"/>
      </w:pPr>
      <w:r w:rsidRPr="007519FC">
        <w:t>Emissions factors</w:t>
      </w:r>
      <w:bookmarkEnd w:id="52"/>
      <w:bookmarkEnd w:id="53"/>
    </w:p>
    <w:p w14:paraId="56688DA4" w14:textId="1D969A4A" w:rsidR="00477361" w:rsidRPr="007519FC" w:rsidRDefault="00477361" w:rsidP="00CD1C6D">
      <w:pPr>
        <w:pStyle w:val="ListNumber2"/>
        <w:numPr>
          <w:ilvl w:val="0"/>
          <w:numId w:val="31"/>
        </w:numPr>
        <w:jc w:val="left"/>
      </w:pPr>
      <w:r w:rsidRPr="007519FC">
        <w:t>For the purposes of Equation 1, the emissions factor:</w:t>
      </w:r>
    </w:p>
    <w:p w14:paraId="61977B90" w14:textId="2105DE13" w:rsidR="00BB7115" w:rsidRDefault="00477361" w:rsidP="00CD1C6D">
      <w:pPr>
        <w:pStyle w:val="ListNumber3"/>
        <w:numPr>
          <w:ilvl w:val="0"/>
          <w:numId w:val="32"/>
        </w:numPr>
        <w:jc w:val="left"/>
      </w:pPr>
      <w:r w:rsidRPr="007519FC">
        <w:t xml:space="preserve">for electricity </w:t>
      </w:r>
    </w:p>
    <w:p w14:paraId="48DAAEB3" w14:textId="1B9F30C9" w:rsidR="00BB7115" w:rsidRPr="005D4F2B" w:rsidRDefault="00BB7115" w:rsidP="00CD1C6D">
      <w:pPr>
        <w:pStyle w:val="ListNumber3"/>
        <w:numPr>
          <w:ilvl w:val="0"/>
          <w:numId w:val="45"/>
        </w:numPr>
        <w:rPr>
          <w:i/>
          <w:iCs/>
        </w:rPr>
      </w:pPr>
      <w:r w:rsidRPr="005D4F2B">
        <w:rPr>
          <w:i/>
          <w:iCs/>
        </w:rPr>
        <w:t>between 1 August 2021 and 31 January 2022 is 0.9546</w:t>
      </w:r>
    </w:p>
    <w:p w14:paraId="086CE7E4" w14:textId="5B0507D6" w:rsidR="00BB7115" w:rsidRPr="005D4F2B" w:rsidRDefault="00BB7115" w:rsidP="00CD1C6D">
      <w:pPr>
        <w:pStyle w:val="ListNumber3"/>
        <w:numPr>
          <w:ilvl w:val="0"/>
          <w:numId w:val="45"/>
        </w:numPr>
        <w:rPr>
          <w:i/>
          <w:iCs/>
        </w:rPr>
      </w:pPr>
      <w:r w:rsidRPr="005D4F2B">
        <w:rPr>
          <w:i/>
          <w:iCs/>
        </w:rPr>
        <w:t>between 1 February 2022 and 31 January 2023 is 0.8142</w:t>
      </w:r>
    </w:p>
    <w:p w14:paraId="5508C7A8" w14:textId="3B5025FB" w:rsidR="00BB7115" w:rsidRPr="005D4F2B" w:rsidRDefault="00BB7115" w:rsidP="00CD1C6D">
      <w:pPr>
        <w:pStyle w:val="ListNumber3"/>
        <w:numPr>
          <w:ilvl w:val="0"/>
          <w:numId w:val="45"/>
        </w:numPr>
        <w:rPr>
          <w:i/>
          <w:iCs/>
        </w:rPr>
      </w:pPr>
      <w:r w:rsidRPr="005D4F2B">
        <w:rPr>
          <w:i/>
          <w:iCs/>
        </w:rPr>
        <w:t>between 1 February 2023 and 31 January 2024 is 0.6738</w:t>
      </w:r>
    </w:p>
    <w:p w14:paraId="4CE049DA" w14:textId="0A465D6D" w:rsidR="00BB7115" w:rsidRPr="005D4F2B" w:rsidRDefault="00BB7115" w:rsidP="00CD1C6D">
      <w:pPr>
        <w:pStyle w:val="ListNumber3"/>
        <w:numPr>
          <w:ilvl w:val="0"/>
          <w:numId w:val="45"/>
        </w:numPr>
        <w:rPr>
          <w:i/>
          <w:iCs/>
        </w:rPr>
      </w:pPr>
      <w:r w:rsidRPr="005D4F2B">
        <w:rPr>
          <w:i/>
          <w:iCs/>
        </w:rPr>
        <w:t>between 1 February 2024 and 31 January 2025 is 0.5334</w:t>
      </w:r>
    </w:p>
    <w:p w14:paraId="040E9DA8" w14:textId="7401337C" w:rsidR="00477361" w:rsidRPr="005D4F2B" w:rsidRDefault="00BB7115" w:rsidP="00CD1C6D">
      <w:pPr>
        <w:pStyle w:val="ListNumber3"/>
        <w:numPr>
          <w:ilvl w:val="0"/>
          <w:numId w:val="45"/>
        </w:numPr>
        <w:jc w:val="left"/>
        <w:rPr>
          <w:i/>
          <w:iCs/>
        </w:rPr>
      </w:pPr>
      <w:r w:rsidRPr="005D4F2B">
        <w:rPr>
          <w:i/>
          <w:iCs/>
        </w:rPr>
        <w:t>after 1 February 2025 is 0.3930;</w:t>
      </w:r>
    </w:p>
    <w:p w14:paraId="3FC2D7AD" w14:textId="77777777" w:rsidR="00477361" w:rsidRPr="007519FC" w:rsidRDefault="00477361" w:rsidP="00CD1C6D">
      <w:pPr>
        <w:pStyle w:val="ListNumber3"/>
        <w:numPr>
          <w:ilvl w:val="0"/>
          <w:numId w:val="32"/>
        </w:numPr>
        <w:jc w:val="left"/>
      </w:pPr>
      <w:r w:rsidRPr="007519FC">
        <w:t>for natural gas is 0.05523;</w:t>
      </w:r>
    </w:p>
    <w:p w14:paraId="30D8D0AE" w14:textId="77777777" w:rsidR="00477361" w:rsidRPr="007519FC" w:rsidRDefault="00477361" w:rsidP="00CD1C6D">
      <w:pPr>
        <w:pStyle w:val="ListNumber3"/>
        <w:numPr>
          <w:ilvl w:val="0"/>
          <w:numId w:val="32"/>
        </w:numPr>
        <w:jc w:val="left"/>
      </w:pPr>
      <w:r w:rsidRPr="007519FC">
        <w:t>for liquefied petroleum gas is 0.0642;</w:t>
      </w:r>
    </w:p>
    <w:p w14:paraId="08CA6BF8" w14:textId="77777777" w:rsidR="00477361" w:rsidRPr="007519FC" w:rsidRDefault="00477361" w:rsidP="00CD1C6D">
      <w:pPr>
        <w:pStyle w:val="ListNumber3"/>
        <w:numPr>
          <w:ilvl w:val="0"/>
          <w:numId w:val="32"/>
        </w:numPr>
        <w:jc w:val="left"/>
      </w:pPr>
      <w:r w:rsidRPr="007519FC">
        <w:t>for solar, wind, hydroelectric, geothermal and ocean energy is zero;</w:t>
      </w:r>
    </w:p>
    <w:p w14:paraId="12200603" w14:textId="35383CB5" w:rsidR="00477361" w:rsidRDefault="00477361" w:rsidP="00CD1C6D">
      <w:pPr>
        <w:pStyle w:val="ListNumber3"/>
        <w:numPr>
          <w:ilvl w:val="0"/>
          <w:numId w:val="32"/>
        </w:numPr>
        <w:jc w:val="left"/>
      </w:pPr>
      <w:r w:rsidRPr="007519FC">
        <w:t>for any other renewable energy is the relevant emissions factor for the renewable energy listed in Section 2.1 of the National Greenhouse Acc</w:t>
      </w:r>
      <w:r>
        <w:t xml:space="preserve">ounts Factors published by the </w:t>
      </w:r>
      <w:r w:rsidRPr="00D01A0D">
        <w:t>Commonwealth Department of the Environment in August 201</w:t>
      </w:r>
      <w:r>
        <w:t>6</w:t>
      </w:r>
      <w:r w:rsidRPr="007519FC">
        <w:t>.</w:t>
      </w:r>
    </w:p>
    <w:p w14:paraId="23381936" w14:textId="77777777" w:rsidR="003332E8" w:rsidRDefault="003332E8" w:rsidP="003332E8">
      <w:pPr>
        <w:pStyle w:val="ListNumber3"/>
        <w:numPr>
          <w:ilvl w:val="0"/>
          <w:numId w:val="0"/>
        </w:numPr>
        <w:ind w:left="1020" w:hanging="340"/>
        <w:jc w:val="left"/>
      </w:pPr>
    </w:p>
    <w:p w14:paraId="7193669F" w14:textId="3F43FF66" w:rsidR="00477361" w:rsidRPr="007519FC" w:rsidRDefault="00477361" w:rsidP="00CD1C6D">
      <w:pPr>
        <w:pStyle w:val="ListNumber"/>
        <w:numPr>
          <w:ilvl w:val="0"/>
          <w:numId w:val="25"/>
        </w:numPr>
        <w:jc w:val="left"/>
      </w:pPr>
      <w:bookmarkStart w:id="54" w:name="_Ref522875498"/>
      <w:r w:rsidRPr="007519FC">
        <w:t>Similar configuration</w:t>
      </w:r>
      <w:bookmarkEnd w:id="54"/>
    </w:p>
    <w:p w14:paraId="3ED4D12E" w14:textId="15D8DD12" w:rsidR="00477361" w:rsidRPr="007519FC" w:rsidRDefault="00477361" w:rsidP="00CD1C6D">
      <w:pPr>
        <w:pStyle w:val="ListNumber2"/>
        <w:numPr>
          <w:ilvl w:val="0"/>
          <w:numId w:val="34"/>
        </w:numPr>
        <w:jc w:val="left"/>
      </w:pPr>
      <w:r w:rsidRPr="007519FC">
        <w:t>The baseline energy consumption and reporting energy consumption, calculated in Equation 3 and Equation 4, must have a similar configuration for the premises, as defined below:</w:t>
      </w:r>
    </w:p>
    <w:p w14:paraId="0569AF73" w14:textId="77777777" w:rsidR="00477361" w:rsidRPr="007519FC" w:rsidRDefault="00477361" w:rsidP="00CD1C6D">
      <w:pPr>
        <w:pStyle w:val="ListNumber3"/>
        <w:numPr>
          <w:ilvl w:val="0"/>
          <w:numId w:val="35"/>
        </w:numPr>
        <w:jc w:val="left"/>
      </w:pPr>
      <w:r w:rsidRPr="007519FC">
        <w:t xml:space="preserve">the sub-metering arrangements are the same. A premises’ sub-metering arrangements are considered the same if, at the time a building was rated </w:t>
      </w:r>
      <w:r w:rsidRPr="00A06AE7">
        <w:t>during the baseline and reporting periods, the sub-metering arrangements (if any) covered the same space as determined by the assessor for each rating, using the evidence required by the benchmark administrator that is relevant to the type of premises or the type of area within a premises.</w:t>
      </w:r>
    </w:p>
    <w:p w14:paraId="427C8B2B" w14:textId="74DF75DA" w:rsidR="00477361" w:rsidRPr="007519FC" w:rsidRDefault="00477361" w:rsidP="00CD1C6D">
      <w:pPr>
        <w:pStyle w:val="ListNumber3"/>
        <w:numPr>
          <w:ilvl w:val="0"/>
          <w:numId w:val="35"/>
        </w:numPr>
        <w:jc w:val="left"/>
      </w:pPr>
      <w:r w:rsidRPr="007519FC">
        <w:t xml:space="preserve">where the conditions defined in (i) are not met, </w:t>
      </w:r>
      <w:r>
        <w:t xml:space="preserve">changes in </w:t>
      </w:r>
      <w:r w:rsidRPr="007519FC">
        <w:t>sub-metering arrangements</w:t>
      </w:r>
      <w:r>
        <w:t xml:space="preserve"> resulting in changes in energy consumption due to a reduced space</w:t>
      </w:r>
      <w:r w:rsidRPr="007519FC">
        <w:t xml:space="preserve"> must be discounted from energy savings</w:t>
      </w:r>
      <w:r>
        <w:t>. This discount will be done</w:t>
      </w:r>
      <w:r w:rsidRPr="007519FC">
        <w:t xml:space="preserve"> </w:t>
      </w:r>
      <w:r>
        <w:t>as</w:t>
      </w:r>
      <w:r w:rsidRPr="007519FC">
        <w:t xml:space="preserve"> unaccounted energy consumption, as described in </w:t>
      </w:r>
      <w:r>
        <w:fldChar w:fldCharType="begin"/>
      </w:r>
      <w:r>
        <w:instrText xml:space="preserve"> REF _Ref522876095 \r \h </w:instrText>
      </w:r>
      <w:r>
        <w:fldChar w:fldCharType="separate"/>
      </w:r>
      <w:r w:rsidR="00453C80">
        <w:t>(9)</w:t>
      </w:r>
      <w:r>
        <w:fldChar w:fldCharType="end"/>
      </w:r>
      <w:r>
        <w:t xml:space="preserve"> </w:t>
      </w:r>
      <w:r w:rsidRPr="007519FC">
        <w:t>below</w:t>
      </w:r>
      <w:r>
        <w:t>.</w:t>
      </w:r>
      <w:r w:rsidRPr="007519FC">
        <w:t xml:space="preserve"> </w:t>
      </w:r>
      <w:r>
        <w:t>These changes must be</w:t>
      </w:r>
      <w:r w:rsidRPr="007519FC">
        <w:t xml:space="preserve"> metered and recorded over the rating period.</w:t>
      </w:r>
    </w:p>
    <w:p w14:paraId="3EF3D9E5" w14:textId="77777777" w:rsidR="00477361" w:rsidRPr="007519FC" w:rsidRDefault="00477361" w:rsidP="00477361">
      <w:pPr>
        <w:pStyle w:val="ListNumber3"/>
        <w:numPr>
          <w:ilvl w:val="0"/>
          <w:numId w:val="0"/>
        </w:numPr>
      </w:pPr>
    </w:p>
    <w:p w14:paraId="2BFB07E6" w14:textId="77777777" w:rsidR="00477361" w:rsidRPr="007519FC" w:rsidRDefault="00477361" w:rsidP="00CD1C6D">
      <w:pPr>
        <w:pStyle w:val="ListNumber"/>
        <w:numPr>
          <w:ilvl w:val="0"/>
          <w:numId w:val="25"/>
        </w:numPr>
        <w:jc w:val="left"/>
      </w:pPr>
      <w:r>
        <w:t xml:space="preserve"> </w:t>
      </w:r>
      <w:bookmarkStart w:id="55" w:name="_Ref522876095"/>
      <w:r w:rsidRPr="007519FC">
        <w:t>Unaccounted energy consumption</w:t>
      </w:r>
      <w:bookmarkEnd w:id="55"/>
    </w:p>
    <w:p w14:paraId="586AD6FF" w14:textId="70021215" w:rsidR="00477361" w:rsidRPr="007519FC" w:rsidRDefault="00477361" w:rsidP="00CD1C6D">
      <w:pPr>
        <w:pStyle w:val="ListNumber2"/>
        <w:numPr>
          <w:ilvl w:val="0"/>
          <w:numId w:val="36"/>
        </w:numPr>
      </w:pPr>
      <w:r w:rsidRPr="007519FC">
        <w:t>Where “energy” consumption in Equation 3 is taken to mean “electricity”, the unaccounted energy consumption is the electricity consumption (in MWh) during the reporting period, at the premises where the project is undertaken, that is not included in reporting electricity consumption as a result of:</w:t>
      </w:r>
    </w:p>
    <w:p w14:paraId="15C6E9AD" w14:textId="77777777" w:rsidR="00477361" w:rsidRPr="007519FC" w:rsidRDefault="00477361" w:rsidP="00CD1C6D">
      <w:pPr>
        <w:pStyle w:val="ListNumber3"/>
        <w:numPr>
          <w:ilvl w:val="0"/>
          <w:numId w:val="37"/>
        </w:numPr>
        <w:jc w:val="left"/>
      </w:pPr>
      <w:r w:rsidRPr="007519FC">
        <w:t xml:space="preserve">electricity generated from renewable energy systems installed between the </w:t>
      </w:r>
      <w:r>
        <w:t xml:space="preserve">end of the </w:t>
      </w:r>
      <w:r w:rsidRPr="007519FC">
        <w:t xml:space="preserve">baseline and the </w:t>
      </w:r>
      <w:r>
        <w:t xml:space="preserve">end of the </w:t>
      </w:r>
      <w:r w:rsidRPr="007519FC">
        <w:t xml:space="preserve">reporting period for which incentives have been received under a prescribed greenhouse gas scheme as specified in </w:t>
      </w:r>
      <w:r>
        <w:t>Regulation 38 of the VEET Regulations 2</w:t>
      </w:r>
      <w:r w:rsidRPr="007519FC">
        <w:t>0</w:t>
      </w:r>
      <w:r>
        <w:t>1</w:t>
      </w:r>
      <w:r w:rsidRPr="007519FC">
        <w:t>8;</w:t>
      </w:r>
    </w:p>
    <w:p w14:paraId="0AFF610D" w14:textId="5595896F" w:rsidR="00477361" w:rsidRPr="007519FC" w:rsidRDefault="00477361" w:rsidP="00097204">
      <w:pPr>
        <w:pStyle w:val="ListNumber3"/>
        <w:numPr>
          <w:ilvl w:val="0"/>
          <w:numId w:val="0"/>
        </w:numPr>
        <w:ind w:left="1020"/>
        <w:rPr>
          <w:sz w:val="18"/>
          <w:szCs w:val="18"/>
        </w:rPr>
      </w:pPr>
      <w:r w:rsidRPr="007519FC">
        <w:rPr>
          <w:sz w:val="18"/>
          <w:szCs w:val="18"/>
        </w:rPr>
        <w:lastRenderedPageBreak/>
        <w:t xml:space="preserve">Note: this means that renewable energy which has not generated incentives in these prescribed schemes is not unaccounted energy. Energy exported to the electricity grid is excluded from the energy consumption. </w:t>
      </w:r>
    </w:p>
    <w:p w14:paraId="023AE2FA" w14:textId="47DB0E65" w:rsidR="00477361" w:rsidRPr="007519FC" w:rsidRDefault="00477361" w:rsidP="00CD1C6D">
      <w:pPr>
        <w:pStyle w:val="ListNumber3"/>
        <w:numPr>
          <w:ilvl w:val="0"/>
          <w:numId w:val="37"/>
        </w:numPr>
        <w:jc w:val="left"/>
      </w:pPr>
      <w:r w:rsidRPr="007519FC">
        <w:t xml:space="preserve">changes in the metering arrangements at the building between the start of the baseline period and the end of the reporting period, as defined in </w:t>
      </w:r>
      <w:r>
        <w:fldChar w:fldCharType="begin"/>
      </w:r>
      <w:r>
        <w:instrText xml:space="preserve"> REF _Ref522876498 \r \h </w:instrText>
      </w:r>
      <w:r>
        <w:fldChar w:fldCharType="separate"/>
      </w:r>
      <w:r w:rsidR="00453C80">
        <w:t>(10)</w:t>
      </w:r>
      <w:r>
        <w:fldChar w:fldCharType="end"/>
      </w:r>
      <w:r>
        <w:t xml:space="preserve"> </w:t>
      </w:r>
      <w:r w:rsidRPr="007519FC">
        <w:t>below.</w:t>
      </w:r>
    </w:p>
    <w:p w14:paraId="28224D97" w14:textId="2FFF747D" w:rsidR="00477361" w:rsidRPr="007519FC" w:rsidRDefault="00477361" w:rsidP="00CD1C6D">
      <w:pPr>
        <w:pStyle w:val="ListNumber3"/>
        <w:numPr>
          <w:ilvl w:val="0"/>
          <w:numId w:val="37"/>
        </w:numPr>
        <w:jc w:val="left"/>
      </w:pPr>
      <w:r w:rsidRPr="007519FC">
        <w:t xml:space="preserve">Where “energy” consumption in Equation 3 is taken to mean “gas”, the unaccounted energy </w:t>
      </w:r>
      <w:r>
        <w:t xml:space="preserve">consumption is the gas consumption (in GJ) during the reporting period, at the premises where the project is undertaken, that is not included in the reporting gas consumption as a result of changes in the metering arrangements at the building between the </w:t>
      </w:r>
      <w:r w:rsidRPr="007519FC">
        <w:t xml:space="preserve">start of the baseline period and the end of the reporting period, as defined in </w:t>
      </w:r>
      <w:r>
        <w:fldChar w:fldCharType="begin"/>
      </w:r>
      <w:r>
        <w:instrText xml:space="preserve"> REF _Ref522876498 \r \h </w:instrText>
      </w:r>
      <w:r>
        <w:fldChar w:fldCharType="separate"/>
      </w:r>
      <w:r w:rsidR="00453C80">
        <w:t>(10)</w:t>
      </w:r>
      <w:r>
        <w:fldChar w:fldCharType="end"/>
      </w:r>
      <w:r>
        <w:t xml:space="preserve"> </w:t>
      </w:r>
      <w:r w:rsidRPr="007519FC">
        <w:t>below.</w:t>
      </w:r>
    </w:p>
    <w:p w14:paraId="4707593F" w14:textId="77777777" w:rsidR="00477361" w:rsidRPr="007519FC" w:rsidRDefault="00477361" w:rsidP="00477361">
      <w:pPr>
        <w:pStyle w:val="BodyText"/>
      </w:pPr>
    </w:p>
    <w:p w14:paraId="7FF7A9FD" w14:textId="32200588" w:rsidR="00477361" w:rsidRPr="007519FC" w:rsidRDefault="00477361" w:rsidP="000E33E5">
      <w:pPr>
        <w:pStyle w:val="ListNumber"/>
        <w:numPr>
          <w:ilvl w:val="0"/>
          <w:numId w:val="25"/>
        </w:numPr>
        <w:jc w:val="left"/>
      </w:pPr>
      <w:r>
        <w:t xml:space="preserve">  </w:t>
      </w:r>
      <w:bookmarkStart w:id="56" w:name="_Ref522876498"/>
      <w:r w:rsidRPr="007519FC">
        <w:t>Changes in metering arrangements</w:t>
      </w:r>
      <w:bookmarkEnd w:id="56"/>
      <w:r w:rsidRPr="007519FC">
        <w:t xml:space="preserve"> </w:t>
      </w:r>
    </w:p>
    <w:p w14:paraId="5B414286" w14:textId="748124FF" w:rsidR="00477361" w:rsidRDefault="00477361" w:rsidP="00CD1C6D">
      <w:pPr>
        <w:pStyle w:val="ListNumber2"/>
        <w:numPr>
          <w:ilvl w:val="0"/>
          <w:numId w:val="38"/>
        </w:numPr>
        <w:jc w:val="left"/>
      </w:pPr>
      <w:r w:rsidRPr="007519FC">
        <w:t>Changes in metering arrangements are allowed over the course of the project, provided changes in the energy boundary have been metered and recorded over the rating period.</w:t>
      </w:r>
    </w:p>
    <w:p w14:paraId="71A1F302" w14:textId="77777777" w:rsidR="00477361" w:rsidRDefault="00477361" w:rsidP="00477361">
      <w:pPr>
        <w:pStyle w:val="ListNumber2"/>
        <w:numPr>
          <w:ilvl w:val="0"/>
          <w:numId w:val="0"/>
        </w:numPr>
      </w:pPr>
    </w:p>
    <w:p w14:paraId="6CF475E1" w14:textId="7C1EF908" w:rsidR="00477361" w:rsidRPr="00A06AE7" w:rsidRDefault="00477361" w:rsidP="000E33E5">
      <w:pPr>
        <w:pStyle w:val="ListNumber"/>
        <w:numPr>
          <w:ilvl w:val="0"/>
          <w:numId w:val="25"/>
        </w:numPr>
        <w:jc w:val="left"/>
      </w:pPr>
      <w:r>
        <w:t xml:space="preserve">  </w:t>
      </w:r>
      <w:r w:rsidR="00C47D30">
        <w:t xml:space="preserve">NABERS Energy </w:t>
      </w:r>
      <w:r w:rsidR="001F1201">
        <w:t xml:space="preserve">Rating </w:t>
      </w:r>
      <w:r w:rsidR="00C47D30">
        <w:t>R</w:t>
      </w:r>
      <w:r w:rsidR="00840E66">
        <w:t>eport</w:t>
      </w:r>
    </w:p>
    <w:p w14:paraId="6DBB9DC3" w14:textId="5B7A64A0" w:rsidR="006F3F61" w:rsidRPr="00A06AE7" w:rsidRDefault="00477361" w:rsidP="00CD1C6D">
      <w:pPr>
        <w:pStyle w:val="ListNumber2"/>
        <w:numPr>
          <w:ilvl w:val="0"/>
          <w:numId w:val="39"/>
        </w:numPr>
        <w:jc w:val="left"/>
      </w:pPr>
      <w:r w:rsidRPr="00A06AE7">
        <w:t>A document that was issued by the benchmark administrator nominated at scoping approval and meets the requirements under regulation 11A (3) and 11A (4) of the VEET PBA Regulations 2017.</w:t>
      </w:r>
    </w:p>
    <w:p w14:paraId="3B5F4A67" w14:textId="77777777" w:rsidR="00477361" w:rsidRDefault="00477361" w:rsidP="00477361">
      <w:pPr>
        <w:pStyle w:val="ListNumber3"/>
        <w:numPr>
          <w:ilvl w:val="0"/>
          <w:numId w:val="0"/>
        </w:numPr>
        <w:ind w:left="1070" w:hanging="360"/>
      </w:pPr>
    </w:p>
    <w:p w14:paraId="51B621AA" w14:textId="642D0166" w:rsidR="00477361" w:rsidRPr="007519FC" w:rsidRDefault="00477361" w:rsidP="000E33E5">
      <w:pPr>
        <w:pStyle w:val="ListNumber"/>
        <w:numPr>
          <w:ilvl w:val="0"/>
          <w:numId w:val="25"/>
        </w:numPr>
        <w:jc w:val="left"/>
      </w:pPr>
      <w:bookmarkStart w:id="57" w:name="_Ref522876227"/>
      <w:r>
        <w:t xml:space="preserve">  </w:t>
      </w:r>
      <w:r w:rsidRPr="007519FC">
        <w:t>Inputs for the</w:t>
      </w:r>
      <w:r w:rsidR="00470753">
        <w:t xml:space="preserve"> NABERS</w:t>
      </w:r>
      <w:r>
        <w:t xml:space="preserve"> </w:t>
      </w:r>
      <w:bookmarkEnd w:id="57"/>
      <w:r w:rsidR="00470753">
        <w:t>P</w:t>
      </w:r>
      <w:r w:rsidR="00811F56">
        <w:t xml:space="preserve">rediction </w:t>
      </w:r>
      <w:r w:rsidR="00470753">
        <w:t>T</w:t>
      </w:r>
      <w:r w:rsidR="00811F56">
        <w:t>ool</w:t>
      </w:r>
    </w:p>
    <w:p w14:paraId="53366534" w14:textId="25A75247" w:rsidR="00477361" w:rsidRDefault="00477361" w:rsidP="00CD1C6D">
      <w:pPr>
        <w:pStyle w:val="ListNumber2"/>
        <w:numPr>
          <w:ilvl w:val="0"/>
          <w:numId w:val="40"/>
        </w:numPr>
      </w:pPr>
      <w:r>
        <w:t xml:space="preserve">A </w:t>
      </w:r>
      <w:r w:rsidR="00811F56">
        <w:t>prediction tool</w:t>
      </w:r>
      <w:r>
        <w:t xml:space="preserve"> is an electronic mechanism for calculating the maximum energy that the premises can consume for a given benchmark rating, as defined in the </w:t>
      </w:r>
      <w:r w:rsidRPr="00A06AE7">
        <w:t>VEET PBA Regulations 17A.</w:t>
      </w:r>
    </w:p>
    <w:p w14:paraId="68D54BB0" w14:textId="1F0C2CF6" w:rsidR="00477361" w:rsidRPr="00A06AE7" w:rsidRDefault="00477361" w:rsidP="00CD1C6D">
      <w:pPr>
        <w:pStyle w:val="ListNumber2"/>
        <w:numPr>
          <w:ilvl w:val="0"/>
          <w:numId w:val="40"/>
        </w:numPr>
      </w:pPr>
      <w:r>
        <w:t>Subject to (d</w:t>
      </w:r>
      <w:r w:rsidRPr="007519FC">
        <w:t xml:space="preserve">) the inputs for the </w:t>
      </w:r>
      <w:r w:rsidR="005B4E76">
        <w:t>NABERS P</w:t>
      </w:r>
      <w:r w:rsidR="00811F56">
        <w:t xml:space="preserve">rediction </w:t>
      </w:r>
      <w:r w:rsidR="005B4E76">
        <w:t>T</w:t>
      </w:r>
      <w:r w:rsidR="00811F56">
        <w:t>ool</w:t>
      </w:r>
      <w:r w:rsidRPr="007519FC">
        <w:t xml:space="preserve"> must be the </w:t>
      </w:r>
      <w:r w:rsidRPr="00A06AE7">
        <w:t xml:space="preserve">other variables published in the reporting rating. </w:t>
      </w:r>
    </w:p>
    <w:p w14:paraId="59C589EF" w14:textId="31259191" w:rsidR="00477361" w:rsidRPr="007519FC" w:rsidRDefault="00477361" w:rsidP="00CD1C6D">
      <w:pPr>
        <w:pStyle w:val="ListNumber2"/>
        <w:numPr>
          <w:ilvl w:val="0"/>
          <w:numId w:val="40"/>
        </w:numPr>
      </w:pPr>
      <w:r w:rsidRPr="007519FC">
        <w:t xml:space="preserve">The rating input into the </w:t>
      </w:r>
      <w:r w:rsidR="00D04E51">
        <w:t>NABERS P</w:t>
      </w:r>
      <w:r w:rsidR="00811F56">
        <w:t xml:space="preserve">rediction </w:t>
      </w:r>
      <w:r w:rsidR="00D04E51">
        <w:t>T</w:t>
      </w:r>
      <w:r w:rsidR="00811F56">
        <w:t>ool</w:t>
      </w:r>
      <w:r w:rsidRPr="007519FC">
        <w:t xml:space="preserve"> must not take into account whether electricity is purchased under the GreenPower Program.</w:t>
      </w:r>
    </w:p>
    <w:p w14:paraId="0A497E5A" w14:textId="15C7A995" w:rsidR="00477361" w:rsidRPr="007519FC" w:rsidRDefault="00477361" w:rsidP="00CD1C6D">
      <w:pPr>
        <w:pStyle w:val="ListNumber2"/>
        <w:numPr>
          <w:ilvl w:val="0"/>
          <w:numId w:val="40"/>
        </w:numPr>
        <w:jc w:val="left"/>
      </w:pPr>
      <w:r w:rsidRPr="007519FC">
        <w:t>The baseline rating input into the</w:t>
      </w:r>
      <w:r w:rsidR="005B4E76">
        <w:t xml:space="preserve"> NABERS</w:t>
      </w:r>
      <w:r w:rsidRPr="007519FC">
        <w:t xml:space="preserve"> </w:t>
      </w:r>
      <w:r w:rsidR="00D04E51">
        <w:t>Prediction Tool</w:t>
      </w:r>
      <w:r w:rsidRPr="007519FC">
        <w:t xml:space="preserve"> is the rating published on the </w:t>
      </w:r>
      <w:r w:rsidR="00063EAB">
        <w:t xml:space="preserve">NABERS Energy </w:t>
      </w:r>
      <w:r w:rsidR="00B72EA1">
        <w:t xml:space="preserve">Rating </w:t>
      </w:r>
      <w:r w:rsidR="00063EAB">
        <w:t>Report</w:t>
      </w:r>
      <w:r w:rsidRPr="007519FC">
        <w:t xml:space="preserve"> for the baseline period, unless the building where the project is undertaken undergoes a renovation or upgrade that requires planning approval, in which case the baseline rating for each reporting period commencing after the renovation or upgrade is completed is the highest of:</w:t>
      </w:r>
    </w:p>
    <w:p w14:paraId="40810515" w14:textId="443C334A" w:rsidR="00477361" w:rsidRPr="007519FC" w:rsidRDefault="00783172" w:rsidP="00CD1C6D">
      <w:pPr>
        <w:pStyle w:val="ListNumber3"/>
        <w:numPr>
          <w:ilvl w:val="2"/>
          <w:numId w:val="40"/>
        </w:numPr>
        <w:jc w:val="left"/>
      </w:pPr>
      <w:r>
        <w:t>T</w:t>
      </w:r>
      <w:r w:rsidR="00477361" w:rsidRPr="007519FC">
        <w:t xml:space="preserve">he rating published on the </w:t>
      </w:r>
      <w:r w:rsidR="00063EAB">
        <w:t xml:space="preserve">NABERS Energy </w:t>
      </w:r>
      <w:r w:rsidR="00B72EA1">
        <w:t xml:space="preserve">Rating </w:t>
      </w:r>
      <w:r w:rsidR="00063EAB">
        <w:t>Report</w:t>
      </w:r>
      <w:r w:rsidR="00477361" w:rsidRPr="007519FC">
        <w:t xml:space="preserve"> for the most recent reporting period that ends prior to the issue of the planning approval; or</w:t>
      </w:r>
    </w:p>
    <w:p w14:paraId="30ACCDEC" w14:textId="11409313" w:rsidR="00477361" w:rsidRPr="007519FC" w:rsidRDefault="00B4311B" w:rsidP="00CD1C6D">
      <w:pPr>
        <w:pStyle w:val="ListNumber3"/>
        <w:numPr>
          <w:ilvl w:val="2"/>
          <w:numId w:val="40"/>
        </w:numPr>
        <w:jc w:val="left"/>
      </w:pPr>
      <w:r>
        <w:t>T</w:t>
      </w:r>
      <w:r w:rsidR="00477361" w:rsidRPr="007519FC">
        <w:t>he minimum rating (if any) the building is required to meet under the planning scheme of the Local Government Area that applies to the building; or</w:t>
      </w:r>
    </w:p>
    <w:p w14:paraId="7064A1A9" w14:textId="23732589" w:rsidR="00477361" w:rsidRPr="007519FC" w:rsidRDefault="00783172" w:rsidP="00CD1C6D">
      <w:pPr>
        <w:pStyle w:val="ListNumber3"/>
        <w:numPr>
          <w:ilvl w:val="2"/>
          <w:numId w:val="40"/>
        </w:numPr>
        <w:jc w:val="left"/>
      </w:pPr>
      <w:r>
        <w:t>I</w:t>
      </w:r>
      <w:r w:rsidRPr="007519FC">
        <w:t>f</w:t>
      </w:r>
      <w:r w:rsidR="00477361" w:rsidRPr="007519FC">
        <w:t xml:space="preserve"> the building is not required to meet a minimum rating, 4.5 stars for a </w:t>
      </w:r>
      <w:r w:rsidR="00477361">
        <w:t xml:space="preserve">building that is a data centre </w:t>
      </w:r>
      <w:r w:rsidR="00477361" w:rsidRPr="007519FC">
        <w:t xml:space="preserve">or 4 stars for any other building. </w:t>
      </w:r>
    </w:p>
    <w:p w14:paraId="5F9AC2CF" w14:textId="1373AC40" w:rsidR="00477361" w:rsidRPr="007519FC" w:rsidRDefault="00477361" w:rsidP="00CD1C6D">
      <w:pPr>
        <w:pStyle w:val="ListNumber2"/>
        <w:numPr>
          <w:ilvl w:val="0"/>
          <w:numId w:val="40"/>
        </w:numPr>
        <w:jc w:val="left"/>
      </w:pPr>
      <w:r w:rsidRPr="007519FC">
        <w:t xml:space="preserve">The percentage breakdown of fuels used in the building where the project is undertaken, which is input into the </w:t>
      </w:r>
      <w:r w:rsidR="00D04E51">
        <w:t>NABERS P</w:t>
      </w:r>
      <w:r w:rsidR="00063EAB">
        <w:t xml:space="preserve">rediction </w:t>
      </w:r>
      <w:r w:rsidR="00D04E51">
        <w:t>T</w:t>
      </w:r>
      <w:r w:rsidR="00063EAB">
        <w:t>ool</w:t>
      </w:r>
      <w:r w:rsidRPr="007519FC">
        <w:t>, must be determined by converting into MWh any measurement of energy consumed at the building that is not measured in MWh. This must include all fuels used in the reporting rating.</w:t>
      </w:r>
    </w:p>
    <w:p w14:paraId="4F306720" w14:textId="77777777" w:rsidR="00477361" w:rsidRDefault="00477361" w:rsidP="00CD1C6D">
      <w:pPr>
        <w:pStyle w:val="ListNumber2"/>
        <w:numPr>
          <w:ilvl w:val="0"/>
          <w:numId w:val="40"/>
        </w:numPr>
        <w:jc w:val="left"/>
      </w:pPr>
      <w:r w:rsidRPr="007519FC">
        <w:t>For the purpose of the conversion referred to in (</w:t>
      </w:r>
      <w:r>
        <w:t>e</w:t>
      </w:r>
      <w:r w:rsidRPr="007519FC">
        <w:t xml:space="preserve">), if the measurement is not in terms of energy, the energy content factor for that fuel type, </w:t>
      </w:r>
      <w:r>
        <w:t xml:space="preserve">as specified in section (7), </w:t>
      </w:r>
      <w:r w:rsidRPr="007519FC">
        <w:t xml:space="preserve">must be used in the conversion. </w:t>
      </w:r>
    </w:p>
    <w:p w14:paraId="35374255" w14:textId="77777777" w:rsidR="00F109F8" w:rsidRDefault="00CE34A7" w:rsidP="00F109F8">
      <w:pPr>
        <w:pStyle w:val="ListNumber2"/>
        <w:numPr>
          <w:ilvl w:val="0"/>
          <w:numId w:val="40"/>
        </w:numPr>
        <w:jc w:val="left"/>
      </w:pPr>
      <w:r>
        <w:t xml:space="preserve">The </w:t>
      </w:r>
      <w:r w:rsidR="007D1EF6">
        <w:t xml:space="preserve">rating input into </w:t>
      </w:r>
      <w:r w:rsidR="79D230FF">
        <w:t>t</w:t>
      </w:r>
      <w:r w:rsidR="007D1EF6">
        <w:t xml:space="preserve">he </w:t>
      </w:r>
      <w:r w:rsidR="00D04E51">
        <w:t>NABERS P</w:t>
      </w:r>
      <w:r w:rsidR="00EA63DF">
        <w:t xml:space="preserve">rediction </w:t>
      </w:r>
      <w:r w:rsidR="00D04E51">
        <w:t>T</w:t>
      </w:r>
      <w:r w:rsidR="00EA63DF">
        <w:t>ool</w:t>
      </w:r>
      <w:r w:rsidR="007D1EF6">
        <w:t xml:space="preserve"> must use the same emissions factors as the </w:t>
      </w:r>
      <w:r w:rsidR="00D9286F">
        <w:t xml:space="preserve">Reported Energy consumption </w:t>
      </w:r>
      <w:r w:rsidR="00EA63DF">
        <w:t xml:space="preserve">in the NABERS Energy </w:t>
      </w:r>
      <w:r w:rsidR="00CB09D5">
        <w:t xml:space="preserve">Rating </w:t>
      </w:r>
      <w:r w:rsidR="00EA63DF">
        <w:t>Repor</w:t>
      </w:r>
      <w:r w:rsidR="00D9286F">
        <w:t xml:space="preserve">t. </w:t>
      </w:r>
    </w:p>
    <w:p w14:paraId="35526B23" w14:textId="699C88C1" w:rsidR="003E0531" w:rsidRDefault="003E0531" w:rsidP="00F109F8">
      <w:pPr>
        <w:pStyle w:val="ListNumber2"/>
        <w:numPr>
          <w:ilvl w:val="0"/>
          <w:numId w:val="40"/>
        </w:numPr>
        <w:jc w:val="left"/>
      </w:pPr>
      <w:r>
        <w:t xml:space="preserve">Where a NABERS Prediction Tool is not </w:t>
      </w:r>
      <w:r w:rsidR="209E3CBD">
        <w:t>suit</w:t>
      </w:r>
      <w:r>
        <w:t>able</w:t>
      </w:r>
      <w:r w:rsidR="002F0038">
        <w:t xml:space="preserve"> for a specific premises, t</w:t>
      </w:r>
      <w:r>
        <w:t xml:space="preserve">he NABERS </w:t>
      </w:r>
      <w:r w:rsidR="002F0038">
        <w:t>R</w:t>
      </w:r>
      <w:r>
        <w:t xml:space="preserve">everse </w:t>
      </w:r>
      <w:r w:rsidR="002F0038">
        <w:t>C</w:t>
      </w:r>
      <w:r>
        <w:t xml:space="preserve">alculator is </w:t>
      </w:r>
      <w:r w:rsidR="002F0038">
        <w:t>permitted to be used</w:t>
      </w:r>
      <w:r w:rsidR="00EF3855">
        <w:t>.</w:t>
      </w:r>
    </w:p>
    <w:p w14:paraId="0EF10DFF" w14:textId="77777777" w:rsidR="00477361" w:rsidRDefault="00477361" w:rsidP="00477361">
      <w:pPr>
        <w:pStyle w:val="ListNumber2"/>
        <w:numPr>
          <w:ilvl w:val="0"/>
          <w:numId w:val="0"/>
        </w:numPr>
      </w:pPr>
    </w:p>
    <w:p w14:paraId="50B29B2B" w14:textId="77777777" w:rsidR="00477361" w:rsidRDefault="00477361" w:rsidP="00CD1C6D">
      <w:pPr>
        <w:pStyle w:val="ListNumber"/>
        <w:numPr>
          <w:ilvl w:val="0"/>
          <w:numId w:val="25"/>
        </w:numPr>
        <w:jc w:val="left"/>
        <w:rPr>
          <w:rFonts w:eastAsiaTheme="minorEastAsia"/>
          <w:lang w:eastAsia="en-US"/>
        </w:rPr>
      </w:pPr>
      <w:r>
        <w:rPr>
          <w:rFonts w:eastAsiaTheme="minorEastAsia"/>
          <w:lang w:eastAsia="en-US"/>
        </w:rPr>
        <w:t xml:space="preserve"> Other variables</w:t>
      </w:r>
    </w:p>
    <w:p w14:paraId="6EF7AEEA" w14:textId="77777777" w:rsidR="00477361" w:rsidRPr="00205401" w:rsidRDefault="00477361" w:rsidP="00CD1C6D">
      <w:pPr>
        <w:pStyle w:val="ListNumber2"/>
        <w:numPr>
          <w:ilvl w:val="0"/>
          <w:numId w:val="28"/>
        </w:numPr>
        <w:jc w:val="left"/>
        <w:rPr>
          <w:rFonts w:eastAsiaTheme="minorEastAsia"/>
          <w:lang w:eastAsia="en-US"/>
        </w:rPr>
      </w:pPr>
      <w:bookmarkStart w:id="58" w:name="_Hlk517705824"/>
      <w:bookmarkStart w:id="59" w:name="_Hlk525721063"/>
      <w:r w:rsidRPr="00205401">
        <w:rPr>
          <w:rFonts w:eastAsiaTheme="minorEastAsia"/>
          <w:lang w:eastAsia="en-US"/>
        </w:rPr>
        <w:lastRenderedPageBreak/>
        <w:t xml:space="preserve">Additional information to a premises’ measured energy consumption, which is used by a benchmark administrator’s process to calculate a benchmark rating. </w:t>
      </w:r>
      <w:bookmarkEnd w:id="58"/>
    </w:p>
    <w:bookmarkEnd w:id="59"/>
    <w:p w14:paraId="2EFE2F3C" w14:textId="77777777" w:rsidR="00477361" w:rsidRDefault="00477361" w:rsidP="00477361">
      <w:pPr>
        <w:pStyle w:val="ListNumber2"/>
        <w:numPr>
          <w:ilvl w:val="0"/>
          <w:numId w:val="0"/>
        </w:numPr>
        <w:ind w:left="360"/>
        <w:rPr>
          <w:rFonts w:eastAsiaTheme="minorEastAsia"/>
          <w:lang w:eastAsia="en-US"/>
        </w:rPr>
      </w:pPr>
    </w:p>
    <w:p w14:paraId="6866DDBF" w14:textId="77777777" w:rsidR="00477361" w:rsidRPr="007519FC" w:rsidRDefault="00477361" w:rsidP="00CD1C6D">
      <w:pPr>
        <w:pStyle w:val="ListNumber"/>
        <w:numPr>
          <w:ilvl w:val="0"/>
          <w:numId w:val="25"/>
        </w:numPr>
        <w:jc w:val="left"/>
        <w:rPr>
          <w:rFonts w:eastAsiaTheme="minorEastAsia"/>
          <w:lang w:eastAsia="en-US"/>
        </w:rPr>
      </w:pPr>
      <w:bookmarkStart w:id="60" w:name="_Ref522876270"/>
      <w:r>
        <w:rPr>
          <w:rFonts w:eastAsiaTheme="minorEastAsia"/>
          <w:lang w:eastAsia="en-US"/>
        </w:rPr>
        <w:t xml:space="preserve"> </w:t>
      </w:r>
      <w:r w:rsidRPr="007519FC">
        <w:rPr>
          <w:rFonts w:eastAsiaTheme="minorEastAsia"/>
          <w:lang w:eastAsia="en-US"/>
        </w:rPr>
        <w:t>Number of whole years</w:t>
      </w:r>
      <w:bookmarkEnd w:id="60"/>
    </w:p>
    <w:p w14:paraId="4D55D721" w14:textId="45A28ECA" w:rsidR="00477361" w:rsidRPr="000F3FC5" w:rsidRDefault="00477361" w:rsidP="00CD1C6D">
      <w:pPr>
        <w:pStyle w:val="ListNumber2"/>
        <w:numPr>
          <w:ilvl w:val="0"/>
          <w:numId w:val="29"/>
        </w:numPr>
        <w:jc w:val="left"/>
        <w:rPr>
          <w:rFonts w:eastAsiaTheme="minorEastAsia"/>
          <w:lang w:eastAsia="en-US"/>
        </w:rPr>
      </w:pPr>
      <w:r w:rsidRPr="007519FC">
        <w:rPr>
          <w:rFonts w:eastAsiaTheme="minorEastAsia"/>
          <w:lang w:eastAsia="en-US"/>
        </w:rPr>
        <w:t xml:space="preserve">The number of whole years are calculated by subtracting the year of the end of the reporting period minus the year of the end of the baseline period, as defined in </w:t>
      </w:r>
      <w:r w:rsidRPr="007519FC">
        <w:t xml:space="preserve">section </w:t>
      </w:r>
      <w:r>
        <w:fldChar w:fldCharType="begin"/>
      </w:r>
      <w:r>
        <w:instrText xml:space="preserve"> REF _Ref522876552 \r \h </w:instrText>
      </w:r>
      <w:r>
        <w:fldChar w:fldCharType="separate"/>
      </w:r>
      <w:r w:rsidR="00453C80">
        <w:t>(15)</w:t>
      </w:r>
      <w:r>
        <w:fldChar w:fldCharType="end"/>
      </w:r>
      <w:r>
        <w:t xml:space="preserve"> and </w:t>
      </w:r>
      <w:r>
        <w:fldChar w:fldCharType="begin"/>
      </w:r>
      <w:r>
        <w:instrText xml:space="preserve"> REF _Ref522876560 \r \h </w:instrText>
      </w:r>
      <w:r>
        <w:fldChar w:fldCharType="separate"/>
      </w:r>
      <w:r w:rsidR="00453C80">
        <w:t>(16)</w:t>
      </w:r>
      <w:r>
        <w:fldChar w:fldCharType="end"/>
      </w:r>
      <w:r>
        <w:t>.</w:t>
      </w:r>
    </w:p>
    <w:p w14:paraId="712AF8A8" w14:textId="77777777" w:rsidR="00477361" w:rsidRPr="001E2EC7" w:rsidRDefault="00477361" w:rsidP="00477361">
      <w:pPr>
        <w:pStyle w:val="BodyText"/>
      </w:pPr>
    </w:p>
    <w:p w14:paraId="189245E9" w14:textId="77777777" w:rsidR="00477361" w:rsidRPr="007519FC" w:rsidRDefault="00477361" w:rsidP="00CD1C6D">
      <w:pPr>
        <w:pStyle w:val="ListNumber"/>
        <w:numPr>
          <w:ilvl w:val="0"/>
          <w:numId w:val="25"/>
        </w:numPr>
        <w:jc w:val="left"/>
      </w:pPr>
      <w:bookmarkStart w:id="61" w:name="_Ref522874695"/>
      <w:r>
        <w:t xml:space="preserve"> </w:t>
      </w:r>
      <w:bookmarkStart w:id="62" w:name="_Ref522876552"/>
      <w:r w:rsidRPr="007519FC">
        <w:t>Reporting period</w:t>
      </w:r>
      <w:bookmarkEnd w:id="61"/>
      <w:bookmarkEnd w:id="62"/>
    </w:p>
    <w:p w14:paraId="3E90BF4E" w14:textId="77777777" w:rsidR="00477361" w:rsidRPr="007519FC" w:rsidRDefault="00477361" w:rsidP="00CD1C6D">
      <w:pPr>
        <w:pStyle w:val="ListNumber2"/>
        <w:numPr>
          <w:ilvl w:val="0"/>
          <w:numId w:val="41"/>
        </w:numPr>
        <w:jc w:val="left"/>
      </w:pPr>
      <w:r w:rsidRPr="007519FC">
        <w:t>The reporting period, in relation to a project, is a 12-month period commencing:</w:t>
      </w:r>
    </w:p>
    <w:p w14:paraId="5207EE00" w14:textId="01EDD0D6" w:rsidR="00477361" w:rsidRPr="007519FC" w:rsidRDefault="00BA4C05" w:rsidP="00CD1C6D">
      <w:pPr>
        <w:pStyle w:val="ListNumber3"/>
        <w:numPr>
          <w:ilvl w:val="0"/>
          <w:numId w:val="42"/>
        </w:numPr>
        <w:jc w:val="left"/>
      </w:pPr>
      <w:r>
        <w:t>Directly following</w:t>
      </w:r>
      <w:r w:rsidRPr="007519FC">
        <w:t xml:space="preserve"> </w:t>
      </w:r>
      <w:r w:rsidR="00477361" w:rsidRPr="007519FC">
        <w:t>the implementation start time for the project, as defined in regulation 4 of the VEET PBA Regulations 2017; or</w:t>
      </w:r>
    </w:p>
    <w:p w14:paraId="1542479A" w14:textId="63C2AF54" w:rsidR="00477361" w:rsidRPr="007519FC" w:rsidRDefault="00BA4C05" w:rsidP="00CD1C6D">
      <w:pPr>
        <w:pStyle w:val="ListNumber3"/>
        <w:numPr>
          <w:ilvl w:val="0"/>
          <w:numId w:val="42"/>
        </w:numPr>
        <w:jc w:val="left"/>
      </w:pPr>
      <w:r>
        <w:t>Directly following</w:t>
      </w:r>
      <w:r w:rsidRPr="007519FC">
        <w:t xml:space="preserve"> </w:t>
      </w:r>
      <w:r w:rsidR="00477361" w:rsidRPr="007519FC">
        <w:t xml:space="preserve">another reporting period but not later than </w:t>
      </w:r>
      <w:r w:rsidR="00380D28">
        <w:t>2</w:t>
      </w:r>
      <w:r w:rsidR="00477361" w:rsidRPr="007519FC">
        <w:t xml:space="preserve"> years after the implementation start time.</w:t>
      </w:r>
    </w:p>
    <w:p w14:paraId="5DFE77B5" w14:textId="77777777" w:rsidR="00477361" w:rsidRPr="00205401" w:rsidRDefault="00477361" w:rsidP="00477361">
      <w:pPr>
        <w:pStyle w:val="ListNumber3"/>
        <w:numPr>
          <w:ilvl w:val="0"/>
          <w:numId w:val="0"/>
        </w:numPr>
        <w:ind w:left="1049"/>
        <w:rPr>
          <w:sz w:val="18"/>
          <w:szCs w:val="18"/>
        </w:rPr>
      </w:pPr>
    </w:p>
    <w:p w14:paraId="06434C80" w14:textId="77777777" w:rsidR="00477361" w:rsidRPr="007519FC" w:rsidRDefault="00477361" w:rsidP="00CD1C6D">
      <w:pPr>
        <w:pStyle w:val="ListNumber"/>
        <w:numPr>
          <w:ilvl w:val="0"/>
          <w:numId w:val="25"/>
        </w:numPr>
        <w:jc w:val="left"/>
      </w:pPr>
      <w:bookmarkStart w:id="63" w:name="_Ref522874706"/>
      <w:r>
        <w:t xml:space="preserve"> </w:t>
      </w:r>
      <w:bookmarkStart w:id="64" w:name="_Ref522876560"/>
      <w:r w:rsidRPr="007519FC">
        <w:t>Baseline period</w:t>
      </w:r>
      <w:bookmarkEnd w:id="63"/>
      <w:bookmarkEnd w:id="64"/>
    </w:p>
    <w:p w14:paraId="5EDA73A2" w14:textId="2B00EBB3" w:rsidR="00477361" w:rsidRPr="007519FC" w:rsidRDefault="00477361" w:rsidP="00CD1C6D">
      <w:pPr>
        <w:pStyle w:val="ListNumber2"/>
        <w:numPr>
          <w:ilvl w:val="0"/>
          <w:numId w:val="43"/>
        </w:numPr>
        <w:jc w:val="left"/>
      </w:pPr>
      <w:r w:rsidRPr="007519FC">
        <w:t>The baseline period, in relation to a project, is a 12-month period ending:</w:t>
      </w:r>
    </w:p>
    <w:p w14:paraId="7D930356" w14:textId="77777777" w:rsidR="00477361" w:rsidRPr="007519FC" w:rsidRDefault="00477361" w:rsidP="00CD1C6D">
      <w:pPr>
        <w:pStyle w:val="ListNumber3"/>
        <w:numPr>
          <w:ilvl w:val="0"/>
          <w:numId w:val="44"/>
        </w:numPr>
        <w:jc w:val="left"/>
      </w:pPr>
      <w:r w:rsidRPr="007519FC">
        <w:t>Before works commence, as defined in regulation 6 (7) of the VEET PBA Regulations 2017; and</w:t>
      </w:r>
    </w:p>
    <w:p w14:paraId="0BF3F341" w14:textId="77777777" w:rsidR="00477361" w:rsidRPr="007519FC" w:rsidRDefault="00477361" w:rsidP="00CD1C6D">
      <w:pPr>
        <w:pStyle w:val="ListNumber3"/>
        <w:numPr>
          <w:ilvl w:val="0"/>
          <w:numId w:val="44"/>
        </w:numPr>
        <w:jc w:val="left"/>
      </w:pPr>
      <w:r w:rsidRPr="007519FC">
        <w:t>No more than 18 months before works commence.</w:t>
      </w:r>
    </w:p>
    <w:p w14:paraId="1546260A" w14:textId="77777777" w:rsidR="005C5CC3" w:rsidRPr="007519FC" w:rsidRDefault="005C5CC3" w:rsidP="007248D3">
      <w:pPr>
        <w:pStyle w:val="ListNumber3"/>
        <w:numPr>
          <w:ilvl w:val="0"/>
          <w:numId w:val="0"/>
        </w:numPr>
        <w:ind w:left="1020" w:hanging="340"/>
        <w:jc w:val="left"/>
      </w:pPr>
    </w:p>
    <w:p w14:paraId="3EF12BFD" w14:textId="04F7A9C7" w:rsidR="00E578D4" w:rsidRDefault="00FA1978" w:rsidP="00CD1C6D">
      <w:pPr>
        <w:pStyle w:val="ListNumber"/>
        <w:numPr>
          <w:ilvl w:val="0"/>
          <w:numId w:val="25"/>
        </w:numPr>
      </w:pPr>
      <w:r>
        <w:t xml:space="preserve"> </w:t>
      </w:r>
      <w:r w:rsidR="00366DD6">
        <w:t>Decay Factor</w:t>
      </w:r>
    </w:p>
    <w:p w14:paraId="7EE2948D" w14:textId="0ECCBBB3" w:rsidR="00192A8A" w:rsidRDefault="00192A8A" w:rsidP="00CD1C6D">
      <w:pPr>
        <w:pStyle w:val="ListNumber2"/>
        <w:keepNext/>
        <w:keepLines/>
        <w:numPr>
          <w:ilvl w:val="0"/>
          <w:numId w:val="46"/>
        </w:numPr>
        <w:jc w:val="left"/>
      </w:pPr>
      <w:r w:rsidRPr="008729F9">
        <w:t>The decay factor for a year i</w:t>
      </w:r>
      <w:r>
        <w:t xml:space="preserve">s assigned on a per measurement boundary basis and is </w:t>
      </w:r>
      <w:r w:rsidRPr="008729F9">
        <w:t xml:space="preserve">determined using Table </w:t>
      </w:r>
      <w:r w:rsidR="00CF148F">
        <w:t>1</w:t>
      </w:r>
      <w:r w:rsidRPr="008729F9">
        <w:t xml:space="preserve"> or by applying a persistence model.</w:t>
      </w:r>
    </w:p>
    <w:p w14:paraId="0877C3F0" w14:textId="77777777" w:rsidR="00C151D0" w:rsidRDefault="00E578D4" w:rsidP="00CD1C6D">
      <w:pPr>
        <w:pStyle w:val="ListNumber"/>
        <w:numPr>
          <w:ilvl w:val="0"/>
          <w:numId w:val="46"/>
        </w:numPr>
      </w:pPr>
      <w:r>
        <w:t>A persistence model must meet the following requirements:</w:t>
      </w:r>
    </w:p>
    <w:p w14:paraId="627EA7FA" w14:textId="77777777" w:rsidR="00C151D0" w:rsidRDefault="00E578D4" w:rsidP="00CD1C6D">
      <w:pPr>
        <w:pStyle w:val="ListNumber"/>
        <w:numPr>
          <w:ilvl w:val="2"/>
          <w:numId w:val="46"/>
        </w:numPr>
      </w:pPr>
      <w:r>
        <w:t>it provides a reasonable estimate of the expected lifetime of an energy consuming product in whole years; and</w:t>
      </w:r>
    </w:p>
    <w:p w14:paraId="68D13647" w14:textId="77777777" w:rsidR="00C151D0" w:rsidRDefault="00E578D4" w:rsidP="00CD1C6D">
      <w:pPr>
        <w:pStyle w:val="ListNumber"/>
        <w:numPr>
          <w:ilvl w:val="2"/>
          <w:numId w:val="46"/>
        </w:numPr>
      </w:pPr>
      <w:r>
        <w:t>it provides a decay factor representing the decline in performance of the product each year by taking into account:</w:t>
      </w:r>
    </w:p>
    <w:p w14:paraId="7443B9E5" w14:textId="77777777" w:rsidR="00C151D0" w:rsidRDefault="00E578D4" w:rsidP="00CD1C6D">
      <w:pPr>
        <w:pStyle w:val="ListNumber"/>
        <w:numPr>
          <w:ilvl w:val="2"/>
          <w:numId w:val="46"/>
        </w:numPr>
      </w:pPr>
      <w:r>
        <w:t>the type of the energy consuming product; and</w:t>
      </w:r>
    </w:p>
    <w:p w14:paraId="3D976F51" w14:textId="77777777" w:rsidR="00C151D0" w:rsidRDefault="00E578D4" w:rsidP="00CD1C6D">
      <w:pPr>
        <w:pStyle w:val="ListNumber"/>
        <w:numPr>
          <w:ilvl w:val="2"/>
          <w:numId w:val="46"/>
        </w:numPr>
      </w:pPr>
      <w:r>
        <w:t xml:space="preserve">how the energy consuming product is used; and </w:t>
      </w:r>
    </w:p>
    <w:p w14:paraId="16CA2691" w14:textId="77777777" w:rsidR="00C151D0" w:rsidRDefault="00E578D4" w:rsidP="00CD1C6D">
      <w:pPr>
        <w:pStyle w:val="ListNumber"/>
        <w:numPr>
          <w:ilvl w:val="2"/>
          <w:numId w:val="46"/>
        </w:numPr>
      </w:pPr>
      <w:r>
        <w:t>the environmental characteristics of the premises where the energy consuming product is used; and</w:t>
      </w:r>
    </w:p>
    <w:p w14:paraId="781EB360" w14:textId="66BD55B1" w:rsidR="00477361" w:rsidRDefault="00AD36B6" w:rsidP="00CD1C6D">
      <w:pPr>
        <w:pStyle w:val="ListNumber3"/>
        <w:keepNext/>
        <w:keepLines/>
        <w:numPr>
          <w:ilvl w:val="2"/>
          <w:numId w:val="46"/>
        </w:numPr>
        <w:jc w:val="left"/>
      </w:pPr>
      <w:r w:rsidRPr="008729F9">
        <w:t>the model provides the most conservative set of yearly decay factors when applied to more tha</w:t>
      </w:r>
      <w:r>
        <w:t xml:space="preserve">n one energy consuming product </w:t>
      </w:r>
      <w:r w:rsidRPr="003048A7">
        <w:t xml:space="preserve">or the model provides the yearly decay factors for the energy consuming product that contributes to greater than 80% of the total </w:t>
      </w:r>
      <w:r>
        <w:t xml:space="preserve">annual </w:t>
      </w:r>
      <w:r w:rsidRPr="003048A7">
        <w:t>energy savings</w:t>
      </w:r>
      <w:r>
        <w:t>.</w:t>
      </w:r>
    </w:p>
    <w:p w14:paraId="7AEF7724" w14:textId="77777777" w:rsidR="0029360F" w:rsidRDefault="0029360F" w:rsidP="0029360F">
      <w:pPr>
        <w:pStyle w:val="ListNumber3"/>
        <w:keepNext/>
        <w:keepLines/>
        <w:numPr>
          <w:ilvl w:val="0"/>
          <w:numId w:val="0"/>
        </w:numPr>
        <w:ind w:left="1020" w:hanging="340"/>
        <w:jc w:val="left"/>
      </w:pPr>
    </w:p>
    <w:p w14:paraId="2E5AE397" w14:textId="3678D55F" w:rsidR="00A94613" w:rsidRDefault="000E33E5" w:rsidP="00496C7C">
      <w:pPr>
        <w:pStyle w:val="ListNumber"/>
        <w:numPr>
          <w:ilvl w:val="0"/>
          <w:numId w:val="25"/>
        </w:numPr>
        <w:jc w:val="left"/>
      </w:pPr>
      <w:r>
        <w:t xml:space="preserve"> </w:t>
      </w:r>
      <w:r w:rsidR="0029360F" w:rsidRPr="0029360F">
        <w:t xml:space="preserve">Maximum time period for forward creation </w:t>
      </w:r>
    </w:p>
    <w:p w14:paraId="40BE279D" w14:textId="2E6FD559" w:rsidR="00A94613" w:rsidRDefault="00767827" w:rsidP="00CD1C6D">
      <w:pPr>
        <w:pStyle w:val="ListParagraph"/>
        <w:numPr>
          <w:ilvl w:val="0"/>
          <w:numId w:val="47"/>
        </w:numPr>
      </w:pPr>
      <w:r>
        <w:t>F</w:t>
      </w:r>
      <w:r w:rsidR="00A94613" w:rsidRPr="0029360F">
        <w:t xml:space="preserve">orward creation is permitted for ten years from the implementation start time of that </w:t>
      </w:r>
      <w:r w:rsidR="00E52BCB">
        <w:t>p</w:t>
      </w:r>
      <w:r w:rsidR="00A94613" w:rsidRPr="0029360F">
        <w:t xml:space="preserve">roject. </w:t>
      </w:r>
    </w:p>
    <w:p w14:paraId="3823B00A" w14:textId="77777777" w:rsidR="00CF148F" w:rsidRDefault="00CF148F">
      <w:pPr>
        <w:rPr>
          <w:rFonts w:asciiTheme="majorHAnsi" w:eastAsiaTheme="majorEastAsia" w:hAnsiTheme="majorHAnsi" w:cstheme="majorBidi"/>
          <w:bCs/>
          <w:color w:val="201547" w:themeColor="text2"/>
          <w:sz w:val="28"/>
          <w:szCs w:val="26"/>
        </w:rPr>
      </w:pPr>
      <w:bookmarkStart w:id="65" w:name="_Toc75862258"/>
      <w:bookmarkStart w:id="66" w:name="_Toc189647758"/>
      <w:r>
        <w:br w:type="page"/>
      </w:r>
    </w:p>
    <w:p w14:paraId="6984BA14" w14:textId="678564AD" w:rsidR="00103055" w:rsidRDefault="00103055" w:rsidP="00103055">
      <w:pPr>
        <w:pStyle w:val="Heading3"/>
      </w:pPr>
      <w:bookmarkStart w:id="67" w:name="_Toc195022710"/>
      <w:r w:rsidRPr="0045492B">
        <w:lastRenderedPageBreak/>
        <w:t xml:space="preserve">Table </w:t>
      </w:r>
      <w:r w:rsidR="00CF148F">
        <w:t>1</w:t>
      </w:r>
      <w:r>
        <w:t xml:space="preserve"> – Decay factor</w:t>
      </w:r>
      <w:bookmarkEnd w:id="65"/>
      <w:bookmarkEnd w:id="66"/>
      <w:bookmarkEnd w:id="67"/>
    </w:p>
    <w:tbl>
      <w:tblPr>
        <w:tblStyle w:val="LightShading"/>
        <w:tblW w:w="0" w:type="auto"/>
        <w:tblBorders>
          <w:top w:val="single" w:sz="8" w:space="0" w:color="201547" w:themeColor="text2"/>
          <w:bottom w:val="single" w:sz="8" w:space="0" w:color="201547" w:themeColor="text2"/>
          <w:insideH w:val="single" w:sz="8" w:space="0" w:color="201547" w:themeColor="text2"/>
        </w:tblBorders>
        <w:tblLook w:val="04A0" w:firstRow="1" w:lastRow="0" w:firstColumn="1" w:lastColumn="0" w:noHBand="0" w:noVBand="1"/>
      </w:tblPr>
      <w:tblGrid>
        <w:gridCol w:w="844"/>
        <w:gridCol w:w="1297"/>
      </w:tblGrid>
      <w:tr w:rsidR="00103055" w:rsidRPr="003D143A" w14:paraId="040EBF0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201547" w:themeFill="text2"/>
          </w:tcPr>
          <w:p w14:paraId="23E38E19" w14:textId="77777777" w:rsidR="00103055" w:rsidRPr="00AE3518" w:rsidRDefault="00103055">
            <w:pPr>
              <w:pStyle w:val="TableHeadingCentre"/>
              <w:rPr>
                <w:b/>
              </w:rPr>
            </w:pPr>
            <w:r w:rsidRPr="00AE3518">
              <w:rPr>
                <w:b/>
              </w:rPr>
              <w:t>Year (</w:t>
            </w:r>
            <m:oMath>
              <m:r>
                <m:rPr>
                  <m:sty m:val="bi"/>
                </m:rPr>
                <w:rPr>
                  <w:rFonts w:ascii="Cambria Math" w:hAnsi="Cambria Math"/>
                </w:rPr>
                <m:t>i</m:t>
              </m:r>
            </m:oMath>
            <w:r w:rsidRPr="00AE3518">
              <w:rPr>
                <w:b/>
              </w:rPr>
              <w:t>)</w:t>
            </w:r>
          </w:p>
        </w:tc>
        <w:tc>
          <w:tcPr>
            <w:tcW w:w="0" w:type="auto"/>
            <w:shd w:val="clear" w:color="auto" w:fill="201547" w:themeFill="text2"/>
          </w:tcPr>
          <w:p w14:paraId="6BCF2015" w14:textId="77777777" w:rsidR="00103055" w:rsidRPr="00AE3518" w:rsidRDefault="00103055">
            <w:pPr>
              <w:pStyle w:val="TableHeadingCentre"/>
              <w:cnfStyle w:val="100000000000" w:firstRow="1" w:lastRow="0" w:firstColumn="0" w:lastColumn="0" w:oddVBand="0" w:evenVBand="0" w:oddHBand="0" w:evenHBand="0" w:firstRowFirstColumn="0" w:firstRowLastColumn="0" w:lastRowFirstColumn="0" w:lastRowLastColumn="0"/>
              <w:rPr>
                <w:b/>
              </w:rPr>
            </w:pPr>
            <w:r w:rsidRPr="00AE3518">
              <w:rPr>
                <w:b/>
              </w:rPr>
              <w:t>Decay factor</w:t>
            </w:r>
          </w:p>
        </w:tc>
      </w:tr>
      <w:tr w:rsidR="00103055" w:rsidRPr="003D143A" w14:paraId="5373FE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4C2B9D2" w14:textId="77777777" w:rsidR="00103055" w:rsidRPr="003D143A" w:rsidRDefault="00103055">
            <w:pPr>
              <w:pStyle w:val="TableTextCentre"/>
            </w:pPr>
            <w:r w:rsidRPr="003D143A">
              <w:t>1</w:t>
            </w:r>
          </w:p>
        </w:tc>
        <w:tc>
          <w:tcPr>
            <w:tcW w:w="0" w:type="auto"/>
            <w:shd w:val="clear" w:color="auto" w:fill="CCE3F5" w:themeFill="background2"/>
          </w:tcPr>
          <w:p w14:paraId="7D5F7E0F" w14:textId="77777777" w:rsidR="00103055" w:rsidRPr="003D143A" w:rsidRDefault="00103055">
            <w:pPr>
              <w:pStyle w:val="TableTextCentre"/>
              <w:cnfStyle w:val="000000100000" w:firstRow="0" w:lastRow="0" w:firstColumn="0" w:lastColumn="0" w:oddVBand="0" w:evenVBand="0" w:oddHBand="1" w:evenHBand="0" w:firstRowFirstColumn="0" w:firstRowLastColumn="0" w:lastRowFirstColumn="0" w:lastRowLastColumn="0"/>
            </w:pPr>
            <w:r w:rsidRPr="003D143A">
              <w:t>1.00</w:t>
            </w:r>
          </w:p>
        </w:tc>
      </w:tr>
      <w:tr w:rsidR="00103055" w:rsidRPr="003D143A" w14:paraId="439085E2" w14:textId="77777777">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23EFF617" w14:textId="77777777" w:rsidR="00103055" w:rsidRPr="003D143A" w:rsidRDefault="00103055">
            <w:pPr>
              <w:pStyle w:val="TableTextCentre"/>
            </w:pPr>
            <w:r w:rsidRPr="003D143A">
              <w:t>2</w:t>
            </w:r>
          </w:p>
        </w:tc>
        <w:tc>
          <w:tcPr>
            <w:tcW w:w="0" w:type="auto"/>
            <w:shd w:val="clear" w:color="auto" w:fill="CCE3F5" w:themeFill="background2"/>
          </w:tcPr>
          <w:p w14:paraId="47C09E95" w14:textId="77777777" w:rsidR="00103055" w:rsidRPr="003D143A" w:rsidRDefault="00103055">
            <w:pPr>
              <w:pStyle w:val="TableTextCentre"/>
              <w:cnfStyle w:val="000000000000" w:firstRow="0" w:lastRow="0" w:firstColumn="0" w:lastColumn="0" w:oddVBand="0" w:evenVBand="0" w:oddHBand="0" w:evenHBand="0" w:firstRowFirstColumn="0" w:firstRowLastColumn="0" w:lastRowFirstColumn="0" w:lastRowLastColumn="0"/>
            </w:pPr>
            <w:r w:rsidRPr="003D143A">
              <w:t>0.80</w:t>
            </w:r>
          </w:p>
        </w:tc>
      </w:tr>
      <w:tr w:rsidR="00103055" w:rsidRPr="003D143A" w14:paraId="44F6F95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1A6CFB15" w14:textId="77777777" w:rsidR="00103055" w:rsidRPr="003D143A" w:rsidRDefault="00103055">
            <w:pPr>
              <w:pStyle w:val="TableTextCentre"/>
            </w:pPr>
            <w:r w:rsidRPr="003D143A">
              <w:t>3</w:t>
            </w:r>
          </w:p>
        </w:tc>
        <w:tc>
          <w:tcPr>
            <w:tcW w:w="0" w:type="auto"/>
            <w:shd w:val="clear" w:color="auto" w:fill="CCE3F5" w:themeFill="background2"/>
          </w:tcPr>
          <w:p w14:paraId="61E90F25" w14:textId="77777777" w:rsidR="00103055" w:rsidRPr="003D143A" w:rsidRDefault="00103055">
            <w:pPr>
              <w:pStyle w:val="TableTextCentre"/>
              <w:cnfStyle w:val="000000100000" w:firstRow="0" w:lastRow="0" w:firstColumn="0" w:lastColumn="0" w:oddVBand="0" w:evenVBand="0" w:oddHBand="1" w:evenHBand="0" w:firstRowFirstColumn="0" w:firstRowLastColumn="0" w:lastRowFirstColumn="0" w:lastRowLastColumn="0"/>
            </w:pPr>
            <w:r w:rsidRPr="003D143A">
              <w:t>0.64</w:t>
            </w:r>
          </w:p>
        </w:tc>
      </w:tr>
      <w:tr w:rsidR="00103055" w:rsidRPr="003D143A" w14:paraId="59C5DE6D" w14:textId="77777777">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51C7BACB" w14:textId="77777777" w:rsidR="00103055" w:rsidRPr="003D143A" w:rsidRDefault="00103055">
            <w:pPr>
              <w:pStyle w:val="TableTextCentre"/>
            </w:pPr>
            <w:r w:rsidRPr="003D143A">
              <w:t>4</w:t>
            </w:r>
          </w:p>
        </w:tc>
        <w:tc>
          <w:tcPr>
            <w:tcW w:w="0" w:type="auto"/>
            <w:shd w:val="clear" w:color="auto" w:fill="CCE3F5" w:themeFill="background2"/>
          </w:tcPr>
          <w:p w14:paraId="7655EF2F" w14:textId="77777777" w:rsidR="00103055" w:rsidRPr="003D143A" w:rsidRDefault="00103055">
            <w:pPr>
              <w:pStyle w:val="TableTextCentre"/>
              <w:cnfStyle w:val="000000000000" w:firstRow="0" w:lastRow="0" w:firstColumn="0" w:lastColumn="0" w:oddVBand="0" w:evenVBand="0" w:oddHBand="0" w:evenHBand="0" w:firstRowFirstColumn="0" w:firstRowLastColumn="0" w:lastRowFirstColumn="0" w:lastRowLastColumn="0"/>
            </w:pPr>
            <w:r w:rsidRPr="003D143A">
              <w:t>0.51</w:t>
            </w:r>
          </w:p>
        </w:tc>
      </w:tr>
      <w:tr w:rsidR="00103055" w:rsidRPr="003D143A" w14:paraId="2A1615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16F2DB49" w14:textId="77777777" w:rsidR="00103055" w:rsidRPr="003D143A" w:rsidRDefault="00103055">
            <w:pPr>
              <w:pStyle w:val="TableTextCentre"/>
            </w:pPr>
            <w:r w:rsidRPr="003D143A">
              <w:t>5</w:t>
            </w:r>
          </w:p>
        </w:tc>
        <w:tc>
          <w:tcPr>
            <w:tcW w:w="0" w:type="auto"/>
            <w:shd w:val="clear" w:color="auto" w:fill="CCE3F5" w:themeFill="background2"/>
          </w:tcPr>
          <w:p w14:paraId="7DD33145" w14:textId="77777777" w:rsidR="00103055" w:rsidRPr="003D143A" w:rsidRDefault="00103055">
            <w:pPr>
              <w:pStyle w:val="TableTextCentre"/>
              <w:cnfStyle w:val="000000100000" w:firstRow="0" w:lastRow="0" w:firstColumn="0" w:lastColumn="0" w:oddVBand="0" w:evenVBand="0" w:oddHBand="1" w:evenHBand="0" w:firstRowFirstColumn="0" w:firstRowLastColumn="0" w:lastRowFirstColumn="0" w:lastRowLastColumn="0"/>
            </w:pPr>
            <w:r w:rsidRPr="003D143A">
              <w:t>0.41</w:t>
            </w:r>
          </w:p>
        </w:tc>
      </w:tr>
      <w:tr w:rsidR="00103055" w:rsidRPr="003D143A" w14:paraId="70789A48" w14:textId="77777777">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2C3B56AE" w14:textId="77777777" w:rsidR="00103055" w:rsidRPr="003D143A" w:rsidRDefault="00103055">
            <w:pPr>
              <w:pStyle w:val="TableTextCentre"/>
            </w:pPr>
            <w:r w:rsidRPr="003D143A">
              <w:t>6</w:t>
            </w:r>
          </w:p>
        </w:tc>
        <w:tc>
          <w:tcPr>
            <w:tcW w:w="0" w:type="auto"/>
            <w:shd w:val="clear" w:color="auto" w:fill="CCE3F5" w:themeFill="background2"/>
          </w:tcPr>
          <w:p w14:paraId="7B791DC9" w14:textId="77777777" w:rsidR="00103055" w:rsidRPr="003D143A" w:rsidRDefault="00103055">
            <w:pPr>
              <w:pStyle w:val="TableTextCentre"/>
              <w:cnfStyle w:val="000000000000" w:firstRow="0" w:lastRow="0" w:firstColumn="0" w:lastColumn="0" w:oddVBand="0" w:evenVBand="0" w:oddHBand="0" w:evenHBand="0" w:firstRowFirstColumn="0" w:firstRowLastColumn="0" w:lastRowFirstColumn="0" w:lastRowLastColumn="0"/>
            </w:pPr>
            <w:r w:rsidRPr="003D143A">
              <w:t>0.33</w:t>
            </w:r>
          </w:p>
        </w:tc>
      </w:tr>
      <w:tr w:rsidR="00103055" w:rsidRPr="003D143A" w14:paraId="27C710C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5DC3BC82" w14:textId="77777777" w:rsidR="00103055" w:rsidRPr="003D143A" w:rsidRDefault="00103055">
            <w:pPr>
              <w:pStyle w:val="TableTextCentre"/>
            </w:pPr>
            <w:r w:rsidRPr="003D143A">
              <w:t>7</w:t>
            </w:r>
          </w:p>
        </w:tc>
        <w:tc>
          <w:tcPr>
            <w:tcW w:w="0" w:type="auto"/>
            <w:shd w:val="clear" w:color="auto" w:fill="CCE3F5" w:themeFill="background2"/>
          </w:tcPr>
          <w:p w14:paraId="3923A6E9" w14:textId="77777777" w:rsidR="00103055" w:rsidRPr="003D143A" w:rsidRDefault="00103055">
            <w:pPr>
              <w:pStyle w:val="TableTextCentre"/>
              <w:cnfStyle w:val="000000100000" w:firstRow="0" w:lastRow="0" w:firstColumn="0" w:lastColumn="0" w:oddVBand="0" w:evenVBand="0" w:oddHBand="1" w:evenHBand="0" w:firstRowFirstColumn="0" w:firstRowLastColumn="0" w:lastRowFirstColumn="0" w:lastRowLastColumn="0"/>
            </w:pPr>
            <w:r w:rsidRPr="003D143A">
              <w:t>0.26</w:t>
            </w:r>
          </w:p>
        </w:tc>
      </w:tr>
      <w:tr w:rsidR="00103055" w:rsidRPr="003D143A" w14:paraId="63DA435B" w14:textId="77777777">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1ADAD3B2" w14:textId="77777777" w:rsidR="00103055" w:rsidRPr="003D143A" w:rsidRDefault="00103055">
            <w:pPr>
              <w:pStyle w:val="TableTextCentre"/>
            </w:pPr>
            <w:r w:rsidRPr="003D143A">
              <w:t>8</w:t>
            </w:r>
          </w:p>
        </w:tc>
        <w:tc>
          <w:tcPr>
            <w:tcW w:w="0" w:type="auto"/>
            <w:shd w:val="clear" w:color="auto" w:fill="CCE3F5" w:themeFill="background2"/>
          </w:tcPr>
          <w:p w14:paraId="57F818BF" w14:textId="77777777" w:rsidR="00103055" w:rsidRPr="003D143A" w:rsidRDefault="00103055">
            <w:pPr>
              <w:pStyle w:val="TableTextCentre"/>
              <w:cnfStyle w:val="000000000000" w:firstRow="0" w:lastRow="0" w:firstColumn="0" w:lastColumn="0" w:oddVBand="0" w:evenVBand="0" w:oddHBand="0" w:evenHBand="0" w:firstRowFirstColumn="0" w:firstRowLastColumn="0" w:lastRowFirstColumn="0" w:lastRowLastColumn="0"/>
            </w:pPr>
            <w:r w:rsidRPr="003D143A">
              <w:t>0.21</w:t>
            </w:r>
          </w:p>
        </w:tc>
      </w:tr>
      <w:tr w:rsidR="00103055" w:rsidRPr="003D143A" w14:paraId="28D752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756F072" w14:textId="77777777" w:rsidR="00103055" w:rsidRPr="003D143A" w:rsidRDefault="00103055">
            <w:pPr>
              <w:pStyle w:val="TableTextCentre"/>
            </w:pPr>
            <w:r w:rsidRPr="003D143A">
              <w:t>9</w:t>
            </w:r>
          </w:p>
        </w:tc>
        <w:tc>
          <w:tcPr>
            <w:tcW w:w="0" w:type="auto"/>
            <w:shd w:val="clear" w:color="auto" w:fill="CCE3F5" w:themeFill="background2"/>
          </w:tcPr>
          <w:p w14:paraId="6D531EF3" w14:textId="77777777" w:rsidR="00103055" w:rsidRPr="003D143A" w:rsidRDefault="00103055">
            <w:pPr>
              <w:pStyle w:val="TableTextCentre"/>
              <w:cnfStyle w:val="000000100000" w:firstRow="0" w:lastRow="0" w:firstColumn="0" w:lastColumn="0" w:oddVBand="0" w:evenVBand="0" w:oddHBand="1" w:evenHBand="0" w:firstRowFirstColumn="0" w:firstRowLastColumn="0" w:lastRowFirstColumn="0" w:lastRowLastColumn="0"/>
            </w:pPr>
            <w:r w:rsidRPr="003D143A">
              <w:t>0.17</w:t>
            </w:r>
          </w:p>
        </w:tc>
      </w:tr>
      <w:tr w:rsidR="00103055" w:rsidRPr="003D143A" w14:paraId="356D7012" w14:textId="77777777">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67906C7E" w14:textId="77777777" w:rsidR="00103055" w:rsidRPr="003D143A" w:rsidRDefault="00103055">
            <w:pPr>
              <w:pStyle w:val="TableTextCentre"/>
            </w:pPr>
            <w:r w:rsidRPr="003D143A">
              <w:t>10</w:t>
            </w:r>
          </w:p>
        </w:tc>
        <w:tc>
          <w:tcPr>
            <w:tcW w:w="0" w:type="auto"/>
            <w:shd w:val="clear" w:color="auto" w:fill="CCE3F5" w:themeFill="background2"/>
          </w:tcPr>
          <w:p w14:paraId="2A9F1ECD" w14:textId="77777777" w:rsidR="00103055" w:rsidRPr="003D143A" w:rsidRDefault="00103055">
            <w:pPr>
              <w:pStyle w:val="TableTextCentre"/>
              <w:cnfStyle w:val="000000000000" w:firstRow="0" w:lastRow="0" w:firstColumn="0" w:lastColumn="0" w:oddVBand="0" w:evenVBand="0" w:oddHBand="0" w:evenHBand="0" w:firstRowFirstColumn="0" w:firstRowLastColumn="0" w:lastRowFirstColumn="0" w:lastRowLastColumn="0"/>
            </w:pPr>
            <w:r w:rsidRPr="003D143A">
              <w:t>0.13</w:t>
            </w:r>
          </w:p>
        </w:tc>
      </w:tr>
    </w:tbl>
    <w:p w14:paraId="7F70FCE9" w14:textId="77777777" w:rsidR="00477361" w:rsidRPr="00477361" w:rsidRDefault="00477361" w:rsidP="007248D3">
      <w:pPr>
        <w:pStyle w:val="ListNumber3"/>
        <w:keepNext/>
        <w:keepLines/>
        <w:numPr>
          <w:ilvl w:val="0"/>
          <w:numId w:val="0"/>
        </w:numPr>
        <w:jc w:val="left"/>
      </w:pPr>
    </w:p>
    <w:sectPr w:rsidR="00477361" w:rsidRPr="00477361" w:rsidSect="00747A21">
      <w:headerReference w:type="default" r:id="rId36"/>
      <w:footerReference w:type="first" r:id="rId37"/>
      <w:pgSz w:w="11907" w:h="16839" w:code="9"/>
      <w:pgMar w:top="1134" w:right="1134" w:bottom="1134" w:left="1134" w:header="283" w:footer="283" w:gutter="0"/>
      <w:cols w:space="454"/>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2537F" w14:textId="77777777" w:rsidR="001A6B48" w:rsidRDefault="001A6B48" w:rsidP="00CD157B">
      <w:pPr>
        <w:pStyle w:val="NoSpacing"/>
      </w:pPr>
    </w:p>
  </w:endnote>
  <w:endnote w:type="continuationSeparator" w:id="0">
    <w:p w14:paraId="104700BC" w14:textId="77777777" w:rsidR="001A6B48" w:rsidRDefault="001A6B48" w:rsidP="00CD157B">
      <w:pPr>
        <w:pStyle w:val="NoSpacing"/>
      </w:pPr>
    </w:p>
  </w:endnote>
  <w:endnote w:type="continuationNotice" w:id="1">
    <w:p w14:paraId="3D32BCB9" w14:textId="77777777" w:rsidR="001A6B48" w:rsidRDefault="001A6B48" w:rsidP="00CD157B">
      <w:pPr>
        <w:pStyle w:val="NoSpacing"/>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MT">
    <w:altName w:val="Arial"/>
    <w:charset w:val="00"/>
    <w:family w:val="auto"/>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D157B" w14:paraId="68263035" w14:textId="77777777">
      <w:trPr>
        <w:trHeight w:val="397"/>
      </w:trPr>
      <w:tc>
        <w:tcPr>
          <w:tcW w:w="340" w:type="dxa"/>
        </w:tcPr>
        <w:p w14:paraId="56B69E59" w14:textId="1C9BA120" w:rsidR="00CD157B" w:rsidRPr="00D55628" w:rsidRDefault="00CD157B" w:rsidP="00376EF3">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t>2</w:t>
          </w:r>
          <w:r w:rsidRPr="00D55628">
            <w:fldChar w:fldCharType="end"/>
          </w:r>
        </w:p>
      </w:tc>
      <w:tc>
        <w:tcPr>
          <w:tcW w:w="9071" w:type="dxa"/>
        </w:tcPr>
        <w:p w14:paraId="36E5A4B5" w14:textId="3FD77032" w:rsidR="002B6635" w:rsidRDefault="00940D20" w:rsidP="002B6635">
          <w:pPr>
            <w:pStyle w:val="FooterEven"/>
          </w:pPr>
          <w:r>
            <w:t xml:space="preserve">Benchmark Rating in </w:t>
          </w:r>
          <w:r w:rsidR="008C48A1">
            <w:t>Victorian Energy Upgrades</w:t>
          </w:r>
        </w:p>
        <w:p w14:paraId="22EC8E92" w14:textId="5E37E7CD" w:rsidR="00CD157B" w:rsidRPr="00810C40" w:rsidRDefault="008C48A1" w:rsidP="002B6635">
          <w:pPr>
            <w:pStyle w:val="FooterEven"/>
          </w:pPr>
          <w:r>
            <w:t>Specifications</w:t>
          </w:r>
          <w:r w:rsidR="00562516">
            <w:t xml:space="preserve"> </w:t>
          </w:r>
          <w:r>
            <w:t xml:space="preserve">– Version </w:t>
          </w:r>
          <w:r w:rsidR="00D03393">
            <w:t>2</w:t>
          </w:r>
          <w:r>
            <w:t>.0</w:t>
          </w:r>
        </w:p>
      </w:tc>
    </w:tr>
  </w:tbl>
  <w:p w14:paraId="1C1451CC" w14:textId="1980FCED" w:rsidR="00CD157B" w:rsidRDefault="008C48A1" w:rsidP="00376EF3">
    <w:pPr>
      <w:pStyle w:val="FooterEven"/>
    </w:pPr>
    <w:r>
      <w:rPr>
        <w:noProof/>
      </w:rPr>
      <mc:AlternateContent>
        <mc:Choice Requires="wps">
          <w:drawing>
            <wp:anchor distT="0" distB="0" distL="0" distR="0" simplePos="0" relativeHeight="251658241" behindDoc="0" locked="0" layoutInCell="1" allowOverlap="1" wp14:anchorId="3CEECB6F" wp14:editId="78D8F289">
              <wp:simplePos x="0" y="0"/>
              <wp:positionH relativeFrom="page">
                <wp:posOffset>3542665</wp:posOffset>
              </wp:positionH>
              <wp:positionV relativeFrom="page">
                <wp:posOffset>10201275</wp:posOffset>
              </wp:positionV>
              <wp:extent cx="443865" cy="443865"/>
              <wp:effectExtent l="0" t="0" r="12700" b="0"/>
              <wp:wrapNone/>
              <wp:docPr id="93" name="Text Box 9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2294C5" w14:textId="77777777" w:rsidR="00CD388D" w:rsidRPr="00CD388D" w:rsidRDefault="00CD388D" w:rsidP="00CD388D">
                          <w:pPr>
                            <w:spacing w:after="0"/>
                            <w:rPr>
                              <w:rFonts w:ascii="Calibri" w:eastAsia="Calibri" w:hAnsi="Calibri" w:cs="Calibri"/>
                              <w:noProof/>
                              <w:color w:val="000000"/>
                              <w:sz w:val="24"/>
                              <w:szCs w:val="24"/>
                            </w:rPr>
                          </w:pPr>
                          <w:r w:rsidRPr="00CD388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EECB6F" id="_x0000_t202" coordsize="21600,21600" o:spt="202" path="m,l,21600r21600,l21600,xe">
              <v:stroke joinstyle="miter"/>
              <v:path gradientshapeok="t" o:connecttype="rect"/>
            </v:shapetype>
            <v:shape id="Text Box 93" o:spid="_x0000_s1027" type="#_x0000_t202" alt="OFFICIAL" style="position:absolute;margin-left:278.95pt;margin-top:803.25pt;width:34.95pt;height:34.95pt;z-index:251658241;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" filled="f" stroked="f">
              <v:textbox style="mso-fit-shape-to-text:t" inset="0,0,0,15pt">
                <w:txbxContent>
                  <w:p w14:paraId="012294C5" w14:textId="77777777" w:rsidR="00CD388D" w:rsidRPr="00CD388D" w:rsidRDefault="00CD388D" w:rsidP="00CD388D">
                    <w:pPr>
                      <w:spacing w:after="0"/>
                      <w:rPr>
                        <w:rFonts w:ascii="Calibri" w:eastAsia="Calibri" w:hAnsi="Calibri" w:cs="Calibri"/>
                        <w:noProof/>
                        <w:color w:val="000000"/>
                        <w:sz w:val="24"/>
                        <w:szCs w:val="24"/>
                      </w:rPr>
                    </w:pPr>
                    <w:r w:rsidRPr="00CD388D">
                      <w:rPr>
                        <w:rFonts w:ascii="Calibri" w:eastAsia="Calibri" w:hAnsi="Calibri" w:cs="Calibri"/>
                        <w:noProof/>
                        <w:color w:val="000000"/>
                        <w:sz w:val="24"/>
                        <w:szCs w:val="24"/>
                      </w:rPr>
                      <w:t>OFFICIAL</w:t>
                    </w:r>
                  </w:p>
                </w:txbxContent>
              </v:textbox>
              <w10:wrap anchorx="page" anchory="page"/>
            </v:shape>
          </w:pict>
        </mc:Fallback>
      </mc:AlternateContent>
    </w:r>
  </w:p>
  <w:p w14:paraId="5292D234" w14:textId="77777777" w:rsidR="00CD157B" w:rsidRDefault="00CD1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5ADD7C21" w14:textId="77777777">
      <w:trPr>
        <w:trHeight w:val="397"/>
      </w:trPr>
      <w:tc>
        <w:tcPr>
          <w:tcW w:w="9071" w:type="dxa"/>
        </w:tcPr>
        <w:p w14:paraId="6CD81081" w14:textId="00FE7A97" w:rsidR="002B6635" w:rsidRDefault="00CD388D" w:rsidP="002B6635">
          <w:pPr>
            <w:pStyle w:val="FooterOdd"/>
          </w:pPr>
          <w:r>
            <w:rPr>
              <w:noProof/>
            </w:rPr>
            <mc:AlternateContent>
              <mc:Choice Requires="wps">
                <w:drawing>
                  <wp:anchor distT="0" distB="0" distL="0" distR="0" simplePos="0" relativeHeight="251658242" behindDoc="0" locked="0" layoutInCell="1" allowOverlap="1" wp14:anchorId="6E9E9FA4" wp14:editId="565F4E76">
                    <wp:simplePos x="851338" y="10263352"/>
                    <wp:positionH relativeFrom="page">
                      <wp:align>center</wp:align>
                    </wp:positionH>
                    <wp:positionV relativeFrom="page">
                      <wp:align>bottom</wp:align>
                    </wp:positionV>
                    <wp:extent cx="443865" cy="443865"/>
                    <wp:effectExtent l="0" t="0" r="635" b="0"/>
                    <wp:wrapNone/>
                    <wp:docPr id="94" name="Text Box 9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51372D" w14:textId="77777777" w:rsidR="00CD388D" w:rsidRPr="00CD388D" w:rsidRDefault="00CD388D" w:rsidP="00CD388D">
                                <w:pPr>
                                  <w:spacing w:after="0"/>
                                  <w:rPr>
                                    <w:rFonts w:ascii="Calibri" w:eastAsia="Calibri" w:hAnsi="Calibri" w:cs="Calibri"/>
                                    <w:noProof/>
                                    <w:color w:val="000000"/>
                                    <w:sz w:val="24"/>
                                    <w:szCs w:val="24"/>
                                  </w:rPr>
                                </w:pPr>
                                <w:r w:rsidRPr="00CD388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9E9FA4" id="_x0000_t202" coordsize="21600,21600" o:spt="202" path="m,l,21600r21600,l21600,xe">
                    <v:stroke joinstyle="miter"/>
                    <v:path gradientshapeok="t" o:connecttype="rect"/>
                  </v:shapetype>
                  <v:shape id="Text Box 94" o:spid="_x0000_s1028" type="#_x0000_t202" alt="OFFIC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351372D" w14:textId="77777777" w:rsidR="00CD388D" w:rsidRPr="00CD388D" w:rsidRDefault="00CD388D" w:rsidP="00CD388D">
                          <w:pPr>
                            <w:spacing w:after="0"/>
                            <w:rPr>
                              <w:rFonts w:ascii="Calibri" w:eastAsia="Calibri" w:hAnsi="Calibri" w:cs="Calibri"/>
                              <w:noProof/>
                              <w:color w:val="000000"/>
                              <w:sz w:val="24"/>
                              <w:szCs w:val="24"/>
                            </w:rPr>
                          </w:pPr>
                          <w:r w:rsidRPr="00CD388D">
                            <w:rPr>
                              <w:rFonts w:ascii="Calibri" w:eastAsia="Calibri" w:hAnsi="Calibri" w:cs="Calibri"/>
                              <w:noProof/>
                              <w:color w:val="000000"/>
                              <w:sz w:val="24"/>
                              <w:szCs w:val="24"/>
                            </w:rPr>
                            <w:t>OFFICIAL</w:t>
                          </w:r>
                        </w:p>
                      </w:txbxContent>
                    </v:textbox>
                    <w10:wrap anchorx="page" anchory="page"/>
                  </v:shape>
                </w:pict>
              </mc:Fallback>
            </mc:AlternateContent>
          </w:r>
          <w:r w:rsidR="00940D20">
            <w:t xml:space="preserve">Benchmark Rating in </w:t>
          </w:r>
          <w:r w:rsidR="002143CB">
            <w:t xml:space="preserve">Victorian Energy Upgrades </w:t>
          </w:r>
        </w:p>
        <w:p w14:paraId="37FE1E19" w14:textId="0CB1848D" w:rsidR="00CD157B" w:rsidRPr="00CB1FB7" w:rsidRDefault="002143CB" w:rsidP="002B6635">
          <w:pPr>
            <w:pStyle w:val="FooterOdd"/>
            <w:rPr>
              <w:b/>
            </w:rPr>
          </w:pPr>
          <w:r>
            <w:t>Specifications</w:t>
          </w:r>
          <w:r w:rsidR="00562516">
            <w:t xml:space="preserve"> </w:t>
          </w:r>
          <w:r>
            <w:t xml:space="preserve">– Version </w:t>
          </w:r>
          <w:r w:rsidR="00D03393">
            <w:t>2</w:t>
          </w:r>
          <w:r>
            <w:t>.0</w:t>
          </w:r>
        </w:p>
      </w:tc>
      <w:tc>
        <w:tcPr>
          <w:tcW w:w="340" w:type="dxa"/>
        </w:tcPr>
        <w:p w14:paraId="2AD57B07"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7DEFEDDA"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40521" w14:textId="77777777" w:rsidR="00CD388D" w:rsidRDefault="00CD388D">
    <w:pPr>
      <w:pStyle w:val="Footer"/>
    </w:pPr>
    <w:r>
      <w:rPr>
        <w:noProof/>
      </w:rPr>
      <mc:AlternateContent>
        <mc:Choice Requires="wps">
          <w:drawing>
            <wp:anchor distT="0" distB="0" distL="0" distR="0" simplePos="0" relativeHeight="251658240" behindDoc="0" locked="0" layoutInCell="1" allowOverlap="1" wp14:anchorId="60716E0A" wp14:editId="7A9766FF">
              <wp:simplePos x="536028" y="10389476"/>
              <wp:positionH relativeFrom="page">
                <wp:align>center</wp:align>
              </wp:positionH>
              <wp:positionV relativeFrom="page">
                <wp:align>bottom</wp:align>
              </wp:positionV>
              <wp:extent cx="443865" cy="443865"/>
              <wp:effectExtent l="0" t="0" r="635" b="0"/>
              <wp:wrapNone/>
              <wp:docPr id="46" name="Text Box 4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437DAE" w14:textId="77777777" w:rsidR="00CD388D" w:rsidRPr="00CD388D" w:rsidRDefault="00CD388D" w:rsidP="00CD388D">
                          <w:pPr>
                            <w:spacing w:after="0"/>
                            <w:rPr>
                              <w:rFonts w:ascii="Calibri" w:eastAsia="Calibri" w:hAnsi="Calibri" w:cs="Calibri"/>
                              <w:noProof/>
                              <w:color w:val="000000"/>
                              <w:sz w:val="24"/>
                              <w:szCs w:val="24"/>
                            </w:rPr>
                          </w:pPr>
                          <w:r w:rsidRPr="00CD388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716E0A" id="_x0000_t202" coordsize="21600,21600" o:spt="202" path="m,l,21600r21600,l21600,xe">
              <v:stroke joinstyle="miter"/>
              <v:path gradientshapeok="t" o:connecttype="rect"/>
            </v:shapetype>
            <v:shape id="Text Box 46"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D437DAE" w14:textId="77777777" w:rsidR="00CD388D" w:rsidRPr="00CD388D" w:rsidRDefault="00CD388D" w:rsidP="00CD388D">
                    <w:pPr>
                      <w:spacing w:after="0"/>
                      <w:rPr>
                        <w:rFonts w:ascii="Calibri" w:eastAsia="Calibri" w:hAnsi="Calibri" w:cs="Calibri"/>
                        <w:noProof/>
                        <w:color w:val="000000"/>
                        <w:sz w:val="24"/>
                        <w:szCs w:val="24"/>
                      </w:rPr>
                    </w:pPr>
                    <w:r w:rsidRPr="00CD388D">
                      <w:rPr>
                        <w:rFonts w:ascii="Calibri" w:eastAsia="Calibri" w:hAnsi="Calibri" w:cs="Calibri"/>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FAE6" w14:textId="77777777" w:rsidR="00CD388D" w:rsidRDefault="00CD388D">
    <w:pPr>
      <w:pStyle w:val="Footer"/>
    </w:pPr>
    <w:r>
      <w:rPr>
        <w:noProof/>
      </w:rPr>
      <mc:AlternateContent>
        <mc:Choice Requires="wps">
          <w:drawing>
            <wp:anchor distT="0" distB="0" distL="0" distR="0" simplePos="0" relativeHeight="251658243" behindDoc="0" locked="0" layoutInCell="1" allowOverlap="1" wp14:anchorId="47A1A38E" wp14:editId="1F0C4C84">
              <wp:simplePos x="635" y="635"/>
              <wp:positionH relativeFrom="page">
                <wp:align>center</wp:align>
              </wp:positionH>
              <wp:positionV relativeFrom="page">
                <wp:align>bottom</wp:align>
              </wp:positionV>
              <wp:extent cx="443865" cy="443865"/>
              <wp:effectExtent l="0" t="0" r="635" b="0"/>
              <wp:wrapNone/>
              <wp:docPr id="98" name="Text Box 9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AE0756" w14:textId="77777777" w:rsidR="00CD388D" w:rsidRPr="00CD388D" w:rsidRDefault="00CD388D" w:rsidP="00CD388D">
                          <w:pPr>
                            <w:spacing w:after="0"/>
                            <w:rPr>
                              <w:rFonts w:ascii="Calibri" w:eastAsia="Calibri" w:hAnsi="Calibri" w:cs="Calibri"/>
                              <w:noProof/>
                              <w:color w:val="000000"/>
                              <w:sz w:val="24"/>
                              <w:szCs w:val="24"/>
                            </w:rPr>
                          </w:pPr>
                          <w:r w:rsidRPr="00CD388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1A38E" id="_x0000_t202" coordsize="21600,21600" o:spt="202" path="m,l,21600r21600,l21600,xe">
              <v:stroke joinstyle="miter"/>
              <v:path gradientshapeok="t" o:connecttype="rect"/>
            </v:shapetype>
            <v:shape id="Text Box 98" o:spid="_x0000_s1030"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9AE0756" w14:textId="77777777" w:rsidR="00CD388D" w:rsidRPr="00CD388D" w:rsidRDefault="00CD388D" w:rsidP="00CD388D">
                    <w:pPr>
                      <w:spacing w:after="0"/>
                      <w:rPr>
                        <w:rFonts w:ascii="Calibri" w:eastAsia="Calibri" w:hAnsi="Calibri" w:cs="Calibri"/>
                        <w:noProof/>
                        <w:color w:val="000000"/>
                        <w:sz w:val="24"/>
                        <w:szCs w:val="24"/>
                      </w:rPr>
                    </w:pPr>
                    <w:r w:rsidRPr="00CD388D">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BCDA4" w14:textId="77777777" w:rsidR="001A6B48" w:rsidRPr="0056073C" w:rsidRDefault="001A6B48" w:rsidP="005D764F">
      <w:pPr>
        <w:pStyle w:val="FootnoteSeparator"/>
      </w:pPr>
    </w:p>
  </w:footnote>
  <w:footnote w:type="continuationSeparator" w:id="0">
    <w:p w14:paraId="18883F3C" w14:textId="77777777" w:rsidR="001A6B48" w:rsidRPr="00CA30B7" w:rsidRDefault="001A6B48" w:rsidP="006D5A90">
      <w:pPr>
        <w:rPr>
          <w:lang w:val="en-US"/>
        </w:rPr>
      </w:pPr>
      <w:r w:rsidRPr="00CA30B7">
        <w:rPr>
          <w:lang w:val="en-US"/>
        </w:rPr>
        <w:t>_______</w:t>
      </w:r>
    </w:p>
  </w:footnote>
  <w:footnote w:type="continuationNotice" w:id="1">
    <w:p w14:paraId="094CFE78" w14:textId="77777777" w:rsidR="001A6B48" w:rsidRDefault="001A6B48" w:rsidP="006D5A90"/>
  </w:footnote>
  <w:footnote w:id="2">
    <w:p w14:paraId="20BB7609" w14:textId="77777777" w:rsidR="002341FD" w:rsidRDefault="002341FD" w:rsidP="002341FD">
      <w:pPr>
        <w:pStyle w:val="FootnoteText"/>
      </w:pPr>
      <w:r>
        <w:rPr>
          <w:rStyle w:val="FootnoteReference"/>
        </w:rPr>
        <w:footnoteRef/>
      </w:r>
      <w:r>
        <w:t xml:space="preserve"> New South Wales Office of Environment and Heritage</w:t>
      </w:r>
    </w:p>
  </w:footnote>
  <w:footnote w:id="3">
    <w:p w14:paraId="52ABFE87" w14:textId="77777777" w:rsidR="002341FD" w:rsidRDefault="002341FD" w:rsidP="002341FD">
      <w:pPr>
        <w:pStyle w:val="FootnoteText"/>
      </w:pPr>
      <w:r>
        <w:rPr>
          <w:rStyle w:val="FootnoteReference"/>
        </w:rPr>
        <w:footnoteRef/>
      </w:r>
      <w:r>
        <w:t xml:space="preserve"> National Australian Built Environment Rating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4ADEA" w14:textId="77777777" w:rsidR="00940D20" w:rsidRDefault="00940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79E63" w14:textId="77777777" w:rsidR="00940D20" w:rsidRDefault="00940D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F2A32" w14:textId="77777777" w:rsidR="00940D20" w:rsidRDefault="00940D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E9EE3" w14:textId="4ADE3E63" w:rsidR="00CD157B" w:rsidRPr="00CD157B" w:rsidRDefault="00CD157B" w:rsidP="00CD1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70F7"/>
    <w:multiLevelType w:val="hybridMultilevel"/>
    <w:tmpl w:val="A2A64136"/>
    <w:lvl w:ilvl="0" w:tplc="FFFFFFFF">
      <w:start w:val="1"/>
      <w:numFmt w:val="lowerLetter"/>
      <w:lvlText w:val="(%1)"/>
      <w:lvlJc w:val="left"/>
      <w:pPr>
        <w:ind w:left="121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 w15:restartNumberingAfterBreak="0">
    <w:nsid w:val="04F67740"/>
    <w:multiLevelType w:val="hybridMultilevel"/>
    <w:tmpl w:val="6478C138"/>
    <w:lvl w:ilvl="0" w:tplc="FBD6F7C8">
      <w:start w:val="1"/>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9052597"/>
    <w:multiLevelType w:val="hybridMultilevel"/>
    <w:tmpl w:val="69CA0CCC"/>
    <w:lvl w:ilvl="0" w:tplc="2B66749E">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9F38CA"/>
    <w:multiLevelType w:val="hybridMultilevel"/>
    <w:tmpl w:val="B438397E"/>
    <w:lvl w:ilvl="0" w:tplc="D08E986E">
      <w:start w:val="1"/>
      <w:numFmt w:val="lowerRoman"/>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5255BAF"/>
    <w:multiLevelType w:val="hybridMultilevel"/>
    <w:tmpl w:val="34C247C8"/>
    <w:lvl w:ilvl="0" w:tplc="D08E986E">
      <w:start w:val="1"/>
      <w:numFmt w:val="lowerRoman"/>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15:restartNumberingAfterBreak="0">
    <w:nsid w:val="17875637"/>
    <w:multiLevelType w:val="hybridMultilevel"/>
    <w:tmpl w:val="A5B22368"/>
    <w:lvl w:ilvl="0" w:tplc="D08E986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C1329C1"/>
    <w:multiLevelType w:val="hybridMultilevel"/>
    <w:tmpl w:val="A2A64136"/>
    <w:lvl w:ilvl="0" w:tplc="D6E240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6" w15:restartNumberingAfterBreak="0">
    <w:nsid w:val="1D730D5C"/>
    <w:multiLevelType w:val="hybridMultilevel"/>
    <w:tmpl w:val="69CA0CCC"/>
    <w:lvl w:ilvl="0" w:tplc="2B66749E">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E25F47"/>
    <w:multiLevelType w:val="multilevel"/>
    <w:tmpl w:val="0D8027FE"/>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8"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9"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0" w15:restartNumberingAfterBreak="0">
    <w:nsid w:val="2A0965F5"/>
    <w:multiLevelType w:val="hybridMultilevel"/>
    <w:tmpl w:val="69CA0CCC"/>
    <w:lvl w:ilvl="0" w:tplc="2B66749E">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2C58E5"/>
    <w:multiLevelType w:val="hybridMultilevel"/>
    <w:tmpl w:val="DE420350"/>
    <w:lvl w:ilvl="0" w:tplc="BF8E22D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2"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2CC7025D"/>
    <w:multiLevelType w:val="hybridMultilevel"/>
    <w:tmpl w:val="01D837D8"/>
    <w:lvl w:ilvl="0" w:tplc="CDB0797C">
      <w:start w:val="1"/>
      <w:numFmt w:val="lowerLetter"/>
      <w:lvlText w:val="(%1)"/>
      <w:lvlJc w:val="left"/>
      <w:pPr>
        <w:ind w:left="700" w:hanging="360"/>
      </w:pPr>
      <w:rPr>
        <w:rFonts w:hint="default"/>
        <w:b w:val="0"/>
        <w:bCs w:val="0"/>
        <w:i/>
        <w:sz w:val="20"/>
        <w:szCs w:val="22"/>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4" w15:restartNumberingAfterBreak="0">
    <w:nsid w:val="2EBB058A"/>
    <w:multiLevelType w:val="hybridMultilevel"/>
    <w:tmpl w:val="776498FE"/>
    <w:lvl w:ilvl="0" w:tplc="D08E986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2F33052E"/>
    <w:multiLevelType w:val="hybridMultilevel"/>
    <w:tmpl w:val="B2560A18"/>
    <w:lvl w:ilvl="0" w:tplc="10FE4462">
      <w:start w:val="1"/>
      <w:numFmt w:val="lowerLetter"/>
      <w:lvlText w:val="(%1)"/>
      <w:lvlJc w:val="left"/>
      <w:pPr>
        <w:ind w:left="700" w:hanging="360"/>
      </w:pPr>
      <w:rPr>
        <w:rFonts w:hint="default"/>
      </w:rPr>
    </w:lvl>
    <w:lvl w:ilvl="1" w:tplc="0C090019">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6" w15:restartNumberingAfterBreak="0">
    <w:nsid w:val="306965FE"/>
    <w:multiLevelType w:val="hybridMultilevel"/>
    <w:tmpl w:val="2D9C31B8"/>
    <w:lvl w:ilvl="0" w:tplc="D08E986E">
      <w:start w:val="1"/>
      <w:numFmt w:val="lowerRoman"/>
      <w:lvlText w:val="(%1)"/>
      <w:lvlJc w:val="left"/>
      <w:pPr>
        <w:ind w:left="1060"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3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4"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5"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17B5BD1"/>
    <w:multiLevelType w:val="hybridMultilevel"/>
    <w:tmpl w:val="4928EE58"/>
    <w:lvl w:ilvl="0" w:tplc="3CB695D4">
      <w:start w:val="1"/>
      <w:numFmt w:val="lowerLetter"/>
      <w:lvlText w:val="(%1)"/>
      <w:lvlJc w:val="left"/>
      <w:pPr>
        <w:ind w:left="709" w:hanging="360"/>
      </w:pPr>
      <w:rPr>
        <w:rFonts w:hint="default"/>
      </w:rPr>
    </w:lvl>
    <w:lvl w:ilvl="1" w:tplc="0C090019" w:tentative="1">
      <w:start w:val="1"/>
      <w:numFmt w:val="lowerLetter"/>
      <w:lvlText w:val="%2."/>
      <w:lvlJc w:val="left"/>
      <w:pPr>
        <w:ind w:left="1429" w:hanging="360"/>
      </w:pPr>
    </w:lvl>
    <w:lvl w:ilvl="2" w:tplc="0C09001B" w:tentative="1">
      <w:start w:val="1"/>
      <w:numFmt w:val="lowerRoman"/>
      <w:lvlText w:val="%3."/>
      <w:lvlJc w:val="right"/>
      <w:pPr>
        <w:ind w:left="2149" w:hanging="180"/>
      </w:pPr>
    </w:lvl>
    <w:lvl w:ilvl="3" w:tplc="0C09000F" w:tentative="1">
      <w:start w:val="1"/>
      <w:numFmt w:val="decimal"/>
      <w:lvlText w:val="%4."/>
      <w:lvlJc w:val="left"/>
      <w:pPr>
        <w:ind w:left="2869" w:hanging="360"/>
      </w:pPr>
    </w:lvl>
    <w:lvl w:ilvl="4" w:tplc="0C090019" w:tentative="1">
      <w:start w:val="1"/>
      <w:numFmt w:val="lowerLetter"/>
      <w:lvlText w:val="%5."/>
      <w:lvlJc w:val="left"/>
      <w:pPr>
        <w:ind w:left="3589" w:hanging="360"/>
      </w:pPr>
    </w:lvl>
    <w:lvl w:ilvl="5" w:tplc="0C09001B" w:tentative="1">
      <w:start w:val="1"/>
      <w:numFmt w:val="lowerRoman"/>
      <w:lvlText w:val="%6."/>
      <w:lvlJc w:val="right"/>
      <w:pPr>
        <w:ind w:left="4309" w:hanging="180"/>
      </w:pPr>
    </w:lvl>
    <w:lvl w:ilvl="6" w:tplc="0C09000F" w:tentative="1">
      <w:start w:val="1"/>
      <w:numFmt w:val="decimal"/>
      <w:lvlText w:val="%7."/>
      <w:lvlJc w:val="left"/>
      <w:pPr>
        <w:ind w:left="5029" w:hanging="360"/>
      </w:pPr>
    </w:lvl>
    <w:lvl w:ilvl="7" w:tplc="0C090019" w:tentative="1">
      <w:start w:val="1"/>
      <w:numFmt w:val="lowerLetter"/>
      <w:lvlText w:val="%8."/>
      <w:lvlJc w:val="left"/>
      <w:pPr>
        <w:ind w:left="5749" w:hanging="360"/>
      </w:pPr>
    </w:lvl>
    <w:lvl w:ilvl="8" w:tplc="0C09001B" w:tentative="1">
      <w:start w:val="1"/>
      <w:numFmt w:val="lowerRoman"/>
      <w:lvlText w:val="%9."/>
      <w:lvlJc w:val="right"/>
      <w:pPr>
        <w:ind w:left="6469" w:hanging="180"/>
      </w:pPr>
    </w:lvl>
  </w:abstractNum>
  <w:abstractNum w:abstractNumId="37"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8"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232222"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40" w15:restartNumberingAfterBreak="0">
    <w:nsid w:val="44A534B7"/>
    <w:multiLevelType w:val="hybridMultilevel"/>
    <w:tmpl w:val="7C16F3D0"/>
    <w:lvl w:ilvl="0" w:tplc="8DBC04A4">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1" w15:restartNumberingAfterBreak="0">
    <w:nsid w:val="461E2E67"/>
    <w:multiLevelType w:val="hybridMultilevel"/>
    <w:tmpl w:val="A5E275EA"/>
    <w:lvl w:ilvl="0" w:tplc="FC3ACCF0">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44" w15:restartNumberingAfterBreak="0">
    <w:nsid w:val="4ACF1CB5"/>
    <w:multiLevelType w:val="hybridMultilevel"/>
    <w:tmpl w:val="1646ED8A"/>
    <w:lvl w:ilvl="0" w:tplc="8DEC05E8">
      <w:start w:val="1"/>
      <w:numFmt w:val="lowerLetter"/>
      <w:lvlText w:val="(%1)"/>
      <w:lvlJc w:val="left"/>
      <w:pPr>
        <w:ind w:left="709" w:hanging="360"/>
      </w:pPr>
      <w:rPr>
        <w:rFonts w:hint="default"/>
      </w:rPr>
    </w:lvl>
    <w:lvl w:ilvl="1" w:tplc="0C090019" w:tentative="1">
      <w:start w:val="1"/>
      <w:numFmt w:val="lowerLetter"/>
      <w:lvlText w:val="%2."/>
      <w:lvlJc w:val="left"/>
      <w:pPr>
        <w:ind w:left="1429" w:hanging="360"/>
      </w:pPr>
    </w:lvl>
    <w:lvl w:ilvl="2" w:tplc="0C09001B" w:tentative="1">
      <w:start w:val="1"/>
      <w:numFmt w:val="lowerRoman"/>
      <w:lvlText w:val="%3."/>
      <w:lvlJc w:val="right"/>
      <w:pPr>
        <w:ind w:left="2149" w:hanging="180"/>
      </w:pPr>
    </w:lvl>
    <w:lvl w:ilvl="3" w:tplc="0C09000F" w:tentative="1">
      <w:start w:val="1"/>
      <w:numFmt w:val="decimal"/>
      <w:lvlText w:val="%4."/>
      <w:lvlJc w:val="left"/>
      <w:pPr>
        <w:ind w:left="2869" w:hanging="360"/>
      </w:pPr>
    </w:lvl>
    <w:lvl w:ilvl="4" w:tplc="0C090019" w:tentative="1">
      <w:start w:val="1"/>
      <w:numFmt w:val="lowerLetter"/>
      <w:lvlText w:val="%5."/>
      <w:lvlJc w:val="left"/>
      <w:pPr>
        <w:ind w:left="3589" w:hanging="360"/>
      </w:pPr>
    </w:lvl>
    <w:lvl w:ilvl="5" w:tplc="0C09001B" w:tentative="1">
      <w:start w:val="1"/>
      <w:numFmt w:val="lowerRoman"/>
      <w:lvlText w:val="%6."/>
      <w:lvlJc w:val="right"/>
      <w:pPr>
        <w:ind w:left="4309" w:hanging="180"/>
      </w:pPr>
    </w:lvl>
    <w:lvl w:ilvl="6" w:tplc="0C09000F" w:tentative="1">
      <w:start w:val="1"/>
      <w:numFmt w:val="decimal"/>
      <w:lvlText w:val="%7."/>
      <w:lvlJc w:val="left"/>
      <w:pPr>
        <w:ind w:left="5029" w:hanging="360"/>
      </w:pPr>
    </w:lvl>
    <w:lvl w:ilvl="7" w:tplc="0C090019" w:tentative="1">
      <w:start w:val="1"/>
      <w:numFmt w:val="lowerLetter"/>
      <w:lvlText w:val="%8."/>
      <w:lvlJc w:val="left"/>
      <w:pPr>
        <w:ind w:left="5749" w:hanging="360"/>
      </w:pPr>
    </w:lvl>
    <w:lvl w:ilvl="8" w:tplc="0C09001B" w:tentative="1">
      <w:start w:val="1"/>
      <w:numFmt w:val="lowerRoman"/>
      <w:lvlText w:val="%9."/>
      <w:lvlJc w:val="right"/>
      <w:pPr>
        <w:ind w:left="6469" w:hanging="180"/>
      </w:pPr>
    </w:lvl>
  </w:abstractNum>
  <w:abstractNum w:abstractNumId="45" w15:restartNumberingAfterBreak="0">
    <w:nsid w:val="4AED17B0"/>
    <w:multiLevelType w:val="hybridMultilevel"/>
    <w:tmpl w:val="8AB2639C"/>
    <w:lvl w:ilvl="0" w:tplc="48D23564">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6"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47" w15:restartNumberingAfterBreak="0">
    <w:nsid w:val="4EF01645"/>
    <w:multiLevelType w:val="multilevel"/>
    <w:tmpl w:val="7D36F18C"/>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8" w15:restartNumberingAfterBreak="0">
    <w:nsid w:val="51A44A30"/>
    <w:multiLevelType w:val="multilevel"/>
    <w:tmpl w:val="896C5878"/>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50"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1" w15:restartNumberingAfterBreak="0">
    <w:nsid w:val="53C50137"/>
    <w:multiLevelType w:val="hybridMultilevel"/>
    <w:tmpl w:val="A3D0DF46"/>
    <w:lvl w:ilvl="0" w:tplc="2138E96E">
      <w:start w:val="1"/>
      <w:numFmt w:val="lowerLetter"/>
      <w:lvlText w:val="(%1)"/>
      <w:lvlJc w:val="left"/>
      <w:pPr>
        <w:ind w:left="720" w:hanging="360"/>
      </w:pPr>
      <w:rPr>
        <w:rFonts w:asciiTheme="minorHAnsi" w:eastAsia="Times New Roman" w:hAnsiTheme="minorHAnsi"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3"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4"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6"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7" w15:restartNumberingAfterBreak="0">
    <w:nsid w:val="632252FA"/>
    <w:multiLevelType w:val="hybridMultilevel"/>
    <w:tmpl w:val="552E30A6"/>
    <w:lvl w:ilvl="0" w:tplc="4C525FB6">
      <w:start w:val="4"/>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9" w15:restartNumberingAfterBreak="0">
    <w:nsid w:val="638D6E17"/>
    <w:multiLevelType w:val="hybridMultilevel"/>
    <w:tmpl w:val="69CA0CCC"/>
    <w:lvl w:ilvl="0" w:tplc="2B66749E">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61"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62" w15:restartNumberingAfterBreak="0">
    <w:nsid w:val="6C857E5B"/>
    <w:multiLevelType w:val="hybridMultilevel"/>
    <w:tmpl w:val="D3CE36D0"/>
    <w:lvl w:ilvl="0" w:tplc="E236CF9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F4D1E5A"/>
    <w:multiLevelType w:val="hybridMultilevel"/>
    <w:tmpl w:val="D3CE36D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65" w15:restartNumberingAfterBreak="0">
    <w:nsid w:val="73414FF9"/>
    <w:multiLevelType w:val="hybridMultilevel"/>
    <w:tmpl w:val="D7788F04"/>
    <w:lvl w:ilvl="0" w:tplc="FDC2C2B2">
      <w:start w:val="1"/>
      <w:numFmt w:val="lowerLetter"/>
      <w:lvlText w:val="(%1)"/>
      <w:lvlJc w:val="left"/>
      <w:pPr>
        <w:ind w:left="700" w:hanging="360"/>
      </w:pPr>
      <w:rPr>
        <w:rFonts w:hint="default"/>
        <w:i/>
      </w:r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66" w15:restartNumberingAfterBreak="0">
    <w:nsid w:val="73677693"/>
    <w:multiLevelType w:val="hybridMultilevel"/>
    <w:tmpl w:val="6CC8B42A"/>
    <w:lvl w:ilvl="0" w:tplc="2138E96E">
      <w:start w:val="1"/>
      <w:numFmt w:val="lowerLetter"/>
      <w:lvlText w:val="(%1)"/>
      <w:lvlJc w:val="left"/>
      <w:pPr>
        <w:ind w:left="720" w:hanging="360"/>
      </w:pPr>
      <w:rPr>
        <w:rFonts w:asciiTheme="minorHAnsi" w:eastAsia="Times New Roman" w:hAnsiTheme="minorHAnsi" w:cs="Times New Roman"/>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68"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9" w15:restartNumberingAfterBreak="0">
    <w:nsid w:val="78192419"/>
    <w:multiLevelType w:val="hybridMultilevel"/>
    <w:tmpl w:val="E2BCFB44"/>
    <w:lvl w:ilvl="0" w:tplc="191A5978">
      <w:start w:val="1"/>
      <w:numFmt w:val="lowerLetter"/>
      <w:lvlText w:val="(%1)"/>
      <w:lvlJc w:val="left"/>
      <w:pPr>
        <w:ind w:left="709" w:hanging="360"/>
      </w:pPr>
      <w:rPr>
        <w:rFonts w:hint="default"/>
      </w:rPr>
    </w:lvl>
    <w:lvl w:ilvl="1" w:tplc="0C090019" w:tentative="1">
      <w:start w:val="1"/>
      <w:numFmt w:val="lowerLetter"/>
      <w:lvlText w:val="%2."/>
      <w:lvlJc w:val="left"/>
      <w:pPr>
        <w:ind w:left="1429" w:hanging="360"/>
      </w:pPr>
    </w:lvl>
    <w:lvl w:ilvl="2" w:tplc="0C09001B" w:tentative="1">
      <w:start w:val="1"/>
      <w:numFmt w:val="lowerRoman"/>
      <w:lvlText w:val="%3."/>
      <w:lvlJc w:val="right"/>
      <w:pPr>
        <w:ind w:left="2149" w:hanging="180"/>
      </w:pPr>
    </w:lvl>
    <w:lvl w:ilvl="3" w:tplc="0C09000F" w:tentative="1">
      <w:start w:val="1"/>
      <w:numFmt w:val="decimal"/>
      <w:lvlText w:val="%4."/>
      <w:lvlJc w:val="left"/>
      <w:pPr>
        <w:ind w:left="2869" w:hanging="360"/>
      </w:pPr>
    </w:lvl>
    <w:lvl w:ilvl="4" w:tplc="0C090019" w:tentative="1">
      <w:start w:val="1"/>
      <w:numFmt w:val="lowerLetter"/>
      <w:lvlText w:val="%5."/>
      <w:lvlJc w:val="left"/>
      <w:pPr>
        <w:ind w:left="3589" w:hanging="360"/>
      </w:pPr>
    </w:lvl>
    <w:lvl w:ilvl="5" w:tplc="0C09001B" w:tentative="1">
      <w:start w:val="1"/>
      <w:numFmt w:val="lowerRoman"/>
      <w:lvlText w:val="%6."/>
      <w:lvlJc w:val="right"/>
      <w:pPr>
        <w:ind w:left="4309" w:hanging="180"/>
      </w:pPr>
    </w:lvl>
    <w:lvl w:ilvl="6" w:tplc="0C09000F" w:tentative="1">
      <w:start w:val="1"/>
      <w:numFmt w:val="decimal"/>
      <w:lvlText w:val="%7."/>
      <w:lvlJc w:val="left"/>
      <w:pPr>
        <w:ind w:left="5029" w:hanging="360"/>
      </w:pPr>
    </w:lvl>
    <w:lvl w:ilvl="7" w:tplc="0C090019" w:tentative="1">
      <w:start w:val="1"/>
      <w:numFmt w:val="lowerLetter"/>
      <w:lvlText w:val="%8."/>
      <w:lvlJc w:val="left"/>
      <w:pPr>
        <w:ind w:left="5749" w:hanging="360"/>
      </w:pPr>
    </w:lvl>
    <w:lvl w:ilvl="8" w:tplc="0C09001B" w:tentative="1">
      <w:start w:val="1"/>
      <w:numFmt w:val="lowerRoman"/>
      <w:lvlText w:val="%9."/>
      <w:lvlJc w:val="right"/>
      <w:pPr>
        <w:ind w:left="6469" w:hanging="180"/>
      </w:pPr>
    </w:lvl>
  </w:abstractNum>
  <w:abstractNum w:abstractNumId="70" w15:restartNumberingAfterBreak="0">
    <w:nsid w:val="7D284207"/>
    <w:multiLevelType w:val="multilevel"/>
    <w:tmpl w:val="1CBCB1EE"/>
    <w:name w:val="Lst_HighlightBullets"/>
    <w:lvl w:ilvl="0">
      <w:start w:val="1"/>
      <w:numFmt w:val="bullet"/>
      <w:lvlRestart w:val="0"/>
      <w:pStyle w:val="HighlightBoxBullet"/>
      <w:lvlText w:val=""/>
      <w:lvlJc w:val="left"/>
      <w:pPr>
        <w:ind w:left="454" w:hanging="227"/>
      </w:pPr>
      <w:rPr>
        <w:rFonts w:ascii="Wingdings" w:hAnsi="Wingdings"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71"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72" w15:restartNumberingAfterBreak="0">
    <w:nsid w:val="7E525EFE"/>
    <w:multiLevelType w:val="hybridMultilevel"/>
    <w:tmpl w:val="DE3AEDC8"/>
    <w:lvl w:ilvl="0" w:tplc="D08E986E">
      <w:start w:val="1"/>
      <w:numFmt w:val="lowerRoman"/>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num w:numId="1" w16cid:durableId="1128745877">
    <w:abstractNumId w:val="18"/>
  </w:num>
  <w:num w:numId="2" w16cid:durableId="985085104">
    <w:abstractNumId w:val="15"/>
  </w:num>
  <w:num w:numId="3" w16cid:durableId="1872112631">
    <w:abstractNumId w:val="19"/>
  </w:num>
  <w:num w:numId="4" w16cid:durableId="336812815">
    <w:abstractNumId w:val="39"/>
  </w:num>
  <w:num w:numId="5" w16cid:durableId="155153463">
    <w:abstractNumId w:val="1"/>
  </w:num>
  <w:num w:numId="6" w16cid:durableId="1428236886">
    <w:abstractNumId w:val="43"/>
  </w:num>
  <w:num w:numId="7" w16cid:durableId="103154041">
    <w:abstractNumId w:val="47"/>
  </w:num>
  <w:num w:numId="8" w16cid:durableId="1308436166">
    <w:abstractNumId w:val="42"/>
  </w:num>
  <w:num w:numId="9" w16cid:durableId="1335643199">
    <w:abstractNumId w:val="55"/>
  </w:num>
  <w:num w:numId="10" w16cid:durableId="1160577431">
    <w:abstractNumId w:val="46"/>
  </w:num>
  <w:num w:numId="11" w16cid:durableId="1673139647">
    <w:abstractNumId w:val="29"/>
  </w:num>
  <w:num w:numId="12" w16cid:durableId="1742215375">
    <w:abstractNumId w:val="70"/>
  </w:num>
  <w:num w:numId="13" w16cid:durableId="664823544">
    <w:abstractNumId w:val="64"/>
  </w:num>
  <w:num w:numId="14" w16cid:durableId="1703089287">
    <w:abstractNumId w:val="17"/>
  </w:num>
  <w:num w:numId="15" w16cid:durableId="1796682124">
    <w:abstractNumId w:val="35"/>
  </w:num>
  <w:num w:numId="16" w16cid:durableId="1284270218">
    <w:abstractNumId w:val="22"/>
  </w:num>
  <w:num w:numId="17" w16cid:durableId="68623006">
    <w:abstractNumId w:val="9"/>
  </w:num>
  <w:num w:numId="18" w16cid:durableId="1705716525">
    <w:abstractNumId w:val="38"/>
  </w:num>
  <w:num w:numId="19" w16cid:durableId="1906062800">
    <w:abstractNumId w:val="48"/>
  </w:num>
  <w:num w:numId="20" w16cid:durableId="362754381">
    <w:abstractNumId w:val="14"/>
  </w:num>
  <w:num w:numId="21" w16cid:durableId="712080978">
    <w:abstractNumId w:val="23"/>
  </w:num>
  <w:num w:numId="22" w16cid:durableId="1593051160">
    <w:abstractNumId w:val="16"/>
  </w:num>
  <w:num w:numId="23" w16cid:durableId="1452166668">
    <w:abstractNumId w:val="59"/>
  </w:num>
  <w:num w:numId="24" w16cid:durableId="2118405281">
    <w:abstractNumId w:val="65"/>
  </w:num>
  <w:num w:numId="25" w16cid:durableId="186649787">
    <w:abstractNumId w:val="57"/>
  </w:num>
  <w:num w:numId="26" w16cid:durableId="2063483627">
    <w:abstractNumId w:val="41"/>
  </w:num>
  <w:num w:numId="27" w16cid:durableId="184443171">
    <w:abstractNumId w:val="0"/>
  </w:num>
  <w:num w:numId="28" w16cid:durableId="2055303507">
    <w:abstractNumId w:val="4"/>
  </w:num>
  <w:num w:numId="29" w16cid:durableId="2077430722">
    <w:abstractNumId w:val="20"/>
  </w:num>
  <w:num w:numId="30" w16cid:durableId="163715880">
    <w:abstractNumId w:val="25"/>
  </w:num>
  <w:num w:numId="31" w16cid:durableId="506748208">
    <w:abstractNumId w:val="40"/>
  </w:num>
  <w:num w:numId="32" w16cid:durableId="1246106819">
    <w:abstractNumId w:val="24"/>
  </w:num>
  <w:num w:numId="33" w16cid:durableId="1602371322">
    <w:abstractNumId w:val="26"/>
  </w:num>
  <w:num w:numId="34" w16cid:durableId="840047472">
    <w:abstractNumId w:val="44"/>
  </w:num>
  <w:num w:numId="35" w16cid:durableId="341321036">
    <w:abstractNumId w:val="12"/>
  </w:num>
  <w:num w:numId="36" w16cid:durableId="769862005">
    <w:abstractNumId w:val="36"/>
  </w:num>
  <w:num w:numId="37" w16cid:durableId="1179925454">
    <w:abstractNumId w:val="11"/>
  </w:num>
  <w:num w:numId="38" w16cid:durableId="1144271298">
    <w:abstractNumId w:val="69"/>
  </w:num>
  <w:num w:numId="39" w16cid:durableId="1541090295">
    <w:abstractNumId w:val="21"/>
  </w:num>
  <w:num w:numId="40" w16cid:durableId="588076003">
    <w:abstractNumId w:val="66"/>
  </w:num>
  <w:num w:numId="41" w16cid:durableId="917255563">
    <w:abstractNumId w:val="51"/>
  </w:num>
  <w:num w:numId="42" w16cid:durableId="1847551842">
    <w:abstractNumId w:val="5"/>
  </w:num>
  <w:num w:numId="43" w16cid:durableId="1314217400">
    <w:abstractNumId w:val="45"/>
  </w:num>
  <w:num w:numId="44" w16cid:durableId="913590913">
    <w:abstractNumId w:val="72"/>
  </w:num>
  <w:num w:numId="45" w16cid:durableId="594284264">
    <w:abstractNumId w:val="3"/>
  </w:num>
  <w:num w:numId="46" w16cid:durableId="384529745">
    <w:abstractNumId w:val="62"/>
  </w:num>
  <w:num w:numId="47" w16cid:durableId="700596041">
    <w:abstractNumId w:val="63"/>
  </w:num>
  <w:num w:numId="48" w16cid:durableId="222915744">
    <w:abstractNumId w:val="47"/>
  </w:num>
  <w:num w:numId="49" w16cid:durableId="1682506979">
    <w:abstractNumId w:val="47"/>
  </w:num>
  <w:num w:numId="50" w16cid:durableId="2006080541">
    <w:abstractNumId w:val="47"/>
  </w:num>
  <w:num w:numId="51" w16cid:durableId="1881166242">
    <w:abstractNumId w:val="47"/>
  </w:num>
  <w:num w:numId="52" w16cid:durableId="250745015">
    <w:abstractNumId w:val="4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ocumentProtection w:formatting="1" w:enforcement="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2"/>
    <w:docVar w:name="ColourTheme" w:val="Colourful"/>
    <w:docVar w:name="ContentiousSubject" w:val="False"/>
    <w:docVar w:name="CoverCoBranded" w:val="False"/>
    <w:docVar w:name="CoverLayout" w:val="One"/>
    <w:docVar w:name="CoverProjectBar" w:val="True"/>
    <w:docVar w:name="CoverWebAddress" w:val="Tru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Theme Color" w:val="Corporate"/>
    <w:docVar w:name="TOC" w:val="True"/>
    <w:docVar w:name="TOCNew" w:val="True"/>
    <w:docVar w:name="TOCType" w:val="Normal"/>
    <w:docVar w:name="UpdateTheme" w:val="False"/>
    <w:docVar w:name="Watermark" w:val="Draft"/>
    <w:docVar w:name="xAppendixName" w:val="Appendix"/>
    <w:docVar w:name="xHeadingsNumbered" w:val="False"/>
    <w:docVar w:name="xTOCApp" w:val="S"/>
    <w:docVar w:name="xTOCFigure" w:val="H"/>
    <w:docVar w:name="xTOCH2" w:val="Y"/>
    <w:docVar w:name="xTOCH3" w:val="Y"/>
    <w:docVar w:name="xTOCH4" w:val="Y"/>
    <w:docVar w:name="xTOCTable" w:val="H"/>
  </w:docVars>
  <w:rsids>
    <w:rsidRoot w:val="002143CB"/>
    <w:rsid w:val="000000ED"/>
    <w:rsid w:val="00000194"/>
    <w:rsid w:val="00000812"/>
    <w:rsid w:val="00000901"/>
    <w:rsid w:val="00000B29"/>
    <w:rsid w:val="00001878"/>
    <w:rsid w:val="00001914"/>
    <w:rsid w:val="00001B40"/>
    <w:rsid w:val="00001C84"/>
    <w:rsid w:val="00001D81"/>
    <w:rsid w:val="00002691"/>
    <w:rsid w:val="00002A94"/>
    <w:rsid w:val="00003260"/>
    <w:rsid w:val="000035F6"/>
    <w:rsid w:val="00003AC3"/>
    <w:rsid w:val="00004327"/>
    <w:rsid w:val="00004810"/>
    <w:rsid w:val="00004A68"/>
    <w:rsid w:val="00004EEE"/>
    <w:rsid w:val="000058A9"/>
    <w:rsid w:val="00005CCD"/>
    <w:rsid w:val="00005ECA"/>
    <w:rsid w:val="0000620A"/>
    <w:rsid w:val="00006884"/>
    <w:rsid w:val="000068CA"/>
    <w:rsid w:val="0000736B"/>
    <w:rsid w:val="0000752F"/>
    <w:rsid w:val="000077EC"/>
    <w:rsid w:val="00007A11"/>
    <w:rsid w:val="00010207"/>
    <w:rsid w:val="000105A9"/>
    <w:rsid w:val="00010BB1"/>
    <w:rsid w:val="000112BF"/>
    <w:rsid w:val="00011741"/>
    <w:rsid w:val="00011C29"/>
    <w:rsid w:val="00011F46"/>
    <w:rsid w:val="0001216C"/>
    <w:rsid w:val="000125A5"/>
    <w:rsid w:val="000126B4"/>
    <w:rsid w:val="000128AB"/>
    <w:rsid w:val="0001294B"/>
    <w:rsid w:val="00012BCD"/>
    <w:rsid w:val="00012D6E"/>
    <w:rsid w:val="00012FAF"/>
    <w:rsid w:val="0001307F"/>
    <w:rsid w:val="00013173"/>
    <w:rsid w:val="000133B3"/>
    <w:rsid w:val="00013442"/>
    <w:rsid w:val="000134CC"/>
    <w:rsid w:val="000138D6"/>
    <w:rsid w:val="000139F9"/>
    <w:rsid w:val="00013C91"/>
    <w:rsid w:val="000147D8"/>
    <w:rsid w:val="00014AD2"/>
    <w:rsid w:val="00014BBA"/>
    <w:rsid w:val="000152AC"/>
    <w:rsid w:val="000155A6"/>
    <w:rsid w:val="00015655"/>
    <w:rsid w:val="000160DB"/>
    <w:rsid w:val="0001645A"/>
    <w:rsid w:val="00016927"/>
    <w:rsid w:val="00016F11"/>
    <w:rsid w:val="00016F4D"/>
    <w:rsid w:val="00017A37"/>
    <w:rsid w:val="00017E78"/>
    <w:rsid w:val="000200A9"/>
    <w:rsid w:val="00020166"/>
    <w:rsid w:val="000202A8"/>
    <w:rsid w:val="00020425"/>
    <w:rsid w:val="0002048A"/>
    <w:rsid w:val="0002078C"/>
    <w:rsid w:val="00020A83"/>
    <w:rsid w:val="00020D21"/>
    <w:rsid w:val="000217E5"/>
    <w:rsid w:val="00021839"/>
    <w:rsid w:val="00021EFD"/>
    <w:rsid w:val="000225D7"/>
    <w:rsid w:val="00022FC9"/>
    <w:rsid w:val="0002313E"/>
    <w:rsid w:val="00023619"/>
    <w:rsid w:val="0002418A"/>
    <w:rsid w:val="00024727"/>
    <w:rsid w:val="00024DE5"/>
    <w:rsid w:val="00024F9A"/>
    <w:rsid w:val="0002541E"/>
    <w:rsid w:val="000255A3"/>
    <w:rsid w:val="0002586C"/>
    <w:rsid w:val="00026285"/>
    <w:rsid w:val="000265EA"/>
    <w:rsid w:val="000265F2"/>
    <w:rsid w:val="00026DA1"/>
    <w:rsid w:val="00026DC2"/>
    <w:rsid w:val="00026F6C"/>
    <w:rsid w:val="000273C5"/>
    <w:rsid w:val="00030105"/>
    <w:rsid w:val="000308EA"/>
    <w:rsid w:val="00030A38"/>
    <w:rsid w:val="0003160B"/>
    <w:rsid w:val="000328C1"/>
    <w:rsid w:val="00032F9F"/>
    <w:rsid w:val="0003300C"/>
    <w:rsid w:val="000330B4"/>
    <w:rsid w:val="00033137"/>
    <w:rsid w:val="00033152"/>
    <w:rsid w:val="000332EC"/>
    <w:rsid w:val="000337A3"/>
    <w:rsid w:val="00033B66"/>
    <w:rsid w:val="00033F51"/>
    <w:rsid w:val="000343D3"/>
    <w:rsid w:val="000346D1"/>
    <w:rsid w:val="000348E3"/>
    <w:rsid w:val="00034B35"/>
    <w:rsid w:val="00034E7A"/>
    <w:rsid w:val="000351B2"/>
    <w:rsid w:val="000355E6"/>
    <w:rsid w:val="0003565D"/>
    <w:rsid w:val="00035674"/>
    <w:rsid w:val="00036064"/>
    <w:rsid w:val="000360F2"/>
    <w:rsid w:val="00036121"/>
    <w:rsid w:val="00036433"/>
    <w:rsid w:val="00036D45"/>
    <w:rsid w:val="00037321"/>
    <w:rsid w:val="000374E9"/>
    <w:rsid w:val="00037526"/>
    <w:rsid w:val="00037830"/>
    <w:rsid w:val="00037F96"/>
    <w:rsid w:val="000408B7"/>
    <w:rsid w:val="00040E63"/>
    <w:rsid w:val="00040E84"/>
    <w:rsid w:val="00040EB4"/>
    <w:rsid w:val="000411A2"/>
    <w:rsid w:val="00041613"/>
    <w:rsid w:val="00041B06"/>
    <w:rsid w:val="000420CC"/>
    <w:rsid w:val="00042903"/>
    <w:rsid w:val="000437CD"/>
    <w:rsid w:val="00043F27"/>
    <w:rsid w:val="00043FEB"/>
    <w:rsid w:val="00044607"/>
    <w:rsid w:val="00044958"/>
    <w:rsid w:val="00044A5B"/>
    <w:rsid w:val="00045452"/>
    <w:rsid w:val="0004562A"/>
    <w:rsid w:val="0004603D"/>
    <w:rsid w:val="000463B8"/>
    <w:rsid w:val="0004675A"/>
    <w:rsid w:val="00046F44"/>
    <w:rsid w:val="000473F4"/>
    <w:rsid w:val="00050713"/>
    <w:rsid w:val="00050F0B"/>
    <w:rsid w:val="00051BFC"/>
    <w:rsid w:val="00051D5C"/>
    <w:rsid w:val="00052454"/>
    <w:rsid w:val="0005252A"/>
    <w:rsid w:val="000528CB"/>
    <w:rsid w:val="00052CA3"/>
    <w:rsid w:val="00052FB1"/>
    <w:rsid w:val="000531C8"/>
    <w:rsid w:val="00053C58"/>
    <w:rsid w:val="00053CC3"/>
    <w:rsid w:val="00053CD2"/>
    <w:rsid w:val="00054A64"/>
    <w:rsid w:val="00055151"/>
    <w:rsid w:val="00055491"/>
    <w:rsid w:val="000554EE"/>
    <w:rsid w:val="0005578D"/>
    <w:rsid w:val="00055A62"/>
    <w:rsid w:val="00056024"/>
    <w:rsid w:val="00056FA1"/>
    <w:rsid w:val="000574CC"/>
    <w:rsid w:val="000574DD"/>
    <w:rsid w:val="00057EB4"/>
    <w:rsid w:val="000602CE"/>
    <w:rsid w:val="00060B9F"/>
    <w:rsid w:val="00060CAB"/>
    <w:rsid w:val="000610DD"/>
    <w:rsid w:val="0006141F"/>
    <w:rsid w:val="00062630"/>
    <w:rsid w:val="000634B5"/>
    <w:rsid w:val="000636FD"/>
    <w:rsid w:val="00063A7B"/>
    <w:rsid w:val="00063EAB"/>
    <w:rsid w:val="00064148"/>
    <w:rsid w:val="000645D3"/>
    <w:rsid w:val="00064813"/>
    <w:rsid w:val="00064E68"/>
    <w:rsid w:val="000656A1"/>
    <w:rsid w:val="00065A3D"/>
    <w:rsid w:val="000661A2"/>
    <w:rsid w:val="0006651D"/>
    <w:rsid w:val="00066901"/>
    <w:rsid w:val="00066A4B"/>
    <w:rsid w:val="00066BD0"/>
    <w:rsid w:val="00066D49"/>
    <w:rsid w:val="0006707D"/>
    <w:rsid w:val="000672C6"/>
    <w:rsid w:val="00067446"/>
    <w:rsid w:val="00067A55"/>
    <w:rsid w:val="00067B0C"/>
    <w:rsid w:val="00067EEC"/>
    <w:rsid w:val="00070773"/>
    <w:rsid w:val="000707CA"/>
    <w:rsid w:val="0007095A"/>
    <w:rsid w:val="00070B05"/>
    <w:rsid w:val="00070C1F"/>
    <w:rsid w:val="0007125D"/>
    <w:rsid w:val="00071621"/>
    <w:rsid w:val="0007166A"/>
    <w:rsid w:val="00071E1A"/>
    <w:rsid w:val="00071FC0"/>
    <w:rsid w:val="00072080"/>
    <w:rsid w:val="0007232D"/>
    <w:rsid w:val="0007247D"/>
    <w:rsid w:val="00072E7B"/>
    <w:rsid w:val="000731A9"/>
    <w:rsid w:val="000738B3"/>
    <w:rsid w:val="00073EF4"/>
    <w:rsid w:val="00073FC4"/>
    <w:rsid w:val="0007447A"/>
    <w:rsid w:val="00074537"/>
    <w:rsid w:val="00074EF6"/>
    <w:rsid w:val="0007514C"/>
    <w:rsid w:val="000751D5"/>
    <w:rsid w:val="00075748"/>
    <w:rsid w:val="000759A7"/>
    <w:rsid w:val="00075B1E"/>
    <w:rsid w:val="00075E0B"/>
    <w:rsid w:val="00075E71"/>
    <w:rsid w:val="00075EC1"/>
    <w:rsid w:val="000764DD"/>
    <w:rsid w:val="00076662"/>
    <w:rsid w:val="00076B5B"/>
    <w:rsid w:val="00076CEC"/>
    <w:rsid w:val="00076DD1"/>
    <w:rsid w:val="000770EF"/>
    <w:rsid w:val="000771C8"/>
    <w:rsid w:val="000772E4"/>
    <w:rsid w:val="000774C6"/>
    <w:rsid w:val="00077BDB"/>
    <w:rsid w:val="00077D57"/>
    <w:rsid w:val="00080082"/>
    <w:rsid w:val="000809F5"/>
    <w:rsid w:val="00080B70"/>
    <w:rsid w:val="00081719"/>
    <w:rsid w:val="000817D5"/>
    <w:rsid w:val="000823F2"/>
    <w:rsid w:val="0008257E"/>
    <w:rsid w:val="00082701"/>
    <w:rsid w:val="00082CAC"/>
    <w:rsid w:val="00082EEC"/>
    <w:rsid w:val="00082F2B"/>
    <w:rsid w:val="00083038"/>
    <w:rsid w:val="000830F1"/>
    <w:rsid w:val="00083241"/>
    <w:rsid w:val="00083426"/>
    <w:rsid w:val="000838F2"/>
    <w:rsid w:val="00084244"/>
    <w:rsid w:val="0008438B"/>
    <w:rsid w:val="000843B4"/>
    <w:rsid w:val="000848ED"/>
    <w:rsid w:val="00084904"/>
    <w:rsid w:val="00084998"/>
    <w:rsid w:val="00084E5E"/>
    <w:rsid w:val="00085767"/>
    <w:rsid w:val="00085A8A"/>
    <w:rsid w:val="00085B6D"/>
    <w:rsid w:val="00085E78"/>
    <w:rsid w:val="000860CE"/>
    <w:rsid w:val="00086400"/>
    <w:rsid w:val="00086725"/>
    <w:rsid w:val="0008678B"/>
    <w:rsid w:val="00086C5B"/>
    <w:rsid w:val="00086C71"/>
    <w:rsid w:val="00087019"/>
    <w:rsid w:val="00087157"/>
    <w:rsid w:val="0008765C"/>
    <w:rsid w:val="00087706"/>
    <w:rsid w:val="0008781D"/>
    <w:rsid w:val="00087AA2"/>
    <w:rsid w:val="00087CE5"/>
    <w:rsid w:val="00087DBC"/>
    <w:rsid w:val="0009026C"/>
    <w:rsid w:val="0009064F"/>
    <w:rsid w:val="0009072A"/>
    <w:rsid w:val="00090C31"/>
    <w:rsid w:val="00090CB5"/>
    <w:rsid w:val="00090D51"/>
    <w:rsid w:val="00090D68"/>
    <w:rsid w:val="0009129D"/>
    <w:rsid w:val="000913B9"/>
    <w:rsid w:val="00091C6D"/>
    <w:rsid w:val="00091E67"/>
    <w:rsid w:val="000922A4"/>
    <w:rsid w:val="00092C13"/>
    <w:rsid w:val="00092ECC"/>
    <w:rsid w:val="000938F6"/>
    <w:rsid w:val="00093A74"/>
    <w:rsid w:val="00093AB0"/>
    <w:rsid w:val="00093DB2"/>
    <w:rsid w:val="00094652"/>
    <w:rsid w:val="00094887"/>
    <w:rsid w:val="00094C04"/>
    <w:rsid w:val="00094CD2"/>
    <w:rsid w:val="0009545B"/>
    <w:rsid w:val="00095774"/>
    <w:rsid w:val="000957C3"/>
    <w:rsid w:val="00095B03"/>
    <w:rsid w:val="00095BF8"/>
    <w:rsid w:val="00095E93"/>
    <w:rsid w:val="0009618E"/>
    <w:rsid w:val="0009636C"/>
    <w:rsid w:val="00097178"/>
    <w:rsid w:val="000971A5"/>
    <w:rsid w:val="00097204"/>
    <w:rsid w:val="00097D12"/>
    <w:rsid w:val="000A0157"/>
    <w:rsid w:val="000A01E2"/>
    <w:rsid w:val="000A026F"/>
    <w:rsid w:val="000A043A"/>
    <w:rsid w:val="000A0658"/>
    <w:rsid w:val="000A06F1"/>
    <w:rsid w:val="000A0740"/>
    <w:rsid w:val="000A0772"/>
    <w:rsid w:val="000A07D4"/>
    <w:rsid w:val="000A0853"/>
    <w:rsid w:val="000A0D39"/>
    <w:rsid w:val="000A0ECF"/>
    <w:rsid w:val="000A10AE"/>
    <w:rsid w:val="000A13C1"/>
    <w:rsid w:val="000A1A10"/>
    <w:rsid w:val="000A25A3"/>
    <w:rsid w:val="000A2A5F"/>
    <w:rsid w:val="000A2C4F"/>
    <w:rsid w:val="000A2FDF"/>
    <w:rsid w:val="000A3203"/>
    <w:rsid w:val="000A3E5B"/>
    <w:rsid w:val="000A43C4"/>
    <w:rsid w:val="000A46F7"/>
    <w:rsid w:val="000A47D0"/>
    <w:rsid w:val="000A47E3"/>
    <w:rsid w:val="000A4AA3"/>
    <w:rsid w:val="000A4DD8"/>
    <w:rsid w:val="000A5095"/>
    <w:rsid w:val="000A513C"/>
    <w:rsid w:val="000A5285"/>
    <w:rsid w:val="000A55E9"/>
    <w:rsid w:val="000A56AA"/>
    <w:rsid w:val="000A6056"/>
    <w:rsid w:val="000A64D2"/>
    <w:rsid w:val="000A64DF"/>
    <w:rsid w:val="000A65C4"/>
    <w:rsid w:val="000A6AD7"/>
    <w:rsid w:val="000B010B"/>
    <w:rsid w:val="000B02C8"/>
    <w:rsid w:val="000B0460"/>
    <w:rsid w:val="000B07C0"/>
    <w:rsid w:val="000B0B95"/>
    <w:rsid w:val="000B0E44"/>
    <w:rsid w:val="000B172B"/>
    <w:rsid w:val="000B1783"/>
    <w:rsid w:val="000B2770"/>
    <w:rsid w:val="000B2E0D"/>
    <w:rsid w:val="000B34AD"/>
    <w:rsid w:val="000B36D8"/>
    <w:rsid w:val="000B3A16"/>
    <w:rsid w:val="000B3FE0"/>
    <w:rsid w:val="000B497E"/>
    <w:rsid w:val="000B49FA"/>
    <w:rsid w:val="000B51BB"/>
    <w:rsid w:val="000B5385"/>
    <w:rsid w:val="000B59CB"/>
    <w:rsid w:val="000B5AC1"/>
    <w:rsid w:val="000B5B6D"/>
    <w:rsid w:val="000B6301"/>
    <w:rsid w:val="000B65EE"/>
    <w:rsid w:val="000B6910"/>
    <w:rsid w:val="000B6A5F"/>
    <w:rsid w:val="000B6E1A"/>
    <w:rsid w:val="000B7145"/>
    <w:rsid w:val="000B74D9"/>
    <w:rsid w:val="000B75CF"/>
    <w:rsid w:val="000B77DB"/>
    <w:rsid w:val="000B7B75"/>
    <w:rsid w:val="000C0211"/>
    <w:rsid w:val="000C02EC"/>
    <w:rsid w:val="000C036C"/>
    <w:rsid w:val="000C0411"/>
    <w:rsid w:val="000C043D"/>
    <w:rsid w:val="000C254D"/>
    <w:rsid w:val="000C269E"/>
    <w:rsid w:val="000C2D7C"/>
    <w:rsid w:val="000C3365"/>
    <w:rsid w:val="000C3390"/>
    <w:rsid w:val="000C3827"/>
    <w:rsid w:val="000C3BCA"/>
    <w:rsid w:val="000C4032"/>
    <w:rsid w:val="000C4237"/>
    <w:rsid w:val="000C440C"/>
    <w:rsid w:val="000C4598"/>
    <w:rsid w:val="000C45EF"/>
    <w:rsid w:val="000C46FD"/>
    <w:rsid w:val="000C4A68"/>
    <w:rsid w:val="000C4AFB"/>
    <w:rsid w:val="000C5B12"/>
    <w:rsid w:val="000C5C01"/>
    <w:rsid w:val="000C5D8E"/>
    <w:rsid w:val="000C620E"/>
    <w:rsid w:val="000C782D"/>
    <w:rsid w:val="000C7B53"/>
    <w:rsid w:val="000C7BB4"/>
    <w:rsid w:val="000D01DB"/>
    <w:rsid w:val="000D0294"/>
    <w:rsid w:val="000D02C6"/>
    <w:rsid w:val="000D038D"/>
    <w:rsid w:val="000D0471"/>
    <w:rsid w:val="000D04B1"/>
    <w:rsid w:val="000D04F8"/>
    <w:rsid w:val="000D057E"/>
    <w:rsid w:val="000D06DC"/>
    <w:rsid w:val="000D07AF"/>
    <w:rsid w:val="000D0DDA"/>
    <w:rsid w:val="000D0FA2"/>
    <w:rsid w:val="000D1126"/>
    <w:rsid w:val="000D1C49"/>
    <w:rsid w:val="000D1CCC"/>
    <w:rsid w:val="000D1DA0"/>
    <w:rsid w:val="000D256D"/>
    <w:rsid w:val="000D28D9"/>
    <w:rsid w:val="000D2B3D"/>
    <w:rsid w:val="000D2ED2"/>
    <w:rsid w:val="000D319F"/>
    <w:rsid w:val="000D36F9"/>
    <w:rsid w:val="000D3881"/>
    <w:rsid w:val="000D3CAE"/>
    <w:rsid w:val="000D487A"/>
    <w:rsid w:val="000D4AC1"/>
    <w:rsid w:val="000D5000"/>
    <w:rsid w:val="000D5967"/>
    <w:rsid w:val="000D5AE6"/>
    <w:rsid w:val="000D5CE1"/>
    <w:rsid w:val="000D6417"/>
    <w:rsid w:val="000D6482"/>
    <w:rsid w:val="000D66AF"/>
    <w:rsid w:val="000D70A6"/>
    <w:rsid w:val="000D7227"/>
    <w:rsid w:val="000D73BF"/>
    <w:rsid w:val="000D73C9"/>
    <w:rsid w:val="000D7514"/>
    <w:rsid w:val="000D752F"/>
    <w:rsid w:val="000D7AF3"/>
    <w:rsid w:val="000D7F5B"/>
    <w:rsid w:val="000E0068"/>
    <w:rsid w:val="000E02AD"/>
    <w:rsid w:val="000E1777"/>
    <w:rsid w:val="000E1992"/>
    <w:rsid w:val="000E2BFA"/>
    <w:rsid w:val="000E2E35"/>
    <w:rsid w:val="000E2F22"/>
    <w:rsid w:val="000E2F7C"/>
    <w:rsid w:val="000E31AE"/>
    <w:rsid w:val="000E33E5"/>
    <w:rsid w:val="000E3433"/>
    <w:rsid w:val="000E35EE"/>
    <w:rsid w:val="000E38AA"/>
    <w:rsid w:val="000E3C36"/>
    <w:rsid w:val="000E4126"/>
    <w:rsid w:val="000E4946"/>
    <w:rsid w:val="000E4D36"/>
    <w:rsid w:val="000E5431"/>
    <w:rsid w:val="000E57A7"/>
    <w:rsid w:val="000E5A0E"/>
    <w:rsid w:val="000E5B9F"/>
    <w:rsid w:val="000E60F1"/>
    <w:rsid w:val="000E63C6"/>
    <w:rsid w:val="000E6D73"/>
    <w:rsid w:val="000E6E5A"/>
    <w:rsid w:val="000E70C6"/>
    <w:rsid w:val="000E7420"/>
    <w:rsid w:val="000E79F7"/>
    <w:rsid w:val="000E7E4A"/>
    <w:rsid w:val="000E7F29"/>
    <w:rsid w:val="000E7FA5"/>
    <w:rsid w:val="000F040F"/>
    <w:rsid w:val="000F0977"/>
    <w:rsid w:val="000F0AB0"/>
    <w:rsid w:val="000F0C7A"/>
    <w:rsid w:val="000F0E46"/>
    <w:rsid w:val="000F1017"/>
    <w:rsid w:val="000F1954"/>
    <w:rsid w:val="000F1B2C"/>
    <w:rsid w:val="000F1D79"/>
    <w:rsid w:val="000F1E52"/>
    <w:rsid w:val="000F26D5"/>
    <w:rsid w:val="000F2AE7"/>
    <w:rsid w:val="000F2BEC"/>
    <w:rsid w:val="000F2FCE"/>
    <w:rsid w:val="000F3362"/>
    <w:rsid w:val="000F3969"/>
    <w:rsid w:val="000F39C2"/>
    <w:rsid w:val="000F42A8"/>
    <w:rsid w:val="000F436A"/>
    <w:rsid w:val="000F4443"/>
    <w:rsid w:val="000F47F5"/>
    <w:rsid w:val="000F4945"/>
    <w:rsid w:val="000F4BAE"/>
    <w:rsid w:val="000F4D26"/>
    <w:rsid w:val="000F515F"/>
    <w:rsid w:val="000F56F8"/>
    <w:rsid w:val="000F59FB"/>
    <w:rsid w:val="000F5E55"/>
    <w:rsid w:val="000F5FFD"/>
    <w:rsid w:val="000F6093"/>
    <w:rsid w:val="000F661E"/>
    <w:rsid w:val="000F66F3"/>
    <w:rsid w:val="000F696C"/>
    <w:rsid w:val="000F6D50"/>
    <w:rsid w:val="000F72AB"/>
    <w:rsid w:val="000F7466"/>
    <w:rsid w:val="000F79DB"/>
    <w:rsid w:val="000F7BB5"/>
    <w:rsid w:val="000F7C2D"/>
    <w:rsid w:val="000F7D40"/>
    <w:rsid w:val="0010018C"/>
    <w:rsid w:val="00100203"/>
    <w:rsid w:val="001002FF"/>
    <w:rsid w:val="0010071C"/>
    <w:rsid w:val="00100C63"/>
    <w:rsid w:val="00101154"/>
    <w:rsid w:val="00101215"/>
    <w:rsid w:val="00101A91"/>
    <w:rsid w:val="00101FF8"/>
    <w:rsid w:val="001023F4"/>
    <w:rsid w:val="00102858"/>
    <w:rsid w:val="001029A9"/>
    <w:rsid w:val="00102A26"/>
    <w:rsid w:val="00102B83"/>
    <w:rsid w:val="00102D94"/>
    <w:rsid w:val="00103055"/>
    <w:rsid w:val="00103B96"/>
    <w:rsid w:val="00103C12"/>
    <w:rsid w:val="001040AE"/>
    <w:rsid w:val="001042AA"/>
    <w:rsid w:val="001042E1"/>
    <w:rsid w:val="0010455D"/>
    <w:rsid w:val="00104C22"/>
    <w:rsid w:val="0010532E"/>
    <w:rsid w:val="001058AD"/>
    <w:rsid w:val="00105B40"/>
    <w:rsid w:val="00105C15"/>
    <w:rsid w:val="00105FBE"/>
    <w:rsid w:val="0010642D"/>
    <w:rsid w:val="0010698A"/>
    <w:rsid w:val="00106BF0"/>
    <w:rsid w:val="001074A6"/>
    <w:rsid w:val="00107C8F"/>
    <w:rsid w:val="00110047"/>
    <w:rsid w:val="0011032D"/>
    <w:rsid w:val="0011038E"/>
    <w:rsid w:val="0011045B"/>
    <w:rsid w:val="00110623"/>
    <w:rsid w:val="00110760"/>
    <w:rsid w:val="0011087C"/>
    <w:rsid w:val="0011132C"/>
    <w:rsid w:val="001114CB"/>
    <w:rsid w:val="001121CA"/>
    <w:rsid w:val="0011235E"/>
    <w:rsid w:val="001129F9"/>
    <w:rsid w:val="00112A56"/>
    <w:rsid w:val="00112DE0"/>
    <w:rsid w:val="00112EDB"/>
    <w:rsid w:val="00112FC9"/>
    <w:rsid w:val="00113496"/>
    <w:rsid w:val="0011371C"/>
    <w:rsid w:val="00113A48"/>
    <w:rsid w:val="00113D4F"/>
    <w:rsid w:val="00113EE7"/>
    <w:rsid w:val="00113FBB"/>
    <w:rsid w:val="00114235"/>
    <w:rsid w:val="0011429D"/>
    <w:rsid w:val="00114377"/>
    <w:rsid w:val="001143C7"/>
    <w:rsid w:val="0011480F"/>
    <w:rsid w:val="00114939"/>
    <w:rsid w:val="0011495B"/>
    <w:rsid w:val="00114B7A"/>
    <w:rsid w:val="0011501B"/>
    <w:rsid w:val="001153CE"/>
    <w:rsid w:val="001156B1"/>
    <w:rsid w:val="0011576A"/>
    <w:rsid w:val="001157C1"/>
    <w:rsid w:val="0011585A"/>
    <w:rsid w:val="00115CD5"/>
    <w:rsid w:val="00116264"/>
    <w:rsid w:val="00116265"/>
    <w:rsid w:val="00116413"/>
    <w:rsid w:val="001167C6"/>
    <w:rsid w:val="001169AD"/>
    <w:rsid w:val="00116DDD"/>
    <w:rsid w:val="00116EF2"/>
    <w:rsid w:val="00117255"/>
    <w:rsid w:val="001176AC"/>
    <w:rsid w:val="001177D2"/>
    <w:rsid w:val="00117809"/>
    <w:rsid w:val="00117F90"/>
    <w:rsid w:val="00120092"/>
    <w:rsid w:val="00120304"/>
    <w:rsid w:val="0012041B"/>
    <w:rsid w:val="00120A78"/>
    <w:rsid w:val="00120D59"/>
    <w:rsid w:val="001218C4"/>
    <w:rsid w:val="00121F34"/>
    <w:rsid w:val="0012246B"/>
    <w:rsid w:val="001228AC"/>
    <w:rsid w:val="001230A0"/>
    <w:rsid w:val="00123111"/>
    <w:rsid w:val="00123633"/>
    <w:rsid w:val="001242E9"/>
    <w:rsid w:val="001244D8"/>
    <w:rsid w:val="00124782"/>
    <w:rsid w:val="0012486F"/>
    <w:rsid w:val="00124BC5"/>
    <w:rsid w:val="0012511D"/>
    <w:rsid w:val="001252B3"/>
    <w:rsid w:val="00125319"/>
    <w:rsid w:val="0012535A"/>
    <w:rsid w:val="00125676"/>
    <w:rsid w:val="0012652C"/>
    <w:rsid w:val="001267C9"/>
    <w:rsid w:val="001268C6"/>
    <w:rsid w:val="00126943"/>
    <w:rsid w:val="00126BB9"/>
    <w:rsid w:val="00127337"/>
    <w:rsid w:val="001274AA"/>
    <w:rsid w:val="001278BC"/>
    <w:rsid w:val="00127A08"/>
    <w:rsid w:val="001302AB"/>
    <w:rsid w:val="0013033E"/>
    <w:rsid w:val="0013044E"/>
    <w:rsid w:val="00130471"/>
    <w:rsid w:val="00130735"/>
    <w:rsid w:val="00130B14"/>
    <w:rsid w:val="0013134A"/>
    <w:rsid w:val="00131D73"/>
    <w:rsid w:val="001320DB"/>
    <w:rsid w:val="00132534"/>
    <w:rsid w:val="001326CD"/>
    <w:rsid w:val="0013270A"/>
    <w:rsid w:val="00132ECF"/>
    <w:rsid w:val="00133CEB"/>
    <w:rsid w:val="00133DA1"/>
    <w:rsid w:val="00133EF1"/>
    <w:rsid w:val="00133FBF"/>
    <w:rsid w:val="00134222"/>
    <w:rsid w:val="00134985"/>
    <w:rsid w:val="00134E6F"/>
    <w:rsid w:val="001359FC"/>
    <w:rsid w:val="00135A21"/>
    <w:rsid w:val="0013609B"/>
    <w:rsid w:val="001369F7"/>
    <w:rsid w:val="00136DBE"/>
    <w:rsid w:val="001378AA"/>
    <w:rsid w:val="00137A24"/>
    <w:rsid w:val="00137BA0"/>
    <w:rsid w:val="00137E68"/>
    <w:rsid w:val="001406CA"/>
    <w:rsid w:val="001409FF"/>
    <w:rsid w:val="001414A7"/>
    <w:rsid w:val="001417FF"/>
    <w:rsid w:val="00141FDF"/>
    <w:rsid w:val="00142251"/>
    <w:rsid w:val="00142793"/>
    <w:rsid w:val="00142974"/>
    <w:rsid w:val="001429C0"/>
    <w:rsid w:val="0014353A"/>
    <w:rsid w:val="0014423E"/>
    <w:rsid w:val="001446F9"/>
    <w:rsid w:val="00144787"/>
    <w:rsid w:val="00144CA6"/>
    <w:rsid w:val="00145C41"/>
    <w:rsid w:val="00145F74"/>
    <w:rsid w:val="0014603A"/>
    <w:rsid w:val="0014604E"/>
    <w:rsid w:val="00146526"/>
    <w:rsid w:val="00146947"/>
    <w:rsid w:val="0014698E"/>
    <w:rsid w:val="00147141"/>
    <w:rsid w:val="0014722D"/>
    <w:rsid w:val="00147A68"/>
    <w:rsid w:val="00147B60"/>
    <w:rsid w:val="00150746"/>
    <w:rsid w:val="00151331"/>
    <w:rsid w:val="00151BF0"/>
    <w:rsid w:val="0015254A"/>
    <w:rsid w:val="00152DC6"/>
    <w:rsid w:val="00152E41"/>
    <w:rsid w:val="001536B2"/>
    <w:rsid w:val="0015386E"/>
    <w:rsid w:val="001538EE"/>
    <w:rsid w:val="0015405B"/>
    <w:rsid w:val="00154283"/>
    <w:rsid w:val="00155192"/>
    <w:rsid w:val="00155B41"/>
    <w:rsid w:val="00155B79"/>
    <w:rsid w:val="00155E68"/>
    <w:rsid w:val="00156344"/>
    <w:rsid w:val="00156406"/>
    <w:rsid w:val="0015658E"/>
    <w:rsid w:val="001565D2"/>
    <w:rsid w:val="0015669A"/>
    <w:rsid w:val="00156BC1"/>
    <w:rsid w:val="001571C1"/>
    <w:rsid w:val="001573C7"/>
    <w:rsid w:val="001574B6"/>
    <w:rsid w:val="00157BEC"/>
    <w:rsid w:val="00157DB1"/>
    <w:rsid w:val="00157F04"/>
    <w:rsid w:val="001609B4"/>
    <w:rsid w:val="00160C09"/>
    <w:rsid w:val="00160EA5"/>
    <w:rsid w:val="00161132"/>
    <w:rsid w:val="00161183"/>
    <w:rsid w:val="00161450"/>
    <w:rsid w:val="00161A18"/>
    <w:rsid w:val="00161DFE"/>
    <w:rsid w:val="00161F63"/>
    <w:rsid w:val="00161FE5"/>
    <w:rsid w:val="00162412"/>
    <w:rsid w:val="00162439"/>
    <w:rsid w:val="00162508"/>
    <w:rsid w:val="001626EC"/>
    <w:rsid w:val="0016271B"/>
    <w:rsid w:val="00162EBC"/>
    <w:rsid w:val="0016336A"/>
    <w:rsid w:val="00163A5B"/>
    <w:rsid w:val="00163A88"/>
    <w:rsid w:val="00163F73"/>
    <w:rsid w:val="00164012"/>
    <w:rsid w:val="001640D2"/>
    <w:rsid w:val="001644C7"/>
    <w:rsid w:val="00164716"/>
    <w:rsid w:val="00164A05"/>
    <w:rsid w:val="00164B6C"/>
    <w:rsid w:val="00164C92"/>
    <w:rsid w:val="001651B6"/>
    <w:rsid w:val="00165E60"/>
    <w:rsid w:val="00166097"/>
    <w:rsid w:val="001660B4"/>
    <w:rsid w:val="0016613C"/>
    <w:rsid w:val="00166DAD"/>
    <w:rsid w:val="00166E6D"/>
    <w:rsid w:val="00166FB5"/>
    <w:rsid w:val="00167022"/>
    <w:rsid w:val="0016718E"/>
    <w:rsid w:val="0017060B"/>
    <w:rsid w:val="00170701"/>
    <w:rsid w:val="00170D9A"/>
    <w:rsid w:val="001719AF"/>
    <w:rsid w:val="00171B71"/>
    <w:rsid w:val="00171C7C"/>
    <w:rsid w:val="00172574"/>
    <w:rsid w:val="00172637"/>
    <w:rsid w:val="001726D4"/>
    <w:rsid w:val="001728B5"/>
    <w:rsid w:val="0017336D"/>
    <w:rsid w:val="001733E5"/>
    <w:rsid w:val="0017354C"/>
    <w:rsid w:val="00173F1A"/>
    <w:rsid w:val="00174052"/>
    <w:rsid w:val="00174487"/>
    <w:rsid w:val="001745CE"/>
    <w:rsid w:val="0017465E"/>
    <w:rsid w:val="00174B69"/>
    <w:rsid w:val="00174E84"/>
    <w:rsid w:val="00174EA1"/>
    <w:rsid w:val="001750A0"/>
    <w:rsid w:val="00175DCC"/>
    <w:rsid w:val="00175F14"/>
    <w:rsid w:val="001762F3"/>
    <w:rsid w:val="0017636B"/>
    <w:rsid w:val="001766D2"/>
    <w:rsid w:val="001768FA"/>
    <w:rsid w:val="001769A8"/>
    <w:rsid w:val="00177179"/>
    <w:rsid w:val="0017749D"/>
    <w:rsid w:val="00177728"/>
    <w:rsid w:val="001778A7"/>
    <w:rsid w:val="00177F02"/>
    <w:rsid w:val="00180625"/>
    <w:rsid w:val="001806B5"/>
    <w:rsid w:val="00180E57"/>
    <w:rsid w:val="00180E8D"/>
    <w:rsid w:val="00180FF8"/>
    <w:rsid w:val="001813B0"/>
    <w:rsid w:val="001818D8"/>
    <w:rsid w:val="00181C1B"/>
    <w:rsid w:val="0018239D"/>
    <w:rsid w:val="00182547"/>
    <w:rsid w:val="001827CC"/>
    <w:rsid w:val="00183096"/>
    <w:rsid w:val="001835D2"/>
    <w:rsid w:val="0018426D"/>
    <w:rsid w:val="00184490"/>
    <w:rsid w:val="001844C6"/>
    <w:rsid w:val="001845EF"/>
    <w:rsid w:val="00184656"/>
    <w:rsid w:val="00184B03"/>
    <w:rsid w:val="00185BF1"/>
    <w:rsid w:val="00186186"/>
    <w:rsid w:val="0018625D"/>
    <w:rsid w:val="00186A77"/>
    <w:rsid w:val="00186EE5"/>
    <w:rsid w:val="001874D7"/>
    <w:rsid w:val="00187B9E"/>
    <w:rsid w:val="001900C7"/>
    <w:rsid w:val="001903F5"/>
    <w:rsid w:val="001910A2"/>
    <w:rsid w:val="00191188"/>
    <w:rsid w:val="001911BB"/>
    <w:rsid w:val="00191308"/>
    <w:rsid w:val="00191A9E"/>
    <w:rsid w:val="00191D42"/>
    <w:rsid w:val="00192A8A"/>
    <w:rsid w:val="00192DC6"/>
    <w:rsid w:val="00192F5C"/>
    <w:rsid w:val="00193C8F"/>
    <w:rsid w:val="00194013"/>
    <w:rsid w:val="001942E7"/>
    <w:rsid w:val="001945C8"/>
    <w:rsid w:val="00194A76"/>
    <w:rsid w:val="00194AAE"/>
    <w:rsid w:val="00194B60"/>
    <w:rsid w:val="00194EA4"/>
    <w:rsid w:val="00195A45"/>
    <w:rsid w:val="00195D19"/>
    <w:rsid w:val="00195DF5"/>
    <w:rsid w:val="00195F0C"/>
    <w:rsid w:val="00196774"/>
    <w:rsid w:val="00196A24"/>
    <w:rsid w:val="00196E13"/>
    <w:rsid w:val="00197396"/>
    <w:rsid w:val="0019756C"/>
    <w:rsid w:val="00197D54"/>
    <w:rsid w:val="001A0867"/>
    <w:rsid w:val="001A0FC3"/>
    <w:rsid w:val="001A1303"/>
    <w:rsid w:val="001A1B29"/>
    <w:rsid w:val="001A1E8A"/>
    <w:rsid w:val="001A26B9"/>
    <w:rsid w:val="001A2F96"/>
    <w:rsid w:val="001A327A"/>
    <w:rsid w:val="001A3352"/>
    <w:rsid w:val="001A33F3"/>
    <w:rsid w:val="001A3695"/>
    <w:rsid w:val="001A3C7D"/>
    <w:rsid w:val="001A4052"/>
    <w:rsid w:val="001A436B"/>
    <w:rsid w:val="001A44AA"/>
    <w:rsid w:val="001A4A74"/>
    <w:rsid w:val="001A4BBA"/>
    <w:rsid w:val="001A59BB"/>
    <w:rsid w:val="001A5A0F"/>
    <w:rsid w:val="001A5B24"/>
    <w:rsid w:val="001A5B3F"/>
    <w:rsid w:val="001A5C62"/>
    <w:rsid w:val="001A63B0"/>
    <w:rsid w:val="001A6592"/>
    <w:rsid w:val="001A6B09"/>
    <w:rsid w:val="001A6B1D"/>
    <w:rsid w:val="001A6B48"/>
    <w:rsid w:val="001A7246"/>
    <w:rsid w:val="001A726C"/>
    <w:rsid w:val="001A756C"/>
    <w:rsid w:val="001A7720"/>
    <w:rsid w:val="001A77F8"/>
    <w:rsid w:val="001B0108"/>
    <w:rsid w:val="001B017B"/>
    <w:rsid w:val="001B085E"/>
    <w:rsid w:val="001B08FF"/>
    <w:rsid w:val="001B0D05"/>
    <w:rsid w:val="001B0D7F"/>
    <w:rsid w:val="001B0FA5"/>
    <w:rsid w:val="001B1256"/>
    <w:rsid w:val="001B1992"/>
    <w:rsid w:val="001B1B2B"/>
    <w:rsid w:val="001B1CD9"/>
    <w:rsid w:val="001B204A"/>
    <w:rsid w:val="001B2370"/>
    <w:rsid w:val="001B2AD7"/>
    <w:rsid w:val="001B2D49"/>
    <w:rsid w:val="001B2ED0"/>
    <w:rsid w:val="001B32D1"/>
    <w:rsid w:val="001B330C"/>
    <w:rsid w:val="001B332D"/>
    <w:rsid w:val="001B36F4"/>
    <w:rsid w:val="001B387D"/>
    <w:rsid w:val="001B45A7"/>
    <w:rsid w:val="001B49A0"/>
    <w:rsid w:val="001B57E8"/>
    <w:rsid w:val="001B6624"/>
    <w:rsid w:val="001B6D41"/>
    <w:rsid w:val="001B6E7E"/>
    <w:rsid w:val="001B71D2"/>
    <w:rsid w:val="001B7B35"/>
    <w:rsid w:val="001B7C04"/>
    <w:rsid w:val="001B7E65"/>
    <w:rsid w:val="001C045F"/>
    <w:rsid w:val="001C047F"/>
    <w:rsid w:val="001C07CD"/>
    <w:rsid w:val="001C145F"/>
    <w:rsid w:val="001C158E"/>
    <w:rsid w:val="001C15EA"/>
    <w:rsid w:val="001C1AE6"/>
    <w:rsid w:val="001C2103"/>
    <w:rsid w:val="001C2198"/>
    <w:rsid w:val="001C2489"/>
    <w:rsid w:val="001C2510"/>
    <w:rsid w:val="001C2788"/>
    <w:rsid w:val="001C2CCA"/>
    <w:rsid w:val="001C31C0"/>
    <w:rsid w:val="001C35C1"/>
    <w:rsid w:val="001C3788"/>
    <w:rsid w:val="001C40E3"/>
    <w:rsid w:val="001C4657"/>
    <w:rsid w:val="001C4823"/>
    <w:rsid w:val="001C5162"/>
    <w:rsid w:val="001C5290"/>
    <w:rsid w:val="001C5E6E"/>
    <w:rsid w:val="001C66DE"/>
    <w:rsid w:val="001C71FB"/>
    <w:rsid w:val="001C72A9"/>
    <w:rsid w:val="001C735C"/>
    <w:rsid w:val="001C73A0"/>
    <w:rsid w:val="001C78A3"/>
    <w:rsid w:val="001D064C"/>
    <w:rsid w:val="001D0889"/>
    <w:rsid w:val="001D11E7"/>
    <w:rsid w:val="001D134B"/>
    <w:rsid w:val="001D15F7"/>
    <w:rsid w:val="001D223D"/>
    <w:rsid w:val="001D2D53"/>
    <w:rsid w:val="001D2F46"/>
    <w:rsid w:val="001D34EA"/>
    <w:rsid w:val="001D39F8"/>
    <w:rsid w:val="001D3B02"/>
    <w:rsid w:val="001D46AE"/>
    <w:rsid w:val="001D47F4"/>
    <w:rsid w:val="001D49B3"/>
    <w:rsid w:val="001D4BC0"/>
    <w:rsid w:val="001D5D1A"/>
    <w:rsid w:val="001D5E1B"/>
    <w:rsid w:val="001D5FC7"/>
    <w:rsid w:val="001D6139"/>
    <w:rsid w:val="001D6167"/>
    <w:rsid w:val="001D63D0"/>
    <w:rsid w:val="001D6714"/>
    <w:rsid w:val="001D67A6"/>
    <w:rsid w:val="001D6A81"/>
    <w:rsid w:val="001D6D81"/>
    <w:rsid w:val="001D74A8"/>
    <w:rsid w:val="001D76AB"/>
    <w:rsid w:val="001D78C3"/>
    <w:rsid w:val="001E01C6"/>
    <w:rsid w:val="001E04BC"/>
    <w:rsid w:val="001E04F9"/>
    <w:rsid w:val="001E0766"/>
    <w:rsid w:val="001E093C"/>
    <w:rsid w:val="001E0D5C"/>
    <w:rsid w:val="001E174B"/>
    <w:rsid w:val="001E179D"/>
    <w:rsid w:val="001E1D0E"/>
    <w:rsid w:val="001E1DB7"/>
    <w:rsid w:val="001E1E00"/>
    <w:rsid w:val="001E2412"/>
    <w:rsid w:val="001E261C"/>
    <w:rsid w:val="001E28B4"/>
    <w:rsid w:val="001E2E11"/>
    <w:rsid w:val="001E3601"/>
    <w:rsid w:val="001E3629"/>
    <w:rsid w:val="001E3BB5"/>
    <w:rsid w:val="001E3E6C"/>
    <w:rsid w:val="001E43CC"/>
    <w:rsid w:val="001E48EA"/>
    <w:rsid w:val="001E4FD0"/>
    <w:rsid w:val="001E51A2"/>
    <w:rsid w:val="001E57CA"/>
    <w:rsid w:val="001E59A1"/>
    <w:rsid w:val="001E5CD5"/>
    <w:rsid w:val="001E6421"/>
    <w:rsid w:val="001E65DB"/>
    <w:rsid w:val="001E6674"/>
    <w:rsid w:val="001E67C2"/>
    <w:rsid w:val="001E6F78"/>
    <w:rsid w:val="001E6FA6"/>
    <w:rsid w:val="001E70EA"/>
    <w:rsid w:val="001E76D0"/>
    <w:rsid w:val="001E7FE0"/>
    <w:rsid w:val="001F0748"/>
    <w:rsid w:val="001F0774"/>
    <w:rsid w:val="001F0A72"/>
    <w:rsid w:val="001F1201"/>
    <w:rsid w:val="001F2252"/>
    <w:rsid w:val="001F22C7"/>
    <w:rsid w:val="001F2C32"/>
    <w:rsid w:val="001F302E"/>
    <w:rsid w:val="001F321F"/>
    <w:rsid w:val="001F3545"/>
    <w:rsid w:val="001F35A0"/>
    <w:rsid w:val="001F35D8"/>
    <w:rsid w:val="001F3C46"/>
    <w:rsid w:val="001F44D3"/>
    <w:rsid w:val="001F4765"/>
    <w:rsid w:val="001F4D56"/>
    <w:rsid w:val="001F4EF4"/>
    <w:rsid w:val="001F4FCD"/>
    <w:rsid w:val="001F5040"/>
    <w:rsid w:val="001F58E8"/>
    <w:rsid w:val="001F5A12"/>
    <w:rsid w:val="001F5BF9"/>
    <w:rsid w:val="001F5C11"/>
    <w:rsid w:val="001F618A"/>
    <w:rsid w:val="001F61BB"/>
    <w:rsid w:val="001F6460"/>
    <w:rsid w:val="001F6826"/>
    <w:rsid w:val="001F6E03"/>
    <w:rsid w:val="001F6FE2"/>
    <w:rsid w:val="001F7585"/>
    <w:rsid w:val="001F75CA"/>
    <w:rsid w:val="001F75D2"/>
    <w:rsid w:val="001F75DA"/>
    <w:rsid w:val="001F797E"/>
    <w:rsid w:val="001F79DC"/>
    <w:rsid w:val="001F7BC3"/>
    <w:rsid w:val="002000F7"/>
    <w:rsid w:val="00200671"/>
    <w:rsid w:val="00201327"/>
    <w:rsid w:val="002018AA"/>
    <w:rsid w:val="00201CDB"/>
    <w:rsid w:val="00201E4A"/>
    <w:rsid w:val="00201F6D"/>
    <w:rsid w:val="0020269C"/>
    <w:rsid w:val="0020272B"/>
    <w:rsid w:val="00202C52"/>
    <w:rsid w:val="00202D57"/>
    <w:rsid w:val="00202F7A"/>
    <w:rsid w:val="0020352B"/>
    <w:rsid w:val="002038BE"/>
    <w:rsid w:val="00203F91"/>
    <w:rsid w:val="00203FB5"/>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886"/>
    <w:rsid w:val="00207E74"/>
    <w:rsid w:val="00207FA6"/>
    <w:rsid w:val="00210085"/>
    <w:rsid w:val="00210137"/>
    <w:rsid w:val="00210B5C"/>
    <w:rsid w:val="00210C96"/>
    <w:rsid w:val="00210D2E"/>
    <w:rsid w:val="00211075"/>
    <w:rsid w:val="00211747"/>
    <w:rsid w:val="002117DD"/>
    <w:rsid w:val="00211AC7"/>
    <w:rsid w:val="00212101"/>
    <w:rsid w:val="00212459"/>
    <w:rsid w:val="0021258C"/>
    <w:rsid w:val="0021308F"/>
    <w:rsid w:val="00213177"/>
    <w:rsid w:val="0021322C"/>
    <w:rsid w:val="00213867"/>
    <w:rsid w:val="00213B2D"/>
    <w:rsid w:val="00214138"/>
    <w:rsid w:val="002143CB"/>
    <w:rsid w:val="002146AD"/>
    <w:rsid w:val="002146FB"/>
    <w:rsid w:val="00214B49"/>
    <w:rsid w:val="00214B83"/>
    <w:rsid w:val="00214F53"/>
    <w:rsid w:val="002152A5"/>
    <w:rsid w:val="00215A33"/>
    <w:rsid w:val="00215E28"/>
    <w:rsid w:val="00215E95"/>
    <w:rsid w:val="0021635D"/>
    <w:rsid w:val="002167E2"/>
    <w:rsid w:val="00216940"/>
    <w:rsid w:val="00216F32"/>
    <w:rsid w:val="002174E7"/>
    <w:rsid w:val="00217836"/>
    <w:rsid w:val="002201E2"/>
    <w:rsid w:val="002204F3"/>
    <w:rsid w:val="00220782"/>
    <w:rsid w:val="00221061"/>
    <w:rsid w:val="00221E74"/>
    <w:rsid w:val="00222825"/>
    <w:rsid w:val="00222F2D"/>
    <w:rsid w:val="0022327F"/>
    <w:rsid w:val="0022339A"/>
    <w:rsid w:val="002239F4"/>
    <w:rsid w:val="002247B9"/>
    <w:rsid w:val="0022483C"/>
    <w:rsid w:val="00224E36"/>
    <w:rsid w:val="002255AF"/>
    <w:rsid w:val="00226017"/>
    <w:rsid w:val="00226225"/>
    <w:rsid w:val="0022661F"/>
    <w:rsid w:val="00226A73"/>
    <w:rsid w:val="00226BF6"/>
    <w:rsid w:val="00227018"/>
    <w:rsid w:val="002279DA"/>
    <w:rsid w:val="00227AB5"/>
    <w:rsid w:val="00227E11"/>
    <w:rsid w:val="002301D1"/>
    <w:rsid w:val="00230259"/>
    <w:rsid w:val="00230BD8"/>
    <w:rsid w:val="00230E78"/>
    <w:rsid w:val="002310A3"/>
    <w:rsid w:val="00231477"/>
    <w:rsid w:val="002319D8"/>
    <w:rsid w:val="00231B63"/>
    <w:rsid w:val="002323B0"/>
    <w:rsid w:val="002324A5"/>
    <w:rsid w:val="0023294F"/>
    <w:rsid w:val="00232D3E"/>
    <w:rsid w:val="00233475"/>
    <w:rsid w:val="002335AF"/>
    <w:rsid w:val="002339CB"/>
    <w:rsid w:val="002339EF"/>
    <w:rsid w:val="00233B50"/>
    <w:rsid w:val="00233D6B"/>
    <w:rsid w:val="002341FD"/>
    <w:rsid w:val="0023491A"/>
    <w:rsid w:val="00235122"/>
    <w:rsid w:val="002353F9"/>
    <w:rsid w:val="00235540"/>
    <w:rsid w:val="00235711"/>
    <w:rsid w:val="00235C2B"/>
    <w:rsid w:val="00235CD3"/>
    <w:rsid w:val="00235D09"/>
    <w:rsid w:val="00235DCE"/>
    <w:rsid w:val="002361E7"/>
    <w:rsid w:val="0023624D"/>
    <w:rsid w:val="00236F82"/>
    <w:rsid w:val="002373DE"/>
    <w:rsid w:val="00237BAA"/>
    <w:rsid w:val="00240316"/>
    <w:rsid w:val="00240884"/>
    <w:rsid w:val="002408CA"/>
    <w:rsid w:val="002409B0"/>
    <w:rsid w:val="00240B13"/>
    <w:rsid w:val="00240F40"/>
    <w:rsid w:val="0024178C"/>
    <w:rsid w:val="00241BC8"/>
    <w:rsid w:val="00241F42"/>
    <w:rsid w:val="002421DA"/>
    <w:rsid w:val="002423B7"/>
    <w:rsid w:val="00242490"/>
    <w:rsid w:val="00242651"/>
    <w:rsid w:val="00242821"/>
    <w:rsid w:val="002429C2"/>
    <w:rsid w:val="00242BBE"/>
    <w:rsid w:val="00242DCD"/>
    <w:rsid w:val="00243090"/>
    <w:rsid w:val="00243399"/>
    <w:rsid w:val="00243A45"/>
    <w:rsid w:val="00243CF9"/>
    <w:rsid w:val="00243E1D"/>
    <w:rsid w:val="002443A2"/>
    <w:rsid w:val="002445E5"/>
    <w:rsid w:val="002448CB"/>
    <w:rsid w:val="0024522B"/>
    <w:rsid w:val="00245460"/>
    <w:rsid w:val="00245EE0"/>
    <w:rsid w:val="002460F3"/>
    <w:rsid w:val="002468C0"/>
    <w:rsid w:val="002469E9"/>
    <w:rsid w:val="00246B20"/>
    <w:rsid w:val="00246FF0"/>
    <w:rsid w:val="00247A71"/>
    <w:rsid w:val="00247B03"/>
    <w:rsid w:val="00247DAF"/>
    <w:rsid w:val="00247FFA"/>
    <w:rsid w:val="002505EC"/>
    <w:rsid w:val="002507F1"/>
    <w:rsid w:val="002508AB"/>
    <w:rsid w:val="00250A59"/>
    <w:rsid w:val="0025105B"/>
    <w:rsid w:val="00251255"/>
    <w:rsid w:val="00251326"/>
    <w:rsid w:val="0025187A"/>
    <w:rsid w:val="00251AD4"/>
    <w:rsid w:val="00252DEC"/>
    <w:rsid w:val="002533C2"/>
    <w:rsid w:val="002536AC"/>
    <w:rsid w:val="0025376B"/>
    <w:rsid w:val="00253C6D"/>
    <w:rsid w:val="00253FDA"/>
    <w:rsid w:val="0025402C"/>
    <w:rsid w:val="0025410D"/>
    <w:rsid w:val="0025426B"/>
    <w:rsid w:val="00254F12"/>
    <w:rsid w:val="002554D6"/>
    <w:rsid w:val="0025562D"/>
    <w:rsid w:val="00255632"/>
    <w:rsid w:val="0025626D"/>
    <w:rsid w:val="00256560"/>
    <w:rsid w:val="00256624"/>
    <w:rsid w:val="00257F30"/>
    <w:rsid w:val="00257FED"/>
    <w:rsid w:val="0026009E"/>
    <w:rsid w:val="002600A1"/>
    <w:rsid w:val="002607D8"/>
    <w:rsid w:val="0026099A"/>
    <w:rsid w:val="00260CB3"/>
    <w:rsid w:val="0026181D"/>
    <w:rsid w:val="00261B1F"/>
    <w:rsid w:val="00261BCC"/>
    <w:rsid w:val="00261BE8"/>
    <w:rsid w:val="00261C7F"/>
    <w:rsid w:val="00261EE0"/>
    <w:rsid w:val="00262168"/>
    <w:rsid w:val="002622B0"/>
    <w:rsid w:val="0026258F"/>
    <w:rsid w:val="002629DD"/>
    <w:rsid w:val="00262ACE"/>
    <w:rsid w:val="00262B31"/>
    <w:rsid w:val="00262DA2"/>
    <w:rsid w:val="002633AF"/>
    <w:rsid w:val="002635FC"/>
    <w:rsid w:val="00263A79"/>
    <w:rsid w:val="00264C6B"/>
    <w:rsid w:val="00264C82"/>
    <w:rsid w:val="00264FD6"/>
    <w:rsid w:val="00265477"/>
    <w:rsid w:val="00265569"/>
    <w:rsid w:val="0026557C"/>
    <w:rsid w:val="00265C0D"/>
    <w:rsid w:val="00265D70"/>
    <w:rsid w:val="00265DE2"/>
    <w:rsid w:val="002661A2"/>
    <w:rsid w:val="0026655E"/>
    <w:rsid w:val="00266DAF"/>
    <w:rsid w:val="00266E9F"/>
    <w:rsid w:val="002671CE"/>
    <w:rsid w:val="00267282"/>
    <w:rsid w:val="0026756C"/>
    <w:rsid w:val="002676DE"/>
    <w:rsid w:val="0027011C"/>
    <w:rsid w:val="00270243"/>
    <w:rsid w:val="002702A8"/>
    <w:rsid w:val="00270627"/>
    <w:rsid w:val="00270817"/>
    <w:rsid w:val="00270869"/>
    <w:rsid w:val="0027086E"/>
    <w:rsid w:val="0027087B"/>
    <w:rsid w:val="0027116D"/>
    <w:rsid w:val="002715E9"/>
    <w:rsid w:val="0027194F"/>
    <w:rsid w:val="002719F2"/>
    <w:rsid w:val="00272360"/>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3E"/>
    <w:rsid w:val="002753CD"/>
    <w:rsid w:val="00275582"/>
    <w:rsid w:val="002755F3"/>
    <w:rsid w:val="002769B4"/>
    <w:rsid w:val="00276A9F"/>
    <w:rsid w:val="0027709F"/>
    <w:rsid w:val="0027759D"/>
    <w:rsid w:val="00277CC4"/>
    <w:rsid w:val="002800EC"/>
    <w:rsid w:val="00280A6F"/>
    <w:rsid w:val="002810E7"/>
    <w:rsid w:val="002812CE"/>
    <w:rsid w:val="002813DE"/>
    <w:rsid w:val="00281C53"/>
    <w:rsid w:val="00281EBC"/>
    <w:rsid w:val="002823F1"/>
    <w:rsid w:val="0028253E"/>
    <w:rsid w:val="002826B7"/>
    <w:rsid w:val="00282716"/>
    <w:rsid w:val="002829A0"/>
    <w:rsid w:val="002829B5"/>
    <w:rsid w:val="00282B59"/>
    <w:rsid w:val="00282C88"/>
    <w:rsid w:val="00283AC7"/>
    <w:rsid w:val="00283C02"/>
    <w:rsid w:val="00283EA9"/>
    <w:rsid w:val="00283F74"/>
    <w:rsid w:val="00284287"/>
    <w:rsid w:val="00284456"/>
    <w:rsid w:val="00284922"/>
    <w:rsid w:val="00284B9E"/>
    <w:rsid w:val="00285350"/>
    <w:rsid w:val="002857D1"/>
    <w:rsid w:val="00285E27"/>
    <w:rsid w:val="0028623C"/>
    <w:rsid w:val="00286CD4"/>
    <w:rsid w:val="00287757"/>
    <w:rsid w:val="00287881"/>
    <w:rsid w:val="00287E0B"/>
    <w:rsid w:val="002901CD"/>
    <w:rsid w:val="002902D6"/>
    <w:rsid w:val="00290549"/>
    <w:rsid w:val="002908BA"/>
    <w:rsid w:val="00290A59"/>
    <w:rsid w:val="00290C29"/>
    <w:rsid w:val="00290CBC"/>
    <w:rsid w:val="00291105"/>
    <w:rsid w:val="002917DA"/>
    <w:rsid w:val="00291AB8"/>
    <w:rsid w:val="00291CB7"/>
    <w:rsid w:val="00292442"/>
    <w:rsid w:val="00292945"/>
    <w:rsid w:val="00292951"/>
    <w:rsid w:val="00293237"/>
    <w:rsid w:val="002932B2"/>
    <w:rsid w:val="0029360F"/>
    <w:rsid w:val="002946CD"/>
    <w:rsid w:val="00294B76"/>
    <w:rsid w:val="00294BD5"/>
    <w:rsid w:val="0029507F"/>
    <w:rsid w:val="002953E2"/>
    <w:rsid w:val="002956B8"/>
    <w:rsid w:val="0029579B"/>
    <w:rsid w:val="00295B4A"/>
    <w:rsid w:val="00295CE4"/>
    <w:rsid w:val="00295F38"/>
    <w:rsid w:val="00295FA2"/>
    <w:rsid w:val="00296456"/>
    <w:rsid w:val="00296ABF"/>
    <w:rsid w:val="00296C8A"/>
    <w:rsid w:val="0029721B"/>
    <w:rsid w:val="002975D7"/>
    <w:rsid w:val="002977C9"/>
    <w:rsid w:val="00297960"/>
    <w:rsid w:val="00297C2D"/>
    <w:rsid w:val="002A0097"/>
    <w:rsid w:val="002A0121"/>
    <w:rsid w:val="002A012A"/>
    <w:rsid w:val="002A0A44"/>
    <w:rsid w:val="002A1002"/>
    <w:rsid w:val="002A11B8"/>
    <w:rsid w:val="002A120A"/>
    <w:rsid w:val="002A16B3"/>
    <w:rsid w:val="002A175E"/>
    <w:rsid w:val="002A1929"/>
    <w:rsid w:val="002A1ACC"/>
    <w:rsid w:val="002A26A8"/>
    <w:rsid w:val="002A3124"/>
    <w:rsid w:val="002A3299"/>
    <w:rsid w:val="002A344D"/>
    <w:rsid w:val="002A38CE"/>
    <w:rsid w:val="002A3D3F"/>
    <w:rsid w:val="002A4E2C"/>
    <w:rsid w:val="002A4F2A"/>
    <w:rsid w:val="002A5F7A"/>
    <w:rsid w:val="002A6225"/>
    <w:rsid w:val="002A648F"/>
    <w:rsid w:val="002A65DF"/>
    <w:rsid w:val="002A662A"/>
    <w:rsid w:val="002A6863"/>
    <w:rsid w:val="002A7363"/>
    <w:rsid w:val="002A73A1"/>
    <w:rsid w:val="002A7ACA"/>
    <w:rsid w:val="002A7D81"/>
    <w:rsid w:val="002A7FE1"/>
    <w:rsid w:val="002B001D"/>
    <w:rsid w:val="002B00A0"/>
    <w:rsid w:val="002B06D1"/>
    <w:rsid w:val="002B0874"/>
    <w:rsid w:val="002B0881"/>
    <w:rsid w:val="002B08D7"/>
    <w:rsid w:val="002B09B1"/>
    <w:rsid w:val="002B0D60"/>
    <w:rsid w:val="002B118F"/>
    <w:rsid w:val="002B16D2"/>
    <w:rsid w:val="002B1D36"/>
    <w:rsid w:val="002B23F8"/>
    <w:rsid w:val="002B270E"/>
    <w:rsid w:val="002B3E05"/>
    <w:rsid w:val="002B3F94"/>
    <w:rsid w:val="002B4681"/>
    <w:rsid w:val="002B4A7C"/>
    <w:rsid w:val="002B561A"/>
    <w:rsid w:val="002B5C76"/>
    <w:rsid w:val="002B5C9D"/>
    <w:rsid w:val="002B60CC"/>
    <w:rsid w:val="002B63C6"/>
    <w:rsid w:val="002B6635"/>
    <w:rsid w:val="002B6B22"/>
    <w:rsid w:val="002B7185"/>
    <w:rsid w:val="002B742D"/>
    <w:rsid w:val="002B78A9"/>
    <w:rsid w:val="002B78E8"/>
    <w:rsid w:val="002B790E"/>
    <w:rsid w:val="002B79D7"/>
    <w:rsid w:val="002B7B5A"/>
    <w:rsid w:val="002B7D64"/>
    <w:rsid w:val="002C02B3"/>
    <w:rsid w:val="002C03AB"/>
    <w:rsid w:val="002C03EE"/>
    <w:rsid w:val="002C0569"/>
    <w:rsid w:val="002C0E91"/>
    <w:rsid w:val="002C1035"/>
    <w:rsid w:val="002C13AE"/>
    <w:rsid w:val="002C13E8"/>
    <w:rsid w:val="002C19FC"/>
    <w:rsid w:val="002C1A34"/>
    <w:rsid w:val="002C1FE4"/>
    <w:rsid w:val="002C22CB"/>
    <w:rsid w:val="002C273C"/>
    <w:rsid w:val="002C2A75"/>
    <w:rsid w:val="002C3122"/>
    <w:rsid w:val="002C35FF"/>
    <w:rsid w:val="002C37A5"/>
    <w:rsid w:val="002C446F"/>
    <w:rsid w:val="002C4EBE"/>
    <w:rsid w:val="002C4FF0"/>
    <w:rsid w:val="002C55A7"/>
    <w:rsid w:val="002C5D9A"/>
    <w:rsid w:val="002C6412"/>
    <w:rsid w:val="002C67BA"/>
    <w:rsid w:val="002C6858"/>
    <w:rsid w:val="002C687F"/>
    <w:rsid w:val="002C6BBF"/>
    <w:rsid w:val="002C6D32"/>
    <w:rsid w:val="002C7140"/>
    <w:rsid w:val="002C7147"/>
    <w:rsid w:val="002C76FE"/>
    <w:rsid w:val="002D0681"/>
    <w:rsid w:val="002D078E"/>
    <w:rsid w:val="002D09DA"/>
    <w:rsid w:val="002D0FCB"/>
    <w:rsid w:val="002D10C1"/>
    <w:rsid w:val="002D11F9"/>
    <w:rsid w:val="002D1BB5"/>
    <w:rsid w:val="002D21C9"/>
    <w:rsid w:val="002D2577"/>
    <w:rsid w:val="002D2A80"/>
    <w:rsid w:val="002D2AB4"/>
    <w:rsid w:val="002D2AFC"/>
    <w:rsid w:val="002D2D1D"/>
    <w:rsid w:val="002D3284"/>
    <w:rsid w:val="002D3E4D"/>
    <w:rsid w:val="002D48D3"/>
    <w:rsid w:val="002D4B23"/>
    <w:rsid w:val="002D536B"/>
    <w:rsid w:val="002D5456"/>
    <w:rsid w:val="002D649D"/>
    <w:rsid w:val="002D7612"/>
    <w:rsid w:val="002D7AA5"/>
    <w:rsid w:val="002D7F08"/>
    <w:rsid w:val="002E0002"/>
    <w:rsid w:val="002E0116"/>
    <w:rsid w:val="002E01AA"/>
    <w:rsid w:val="002E02A0"/>
    <w:rsid w:val="002E03B0"/>
    <w:rsid w:val="002E044D"/>
    <w:rsid w:val="002E0AA8"/>
    <w:rsid w:val="002E0ED2"/>
    <w:rsid w:val="002E1116"/>
    <w:rsid w:val="002E17D7"/>
    <w:rsid w:val="002E1F33"/>
    <w:rsid w:val="002E2024"/>
    <w:rsid w:val="002E22BE"/>
    <w:rsid w:val="002E2436"/>
    <w:rsid w:val="002E2A06"/>
    <w:rsid w:val="002E3000"/>
    <w:rsid w:val="002E31E7"/>
    <w:rsid w:val="002E34C5"/>
    <w:rsid w:val="002E3829"/>
    <w:rsid w:val="002E3B71"/>
    <w:rsid w:val="002E3F24"/>
    <w:rsid w:val="002E4E4D"/>
    <w:rsid w:val="002E5337"/>
    <w:rsid w:val="002E5553"/>
    <w:rsid w:val="002E585E"/>
    <w:rsid w:val="002E5D2F"/>
    <w:rsid w:val="002E5D33"/>
    <w:rsid w:val="002E5E0C"/>
    <w:rsid w:val="002E6414"/>
    <w:rsid w:val="002E6528"/>
    <w:rsid w:val="002E681F"/>
    <w:rsid w:val="002E69AD"/>
    <w:rsid w:val="002E69F8"/>
    <w:rsid w:val="002E7236"/>
    <w:rsid w:val="002E7557"/>
    <w:rsid w:val="002E7784"/>
    <w:rsid w:val="002E7AF6"/>
    <w:rsid w:val="002E7BB7"/>
    <w:rsid w:val="002F0038"/>
    <w:rsid w:val="002F0183"/>
    <w:rsid w:val="002F07A6"/>
    <w:rsid w:val="002F0C7F"/>
    <w:rsid w:val="002F0FDE"/>
    <w:rsid w:val="002F13C5"/>
    <w:rsid w:val="002F15F9"/>
    <w:rsid w:val="002F198D"/>
    <w:rsid w:val="002F1E3D"/>
    <w:rsid w:val="002F2402"/>
    <w:rsid w:val="002F2A86"/>
    <w:rsid w:val="002F2BAF"/>
    <w:rsid w:val="002F2D90"/>
    <w:rsid w:val="002F2DC3"/>
    <w:rsid w:val="002F3731"/>
    <w:rsid w:val="002F3E51"/>
    <w:rsid w:val="002F41ED"/>
    <w:rsid w:val="002F4448"/>
    <w:rsid w:val="002F4C0A"/>
    <w:rsid w:val="002F5105"/>
    <w:rsid w:val="002F5718"/>
    <w:rsid w:val="002F5853"/>
    <w:rsid w:val="002F647B"/>
    <w:rsid w:val="002F6E1A"/>
    <w:rsid w:val="002F7513"/>
    <w:rsid w:val="002F7A0A"/>
    <w:rsid w:val="002F7B51"/>
    <w:rsid w:val="002F7E61"/>
    <w:rsid w:val="00300581"/>
    <w:rsid w:val="00300A07"/>
    <w:rsid w:val="00300DB5"/>
    <w:rsid w:val="0030113D"/>
    <w:rsid w:val="00301647"/>
    <w:rsid w:val="003017A9"/>
    <w:rsid w:val="00301914"/>
    <w:rsid w:val="0030192B"/>
    <w:rsid w:val="00301ABE"/>
    <w:rsid w:val="0030259D"/>
    <w:rsid w:val="00302822"/>
    <w:rsid w:val="00302A0C"/>
    <w:rsid w:val="00302ACE"/>
    <w:rsid w:val="00302B66"/>
    <w:rsid w:val="00302ED5"/>
    <w:rsid w:val="003032FA"/>
    <w:rsid w:val="00303508"/>
    <w:rsid w:val="00303E0A"/>
    <w:rsid w:val="00304070"/>
    <w:rsid w:val="0030427C"/>
    <w:rsid w:val="00304AC1"/>
    <w:rsid w:val="00304B96"/>
    <w:rsid w:val="003055C4"/>
    <w:rsid w:val="00305796"/>
    <w:rsid w:val="00305B2B"/>
    <w:rsid w:val="00305DAB"/>
    <w:rsid w:val="003060A8"/>
    <w:rsid w:val="00306252"/>
    <w:rsid w:val="0030641F"/>
    <w:rsid w:val="00306727"/>
    <w:rsid w:val="00306831"/>
    <w:rsid w:val="00307DFA"/>
    <w:rsid w:val="0031041C"/>
    <w:rsid w:val="0031053E"/>
    <w:rsid w:val="00310CC1"/>
    <w:rsid w:val="00311133"/>
    <w:rsid w:val="003119B0"/>
    <w:rsid w:val="0031211F"/>
    <w:rsid w:val="0031266F"/>
    <w:rsid w:val="00312A7C"/>
    <w:rsid w:val="00312EB3"/>
    <w:rsid w:val="003134AD"/>
    <w:rsid w:val="00313761"/>
    <w:rsid w:val="00313F3C"/>
    <w:rsid w:val="00314088"/>
    <w:rsid w:val="00314235"/>
    <w:rsid w:val="00314B3B"/>
    <w:rsid w:val="00315198"/>
    <w:rsid w:val="003151C6"/>
    <w:rsid w:val="003153A1"/>
    <w:rsid w:val="00315B21"/>
    <w:rsid w:val="00315DC5"/>
    <w:rsid w:val="00315F1B"/>
    <w:rsid w:val="00316561"/>
    <w:rsid w:val="00316DFD"/>
    <w:rsid w:val="00316E1E"/>
    <w:rsid w:val="00316EE4"/>
    <w:rsid w:val="003172A7"/>
    <w:rsid w:val="003178C3"/>
    <w:rsid w:val="00317954"/>
    <w:rsid w:val="00317D2D"/>
    <w:rsid w:val="00317F17"/>
    <w:rsid w:val="00320BBE"/>
    <w:rsid w:val="00321095"/>
    <w:rsid w:val="003214C0"/>
    <w:rsid w:val="00321517"/>
    <w:rsid w:val="0032157F"/>
    <w:rsid w:val="003216CD"/>
    <w:rsid w:val="00321A79"/>
    <w:rsid w:val="00322318"/>
    <w:rsid w:val="00322DC2"/>
    <w:rsid w:val="003239FF"/>
    <w:rsid w:val="00323B3A"/>
    <w:rsid w:val="00323EFB"/>
    <w:rsid w:val="00324524"/>
    <w:rsid w:val="003246ED"/>
    <w:rsid w:val="0032487E"/>
    <w:rsid w:val="00325018"/>
    <w:rsid w:val="00325069"/>
    <w:rsid w:val="00325A9E"/>
    <w:rsid w:val="00325BB2"/>
    <w:rsid w:val="00325E0A"/>
    <w:rsid w:val="0032622C"/>
    <w:rsid w:val="00326A25"/>
    <w:rsid w:val="00326E64"/>
    <w:rsid w:val="003270C2"/>
    <w:rsid w:val="003278BA"/>
    <w:rsid w:val="00327AC2"/>
    <w:rsid w:val="003306A2"/>
    <w:rsid w:val="00330D46"/>
    <w:rsid w:val="00331625"/>
    <w:rsid w:val="0033166B"/>
    <w:rsid w:val="00331931"/>
    <w:rsid w:val="00331A9F"/>
    <w:rsid w:val="00331C3A"/>
    <w:rsid w:val="00331FD2"/>
    <w:rsid w:val="003322D0"/>
    <w:rsid w:val="00332F2C"/>
    <w:rsid w:val="00333033"/>
    <w:rsid w:val="0033314C"/>
    <w:rsid w:val="00333179"/>
    <w:rsid w:val="003332E8"/>
    <w:rsid w:val="003337C6"/>
    <w:rsid w:val="00333D25"/>
    <w:rsid w:val="003340B8"/>
    <w:rsid w:val="0033440F"/>
    <w:rsid w:val="003347F7"/>
    <w:rsid w:val="00334875"/>
    <w:rsid w:val="003348C6"/>
    <w:rsid w:val="0033537E"/>
    <w:rsid w:val="0033557A"/>
    <w:rsid w:val="0033582B"/>
    <w:rsid w:val="0033628F"/>
    <w:rsid w:val="0033686F"/>
    <w:rsid w:val="0033688B"/>
    <w:rsid w:val="00337111"/>
    <w:rsid w:val="003371AE"/>
    <w:rsid w:val="00337408"/>
    <w:rsid w:val="00337585"/>
    <w:rsid w:val="00337868"/>
    <w:rsid w:val="0033797E"/>
    <w:rsid w:val="00340621"/>
    <w:rsid w:val="003408F0"/>
    <w:rsid w:val="00340F88"/>
    <w:rsid w:val="0034114D"/>
    <w:rsid w:val="003411FE"/>
    <w:rsid w:val="00341D4C"/>
    <w:rsid w:val="00341F59"/>
    <w:rsid w:val="0034207F"/>
    <w:rsid w:val="00342297"/>
    <w:rsid w:val="00342316"/>
    <w:rsid w:val="0034248C"/>
    <w:rsid w:val="003425C3"/>
    <w:rsid w:val="003425DD"/>
    <w:rsid w:val="00342E83"/>
    <w:rsid w:val="00343100"/>
    <w:rsid w:val="0034312E"/>
    <w:rsid w:val="00343537"/>
    <w:rsid w:val="00343AA5"/>
    <w:rsid w:val="00343DDD"/>
    <w:rsid w:val="00343F93"/>
    <w:rsid w:val="00344669"/>
    <w:rsid w:val="0034494D"/>
    <w:rsid w:val="00344AB7"/>
    <w:rsid w:val="00344D6E"/>
    <w:rsid w:val="003456FF"/>
    <w:rsid w:val="003457F1"/>
    <w:rsid w:val="00345FCD"/>
    <w:rsid w:val="003463CC"/>
    <w:rsid w:val="003466F7"/>
    <w:rsid w:val="00346ADF"/>
    <w:rsid w:val="00347812"/>
    <w:rsid w:val="00347C3F"/>
    <w:rsid w:val="0035068B"/>
    <w:rsid w:val="003507E6"/>
    <w:rsid w:val="00351996"/>
    <w:rsid w:val="00351B0C"/>
    <w:rsid w:val="00351C28"/>
    <w:rsid w:val="0035206E"/>
    <w:rsid w:val="003521D1"/>
    <w:rsid w:val="00352E5F"/>
    <w:rsid w:val="00353E5F"/>
    <w:rsid w:val="00353F59"/>
    <w:rsid w:val="003541B7"/>
    <w:rsid w:val="003544C2"/>
    <w:rsid w:val="00354A7F"/>
    <w:rsid w:val="00354CBE"/>
    <w:rsid w:val="00355335"/>
    <w:rsid w:val="00355826"/>
    <w:rsid w:val="00355864"/>
    <w:rsid w:val="003558F6"/>
    <w:rsid w:val="00355FA7"/>
    <w:rsid w:val="0035601F"/>
    <w:rsid w:val="00356026"/>
    <w:rsid w:val="003563B4"/>
    <w:rsid w:val="00356A79"/>
    <w:rsid w:val="00357160"/>
    <w:rsid w:val="00360094"/>
    <w:rsid w:val="00360175"/>
    <w:rsid w:val="0036022E"/>
    <w:rsid w:val="003609C1"/>
    <w:rsid w:val="00360DE0"/>
    <w:rsid w:val="003611E9"/>
    <w:rsid w:val="0036126C"/>
    <w:rsid w:val="00361ECA"/>
    <w:rsid w:val="0036200D"/>
    <w:rsid w:val="0036258B"/>
    <w:rsid w:val="00362602"/>
    <w:rsid w:val="00362729"/>
    <w:rsid w:val="00362A66"/>
    <w:rsid w:val="00362A68"/>
    <w:rsid w:val="00362BE1"/>
    <w:rsid w:val="003636D0"/>
    <w:rsid w:val="003636D4"/>
    <w:rsid w:val="00363F02"/>
    <w:rsid w:val="0036415B"/>
    <w:rsid w:val="00364559"/>
    <w:rsid w:val="00365903"/>
    <w:rsid w:val="0036592A"/>
    <w:rsid w:val="00365E86"/>
    <w:rsid w:val="00365FE5"/>
    <w:rsid w:val="0036600D"/>
    <w:rsid w:val="00366B4B"/>
    <w:rsid w:val="00366DD6"/>
    <w:rsid w:val="00366E1B"/>
    <w:rsid w:val="0036739A"/>
    <w:rsid w:val="003673A9"/>
    <w:rsid w:val="0036747C"/>
    <w:rsid w:val="0036747E"/>
    <w:rsid w:val="00367848"/>
    <w:rsid w:val="003679E7"/>
    <w:rsid w:val="00367C4D"/>
    <w:rsid w:val="00367D00"/>
    <w:rsid w:val="00370000"/>
    <w:rsid w:val="00370065"/>
    <w:rsid w:val="0037030E"/>
    <w:rsid w:val="00370C5B"/>
    <w:rsid w:val="003718C3"/>
    <w:rsid w:val="00371A0A"/>
    <w:rsid w:val="00371A85"/>
    <w:rsid w:val="00371E29"/>
    <w:rsid w:val="003727CD"/>
    <w:rsid w:val="00372DF8"/>
    <w:rsid w:val="003731E8"/>
    <w:rsid w:val="0037329C"/>
    <w:rsid w:val="00373597"/>
    <w:rsid w:val="00373BBE"/>
    <w:rsid w:val="003749AE"/>
    <w:rsid w:val="003749DD"/>
    <w:rsid w:val="00374D57"/>
    <w:rsid w:val="003751B6"/>
    <w:rsid w:val="003753F7"/>
    <w:rsid w:val="003756A1"/>
    <w:rsid w:val="0037592B"/>
    <w:rsid w:val="00375A62"/>
    <w:rsid w:val="00375A74"/>
    <w:rsid w:val="00375DE3"/>
    <w:rsid w:val="00376369"/>
    <w:rsid w:val="003763C4"/>
    <w:rsid w:val="0037653C"/>
    <w:rsid w:val="00376EF3"/>
    <w:rsid w:val="00376FAE"/>
    <w:rsid w:val="00376FEE"/>
    <w:rsid w:val="0037727C"/>
    <w:rsid w:val="00377487"/>
    <w:rsid w:val="00377A63"/>
    <w:rsid w:val="003803CA"/>
    <w:rsid w:val="00380438"/>
    <w:rsid w:val="0038051D"/>
    <w:rsid w:val="00380BCA"/>
    <w:rsid w:val="00380BE2"/>
    <w:rsid w:val="00380D28"/>
    <w:rsid w:val="003811F9"/>
    <w:rsid w:val="0038146C"/>
    <w:rsid w:val="003815F1"/>
    <w:rsid w:val="003817EC"/>
    <w:rsid w:val="003820EB"/>
    <w:rsid w:val="003823FF"/>
    <w:rsid w:val="003824AA"/>
    <w:rsid w:val="00382AA9"/>
    <w:rsid w:val="00383367"/>
    <w:rsid w:val="003837A0"/>
    <w:rsid w:val="00383FF6"/>
    <w:rsid w:val="0038400F"/>
    <w:rsid w:val="00384122"/>
    <w:rsid w:val="00384ADF"/>
    <w:rsid w:val="00384E94"/>
    <w:rsid w:val="00384FF4"/>
    <w:rsid w:val="0038559E"/>
    <w:rsid w:val="00386B09"/>
    <w:rsid w:val="00386D61"/>
    <w:rsid w:val="00387193"/>
    <w:rsid w:val="00387232"/>
    <w:rsid w:val="003874F7"/>
    <w:rsid w:val="00387B6A"/>
    <w:rsid w:val="003911E0"/>
    <w:rsid w:val="003912A1"/>
    <w:rsid w:val="00391D16"/>
    <w:rsid w:val="00392593"/>
    <w:rsid w:val="00392B47"/>
    <w:rsid w:val="00392F4B"/>
    <w:rsid w:val="0039314E"/>
    <w:rsid w:val="00393FAA"/>
    <w:rsid w:val="0039415F"/>
    <w:rsid w:val="00394307"/>
    <w:rsid w:val="0039477E"/>
    <w:rsid w:val="00394873"/>
    <w:rsid w:val="003948BD"/>
    <w:rsid w:val="00395144"/>
    <w:rsid w:val="003952D1"/>
    <w:rsid w:val="003954A4"/>
    <w:rsid w:val="00396C39"/>
    <w:rsid w:val="00396D03"/>
    <w:rsid w:val="003970D2"/>
    <w:rsid w:val="003972D7"/>
    <w:rsid w:val="003972DF"/>
    <w:rsid w:val="003975FB"/>
    <w:rsid w:val="003978F8"/>
    <w:rsid w:val="00397903"/>
    <w:rsid w:val="003A040B"/>
    <w:rsid w:val="003A0468"/>
    <w:rsid w:val="003A0705"/>
    <w:rsid w:val="003A1206"/>
    <w:rsid w:val="003A1D25"/>
    <w:rsid w:val="003A2BFF"/>
    <w:rsid w:val="003A2FE3"/>
    <w:rsid w:val="003A3301"/>
    <w:rsid w:val="003A373B"/>
    <w:rsid w:val="003A3855"/>
    <w:rsid w:val="003A3ACA"/>
    <w:rsid w:val="003A3D15"/>
    <w:rsid w:val="003A3D8A"/>
    <w:rsid w:val="003A3E19"/>
    <w:rsid w:val="003A3E80"/>
    <w:rsid w:val="003A3F2F"/>
    <w:rsid w:val="003A402A"/>
    <w:rsid w:val="003A414F"/>
    <w:rsid w:val="003A4515"/>
    <w:rsid w:val="003A4666"/>
    <w:rsid w:val="003A4896"/>
    <w:rsid w:val="003A4C25"/>
    <w:rsid w:val="003A4C4E"/>
    <w:rsid w:val="003A4E80"/>
    <w:rsid w:val="003A4FCB"/>
    <w:rsid w:val="003A50BD"/>
    <w:rsid w:val="003A52C2"/>
    <w:rsid w:val="003A538F"/>
    <w:rsid w:val="003A5792"/>
    <w:rsid w:val="003A5DC8"/>
    <w:rsid w:val="003A5E0B"/>
    <w:rsid w:val="003A607D"/>
    <w:rsid w:val="003A6384"/>
    <w:rsid w:val="003A7302"/>
    <w:rsid w:val="003A73B6"/>
    <w:rsid w:val="003A75E6"/>
    <w:rsid w:val="003A7A8E"/>
    <w:rsid w:val="003A7AFC"/>
    <w:rsid w:val="003A7D99"/>
    <w:rsid w:val="003A7E54"/>
    <w:rsid w:val="003A7E6D"/>
    <w:rsid w:val="003B0139"/>
    <w:rsid w:val="003B0AC8"/>
    <w:rsid w:val="003B0FCB"/>
    <w:rsid w:val="003B1493"/>
    <w:rsid w:val="003B1499"/>
    <w:rsid w:val="003B1604"/>
    <w:rsid w:val="003B1966"/>
    <w:rsid w:val="003B1A16"/>
    <w:rsid w:val="003B1D62"/>
    <w:rsid w:val="003B1F7B"/>
    <w:rsid w:val="003B21FD"/>
    <w:rsid w:val="003B2810"/>
    <w:rsid w:val="003B29C1"/>
    <w:rsid w:val="003B2C2B"/>
    <w:rsid w:val="003B2E0D"/>
    <w:rsid w:val="003B2F4B"/>
    <w:rsid w:val="003B3687"/>
    <w:rsid w:val="003B3A12"/>
    <w:rsid w:val="003B3D40"/>
    <w:rsid w:val="003B443D"/>
    <w:rsid w:val="003B4750"/>
    <w:rsid w:val="003B47C3"/>
    <w:rsid w:val="003B4B9E"/>
    <w:rsid w:val="003B53BD"/>
    <w:rsid w:val="003B5600"/>
    <w:rsid w:val="003B57ED"/>
    <w:rsid w:val="003B5908"/>
    <w:rsid w:val="003B68B1"/>
    <w:rsid w:val="003B6C97"/>
    <w:rsid w:val="003B71A1"/>
    <w:rsid w:val="003B7362"/>
    <w:rsid w:val="003B74BE"/>
    <w:rsid w:val="003B75ED"/>
    <w:rsid w:val="003B7771"/>
    <w:rsid w:val="003B781C"/>
    <w:rsid w:val="003C0011"/>
    <w:rsid w:val="003C0A6C"/>
    <w:rsid w:val="003C0D9C"/>
    <w:rsid w:val="003C117A"/>
    <w:rsid w:val="003C1A11"/>
    <w:rsid w:val="003C1F69"/>
    <w:rsid w:val="003C25F9"/>
    <w:rsid w:val="003C2BDA"/>
    <w:rsid w:val="003C2C0D"/>
    <w:rsid w:val="003C2C66"/>
    <w:rsid w:val="003C300B"/>
    <w:rsid w:val="003C30EC"/>
    <w:rsid w:val="003C390B"/>
    <w:rsid w:val="003C3B57"/>
    <w:rsid w:val="003C5140"/>
    <w:rsid w:val="003C52E7"/>
    <w:rsid w:val="003C5A7C"/>
    <w:rsid w:val="003C6914"/>
    <w:rsid w:val="003C6AD5"/>
    <w:rsid w:val="003C6ECF"/>
    <w:rsid w:val="003C75D1"/>
    <w:rsid w:val="003C7903"/>
    <w:rsid w:val="003C7D07"/>
    <w:rsid w:val="003D0221"/>
    <w:rsid w:val="003D05F7"/>
    <w:rsid w:val="003D079C"/>
    <w:rsid w:val="003D1B95"/>
    <w:rsid w:val="003D2616"/>
    <w:rsid w:val="003D2A34"/>
    <w:rsid w:val="003D2B0E"/>
    <w:rsid w:val="003D2FC3"/>
    <w:rsid w:val="003D3028"/>
    <w:rsid w:val="003D38BF"/>
    <w:rsid w:val="003D3FBD"/>
    <w:rsid w:val="003D4029"/>
    <w:rsid w:val="003D432D"/>
    <w:rsid w:val="003D44EC"/>
    <w:rsid w:val="003D4BC2"/>
    <w:rsid w:val="003D4E8A"/>
    <w:rsid w:val="003D4F8B"/>
    <w:rsid w:val="003D5307"/>
    <w:rsid w:val="003D6672"/>
    <w:rsid w:val="003D66C9"/>
    <w:rsid w:val="003D6B48"/>
    <w:rsid w:val="003D7007"/>
    <w:rsid w:val="003D70B4"/>
    <w:rsid w:val="003D70C8"/>
    <w:rsid w:val="003E00FF"/>
    <w:rsid w:val="003E0531"/>
    <w:rsid w:val="003E07D5"/>
    <w:rsid w:val="003E0F7A"/>
    <w:rsid w:val="003E0F81"/>
    <w:rsid w:val="003E11F5"/>
    <w:rsid w:val="003E13A4"/>
    <w:rsid w:val="003E1457"/>
    <w:rsid w:val="003E194B"/>
    <w:rsid w:val="003E1BAD"/>
    <w:rsid w:val="003E240E"/>
    <w:rsid w:val="003E2451"/>
    <w:rsid w:val="003E26E7"/>
    <w:rsid w:val="003E2EB9"/>
    <w:rsid w:val="003E2FEB"/>
    <w:rsid w:val="003E329B"/>
    <w:rsid w:val="003E3AD8"/>
    <w:rsid w:val="003E3F3F"/>
    <w:rsid w:val="003E4645"/>
    <w:rsid w:val="003E47FB"/>
    <w:rsid w:val="003E4809"/>
    <w:rsid w:val="003E482A"/>
    <w:rsid w:val="003E48F1"/>
    <w:rsid w:val="003E5011"/>
    <w:rsid w:val="003E548A"/>
    <w:rsid w:val="003E55A4"/>
    <w:rsid w:val="003E63BD"/>
    <w:rsid w:val="003E6915"/>
    <w:rsid w:val="003E7083"/>
    <w:rsid w:val="003E7163"/>
    <w:rsid w:val="003E7911"/>
    <w:rsid w:val="003E7DAE"/>
    <w:rsid w:val="003F009A"/>
    <w:rsid w:val="003F065A"/>
    <w:rsid w:val="003F0C12"/>
    <w:rsid w:val="003F0C2C"/>
    <w:rsid w:val="003F0C6C"/>
    <w:rsid w:val="003F0E9C"/>
    <w:rsid w:val="003F11BA"/>
    <w:rsid w:val="003F17A1"/>
    <w:rsid w:val="003F1A32"/>
    <w:rsid w:val="003F1A90"/>
    <w:rsid w:val="003F1C36"/>
    <w:rsid w:val="003F1C5B"/>
    <w:rsid w:val="003F1DFD"/>
    <w:rsid w:val="003F1ED4"/>
    <w:rsid w:val="003F289E"/>
    <w:rsid w:val="003F3164"/>
    <w:rsid w:val="003F3345"/>
    <w:rsid w:val="003F3506"/>
    <w:rsid w:val="003F38A2"/>
    <w:rsid w:val="003F3A15"/>
    <w:rsid w:val="003F3E86"/>
    <w:rsid w:val="003F3EEF"/>
    <w:rsid w:val="003F3FCF"/>
    <w:rsid w:val="003F43E9"/>
    <w:rsid w:val="003F449D"/>
    <w:rsid w:val="003F493C"/>
    <w:rsid w:val="003F5080"/>
    <w:rsid w:val="003F5238"/>
    <w:rsid w:val="003F596E"/>
    <w:rsid w:val="003F5A35"/>
    <w:rsid w:val="003F5B72"/>
    <w:rsid w:val="003F5B7D"/>
    <w:rsid w:val="003F5E44"/>
    <w:rsid w:val="003F6637"/>
    <w:rsid w:val="003F6BDD"/>
    <w:rsid w:val="003F6E1D"/>
    <w:rsid w:val="003F6F4B"/>
    <w:rsid w:val="003F71AF"/>
    <w:rsid w:val="003F7344"/>
    <w:rsid w:val="003F774D"/>
    <w:rsid w:val="003F782D"/>
    <w:rsid w:val="003F7C1A"/>
    <w:rsid w:val="003F7EFB"/>
    <w:rsid w:val="00400036"/>
    <w:rsid w:val="00400258"/>
    <w:rsid w:val="00400DCF"/>
    <w:rsid w:val="00400F59"/>
    <w:rsid w:val="004012A4"/>
    <w:rsid w:val="00401BF0"/>
    <w:rsid w:val="00401FF1"/>
    <w:rsid w:val="00402141"/>
    <w:rsid w:val="0040216D"/>
    <w:rsid w:val="0040219D"/>
    <w:rsid w:val="004024A9"/>
    <w:rsid w:val="004028A1"/>
    <w:rsid w:val="004028D1"/>
    <w:rsid w:val="0040292D"/>
    <w:rsid w:val="00402A47"/>
    <w:rsid w:val="00402CE5"/>
    <w:rsid w:val="00402F20"/>
    <w:rsid w:val="004030D9"/>
    <w:rsid w:val="0040337A"/>
    <w:rsid w:val="00403413"/>
    <w:rsid w:val="004034E3"/>
    <w:rsid w:val="00403B47"/>
    <w:rsid w:val="00403C26"/>
    <w:rsid w:val="00403D9C"/>
    <w:rsid w:val="00404524"/>
    <w:rsid w:val="00404DEE"/>
    <w:rsid w:val="00405A58"/>
    <w:rsid w:val="00405C7A"/>
    <w:rsid w:val="0040698A"/>
    <w:rsid w:val="00406CEA"/>
    <w:rsid w:val="0040743E"/>
    <w:rsid w:val="004075D4"/>
    <w:rsid w:val="0040777B"/>
    <w:rsid w:val="00407885"/>
    <w:rsid w:val="004100F3"/>
    <w:rsid w:val="00410659"/>
    <w:rsid w:val="00410FEC"/>
    <w:rsid w:val="004114CB"/>
    <w:rsid w:val="004115C6"/>
    <w:rsid w:val="00411642"/>
    <w:rsid w:val="004116F8"/>
    <w:rsid w:val="004118B2"/>
    <w:rsid w:val="00412958"/>
    <w:rsid w:val="00412A85"/>
    <w:rsid w:val="004133EE"/>
    <w:rsid w:val="00413AAE"/>
    <w:rsid w:val="0041436F"/>
    <w:rsid w:val="004144C0"/>
    <w:rsid w:val="00414C7D"/>
    <w:rsid w:val="00414F4F"/>
    <w:rsid w:val="00415843"/>
    <w:rsid w:val="00415B2D"/>
    <w:rsid w:val="00415D09"/>
    <w:rsid w:val="00416026"/>
    <w:rsid w:val="00416180"/>
    <w:rsid w:val="00416230"/>
    <w:rsid w:val="00416661"/>
    <w:rsid w:val="00416945"/>
    <w:rsid w:val="00416B32"/>
    <w:rsid w:val="00416FC0"/>
    <w:rsid w:val="00417039"/>
    <w:rsid w:val="00417333"/>
    <w:rsid w:val="004178B0"/>
    <w:rsid w:val="00417BBD"/>
    <w:rsid w:val="00417EBE"/>
    <w:rsid w:val="00417FA6"/>
    <w:rsid w:val="00420898"/>
    <w:rsid w:val="00420BE8"/>
    <w:rsid w:val="00420E14"/>
    <w:rsid w:val="004214B5"/>
    <w:rsid w:val="00421D9C"/>
    <w:rsid w:val="004222DD"/>
    <w:rsid w:val="0042359A"/>
    <w:rsid w:val="00423876"/>
    <w:rsid w:val="0042392C"/>
    <w:rsid w:val="00423BC4"/>
    <w:rsid w:val="00423CA1"/>
    <w:rsid w:val="00423F1F"/>
    <w:rsid w:val="0042404A"/>
    <w:rsid w:val="00424085"/>
    <w:rsid w:val="0042459F"/>
    <w:rsid w:val="004245F7"/>
    <w:rsid w:val="004247A7"/>
    <w:rsid w:val="00424BD2"/>
    <w:rsid w:val="004250D8"/>
    <w:rsid w:val="00425114"/>
    <w:rsid w:val="004253CE"/>
    <w:rsid w:val="004255B5"/>
    <w:rsid w:val="0042583F"/>
    <w:rsid w:val="004258F2"/>
    <w:rsid w:val="0042596B"/>
    <w:rsid w:val="00425A28"/>
    <w:rsid w:val="00425FE5"/>
    <w:rsid w:val="00426153"/>
    <w:rsid w:val="00426526"/>
    <w:rsid w:val="00426985"/>
    <w:rsid w:val="00426B93"/>
    <w:rsid w:val="00426C8A"/>
    <w:rsid w:val="00427021"/>
    <w:rsid w:val="00427211"/>
    <w:rsid w:val="00427279"/>
    <w:rsid w:val="00427555"/>
    <w:rsid w:val="00427786"/>
    <w:rsid w:val="00427835"/>
    <w:rsid w:val="004302B1"/>
    <w:rsid w:val="00430302"/>
    <w:rsid w:val="0043079E"/>
    <w:rsid w:val="00430D33"/>
    <w:rsid w:val="00430EFD"/>
    <w:rsid w:val="0043117D"/>
    <w:rsid w:val="0043171D"/>
    <w:rsid w:val="00431825"/>
    <w:rsid w:val="00431AF5"/>
    <w:rsid w:val="00431B86"/>
    <w:rsid w:val="00431EF3"/>
    <w:rsid w:val="0043270B"/>
    <w:rsid w:val="004328CE"/>
    <w:rsid w:val="0043293F"/>
    <w:rsid w:val="00432E2E"/>
    <w:rsid w:val="004335DB"/>
    <w:rsid w:val="00433853"/>
    <w:rsid w:val="00433BC1"/>
    <w:rsid w:val="00433BD5"/>
    <w:rsid w:val="00433CEF"/>
    <w:rsid w:val="00433F43"/>
    <w:rsid w:val="004342DF"/>
    <w:rsid w:val="004343B1"/>
    <w:rsid w:val="0043446C"/>
    <w:rsid w:val="004348E6"/>
    <w:rsid w:val="00434A81"/>
    <w:rsid w:val="00434ACE"/>
    <w:rsid w:val="00435F95"/>
    <w:rsid w:val="00436175"/>
    <w:rsid w:val="00436860"/>
    <w:rsid w:val="004371A0"/>
    <w:rsid w:val="00437284"/>
    <w:rsid w:val="00437842"/>
    <w:rsid w:val="00437C9B"/>
    <w:rsid w:val="00437F3B"/>
    <w:rsid w:val="00440146"/>
    <w:rsid w:val="004401D7"/>
    <w:rsid w:val="0044145F"/>
    <w:rsid w:val="0044148B"/>
    <w:rsid w:val="004415AD"/>
    <w:rsid w:val="00441811"/>
    <w:rsid w:val="00441D94"/>
    <w:rsid w:val="0044218D"/>
    <w:rsid w:val="00442B8D"/>
    <w:rsid w:val="004435BE"/>
    <w:rsid w:val="004436B0"/>
    <w:rsid w:val="004439FC"/>
    <w:rsid w:val="00443F49"/>
    <w:rsid w:val="00443F62"/>
    <w:rsid w:val="00444235"/>
    <w:rsid w:val="00444286"/>
    <w:rsid w:val="00444B64"/>
    <w:rsid w:val="00444D80"/>
    <w:rsid w:val="004451D2"/>
    <w:rsid w:val="00445724"/>
    <w:rsid w:val="00445A23"/>
    <w:rsid w:val="00445AA2"/>
    <w:rsid w:val="00445B0B"/>
    <w:rsid w:val="0044611A"/>
    <w:rsid w:val="00446B9A"/>
    <w:rsid w:val="00446EF6"/>
    <w:rsid w:val="00447172"/>
    <w:rsid w:val="004474A0"/>
    <w:rsid w:val="00447EE4"/>
    <w:rsid w:val="004502DD"/>
    <w:rsid w:val="0045033B"/>
    <w:rsid w:val="00450439"/>
    <w:rsid w:val="00450C74"/>
    <w:rsid w:val="0045185B"/>
    <w:rsid w:val="00451D86"/>
    <w:rsid w:val="004521BF"/>
    <w:rsid w:val="00452294"/>
    <w:rsid w:val="00452568"/>
    <w:rsid w:val="00452678"/>
    <w:rsid w:val="00452C67"/>
    <w:rsid w:val="00452FEF"/>
    <w:rsid w:val="004530E9"/>
    <w:rsid w:val="00453216"/>
    <w:rsid w:val="00453399"/>
    <w:rsid w:val="004536F4"/>
    <w:rsid w:val="0045376B"/>
    <w:rsid w:val="00453B3B"/>
    <w:rsid w:val="00453C80"/>
    <w:rsid w:val="00453DED"/>
    <w:rsid w:val="00454104"/>
    <w:rsid w:val="004546C8"/>
    <w:rsid w:val="004547DD"/>
    <w:rsid w:val="00454D17"/>
    <w:rsid w:val="00454E6C"/>
    <w:rsid w:val="004550C6"/>
    <w:rsid w:val="004551B7"/>
    <w:rsid w:val="0045537A"/>
    <w:rsid w:val="00455422"/>
    <w:rsid w:val="00455597"/>
    <w:rsid w:val="0045575A"/>
    <w:rsid w:val="0045586B"/>
    <w:rsid w:val="00455994"/>
    <w:rsid w:val="00455D8F"/>
    <w:rsid w:val="00455DD0"/>
    <w:rsid w:val="00455FB7"/>
    <w:rsid w:val="00456293"/>
    <w:rsid w:val="004564C2"/>
    <w:rsid w:val="004565E0"/>
    <w:rsid w:val="00456D93"/>
    <w:rsid w:val="00456F3C"/>
    <w:rsid w:val="0045706A"/>
    <w:rsid w:val="004572BE"/>
    <w:rsid w:val="00457877"/>
    <w:rsid w:val="00457963"/>
    <w:rsid w:val="0045796F"/>
    <w:rsid w:val="00460A74"/>
    <w:rsid w:val="00460B70"/>
    <w:rsid w:val="00460EB8"/>
    <w:rsid w:val="004611BC"/>
    <w:rsid w:val="004611D7"/>
    <w:rsid w:val="004611F2"/>
    <w:rsid w:val="004616F2"/>
    <w:rsid w:val="00461991"/>
    <w:rsid w:val="004620C7"/>
    <w:rsid w:val="00462258"/>
    <w:rsid w:val="00462C55"/>
    <w:rsid w:val="00462FF2"/>
    <w:rsid w:val="00463436"/>
    <w:rsid w:val="00463E1E"/>
    <w:rsid w:val="00464136"/>
    <w:rsid w:val="0046413C"/>
    <w:rsid w:val="004646F8"/>
    <w:rsid w:val="00464A44"/>
    <w:rsid w:val="0046505F"/>
    <w:rsid w:val="004652E5"/>
    <w:rsid w:val="00465844"/>
    <w:rsid w:val="004658A0"/>
    <w:rsid w:val="00465F13"/>
    <w:rsid w:val="00466199"/>
    <w:rsid w:val="004664F8"/>
    <w:rsid w:val="00467141"/>
    <w:rsid w:val="004672B1"/>
    <w:rsid w:val="004673DE"/>
    <w:rsid w:val="00467742"/>
    <w:rsid w:val="00467B0C"/>
    <w:rsid w:val="00467BF7"/>
    <w:rsid w:val="00467E43"/>
    <w:rsid w:val="00470039"/>
    <w:rsid w:val="004704E2"/>
    <w:rsid w:val="00470753"/>
    <w:rsid w:val="0047080B"/>
    <w:rsid w:val="00470869"/>
    <w:rsid w:val="00471446"/>
    <w:rsid w:val="0047175B"/>
    <w:rsid w:val="0047196B"/>
    <w:rsid w:val="00472451"/>
    <w:rsid w:val="004724E8"/>
    <w:rsid w:val="004727C4"/>
    <w:rsid w:val="00472EC8"/>
    <w:rsid w:val="00472F53"/>
    <w:rsid w:val="00473074"/>
    <w:rsid w:val="00473623"/>
    <w:rsid w:val="00473E66"/>
    <w:rsid w:val="00474212"/>
    <w:rsid w:val="00474214"/>
    <w:rsid w:val="004744DC"/>
    <w:rsid w:val="00474E0F"/>
    <w:rsid w:val="00475145"/>
    <w:rsid w:val="00475624"/>
    <w:rsid w:val="004756C3"/>
    <w:rsid w:val="00475765"/>
    <w:rsid w:val="00475C60"/>
    <w:rsid w:val="00475CBB"/>
    <w:rsid w:val="00475F2F"/>
    <w:rsid w:val="00476141"/>
    <w:rsid w:val="00476168"/>
    <w:rsid w:val="004768BC"/>
    <w:rsid w:val="00477040"/>
    <w:rsid w:val="00477361"/>
    <w:rsid w:val="004776A7"/>
    <w:rsid w:val="004777FB"/>
    <w:rsid w:val="004800A5"/>
    <w:rsid w:val="0048018E"/>
    <w:rsid w:val="0048059B"/>
    <w:rsid w:val="00480DC6"/>
    <w:rsid w:val="00481412"/>
    <w:rsid w:val="00481674"/>
    <w:rsid w:val="00481819"/>
    <w:rsid w:val="0048191B"/>
    <w:rsid w:val="00481A08"/>
    <w:rsid w:val="00481D82"/>
    <w:rsid w:val="00481DB8"/>
    <w:rsid w:val="00481EB7"/>
    <w:rsid w:val="00482114"/>
    <w:rsid w:val="004822B8"/>
    <w:rsid w:val="0048263F"/>
    <w:rsid w:val="00482677"/>
    <w:rsid w:val="00482D14"/>
    <w:rsid w:val="00482E90"/>
    <w:rsid w:val="004831EE"/>
    <w:rsid w:val="0048370C"/>
    <w:rsid w:val="0048372C"/>
    <w:rsid w:val="0048381D"/>
    <w:rsid w:val="00483D8C"/>
    <w:rsid w:val="00483FCF"/>
    <w:rsid w:val="00484B9A"/>
    <w:rsid w:val="00484D6B"/>
    <w:rsid w:val="00484F7A"/>
    <w:rsid w:val="004853A2"/>
    <w:rsid w:val="00485885"/>
    <w:rsid w:val="00486301"/>
    <w:rsid w:val="0048667B"/>
    <w:rsid w:val="0048668F"/>
    <w:rsid w:val="0048671E"/>
    <w:rsid w:val="00486FC3"/>
    <w:rsid w:val="004874B9"/>
    <w:rsid w:val="00487817"/>
    <w:rsid w:val="00487A04"/>
    <w:rsid w:val="00487AC3"/>
    <w:rsid w:val="00487B4F"/>
    <w:rsid w:val="00487C2C"/>
    <w:rsid w:val="004902CA"/>
    <w:rsid w:val="00490510"/>
    <w:rsid w:val="00490907"/>
    <w:rsid w:val="00490936"/>
    <w:rsid w:val="00490C15"/>
    <w:rsid w:val="00490C8A"/>
    <w:rsid w:val="004916FF"/>
    <w:rsid w:val="004918EE"/>
    <w:rsid w:val="00491D3B"/>
    <w:rsid w:val="00492DE1"/>
    <w:rsid w:val="00493124"/>
    <w:rsid w:val="004933D6"/>
    <w:rsid w:val="0049351D"/>
    <w:rsid w:val="004937A6"/>
    <w:rsid w:val="00493F24"/>
    <w:rsid w:val="00494252"/>
    <w:rsid w:val="00494274"/>
    <w:rsid w:val="004944B4"/>
    <w:rsid w:val="00494963"/>
    <w:rsid w:val="00494D37"/>
    <w:rsid w:val="00494F94"/>
    <w:rsid w:val="0049582F"/>
    <w:rsid w:val="004959B3"/>
    <w:rsid w:val="00495A5D"/>
    <w:rsid w:val="00495C62"/>
    <w:rsid w:val="0049608C"/>
    <w:rsid w:val="00496313"/>
    <w:rsid w:val="004968A0"/>
    <w:rsid w:val="00496AAB"/>
    <w:rsid w:val="00496C7C"/>
    <w:rsid w:val="004970E9"/>
    <w:rsid w:val="0049762C"/>
    <w:rsid w:val="00497A43"/>
    <w:rsid w:val="00497A91"/>
    <w:rsid w:val="00497F76"/>
    <w:rsid w:val="004A0129"/>
    <w:rsid w:val="004A0190"/>
    <w:rsid w:val="004A0DF7"/>
    <w:rsid w:val="004A0EB5"/>
    <w:rsid w:val="004A0EBB"/>
    <w:rsid w:val="004A1389"/>
    <w:rsid w:val="004A167F"/>
    <w:rsid w:val="004A17D8"/>
    <w:rsid w:val="004A1C1F"/>
    <w:rsid w:val="004A226C"/>
    <w:rsid w:val="004A246B"/>
    <w:rsid w:val="004A2AD0"/>
    <w:rsid w:val="004A2D3E"/>
    <w:rsid w:val="004A32E0"/>
    <w:rsid w:val="004A33A3"/>
    <w:rsid w:val="004A3A21"/>
    <w:rsid w:val="004A3B23"/>
    <w:rsid w:val="004A4596"/>
    <w:rsid w:val="004A4D43"/>
    <w:rsid w:val="004A54A4"/>
    <w:rsid w:val="004A5804"/>
    <w:rsid w:val="004A5BD7"/>
    <w:rsid w:val="004A5D5B"/>
    <w:rsid w:val="004A6286"/>
    <w:rsid w:val="004A641C"/>
    <w:rsid w:val="004A6F63"/>
    <w:rsid w:val="004A731E"/>
    <w:rsid w:val="004A7370"/>
    <w:rsid w:val="004B012B"/>
    <w:rsid w:val="004B106C"/>
    <w:rsid w:val="004B13E8"/>
    <w:rsid w:val="004B1B8B"/>
    <w:rsid w:val="004B1E98"/>
    <w:rsid w:val="004B244E"/>
    <w:rsid w:val="004B24B9"/>
    <w:rsid w:val="004B26FF"/>
    <w:rsid w:val="004B2721"/>
    <w:rsid w:val="004B2751"/>
    <w:rsid w:val="004B281B"/>
    <w:rsid w:val="004B314F"/>
    <w:rsid w:val="004B3187"/>
    <w:rsid w:val="004B40AB"/>
    <w:rsid w:val="004B444C"/>
    <w:rsid w:val="004B4954"/>
    <w:rsid w:val="004B4CE1"/>
    <w:rsid w:val="004B513E"/>
    <w:rsid w:val="004B5154"/>
    <w:rsid w:val="004B5875"/>
    <w:rsid w:val="004B5C76"/>
    <w:rsid w:val="004B66AE"/>
    <w:rsid w:val="004B6C25"/>
    <w:rsid w:val="004B6E08"/>
    <w:rsid w:val="004B70E7"/>
    <w:rsid w:val="004B72CE"/>
    <w:rsid w:val="004B7D09"/>
    <w:rsid w:val="004B7ED6"/>
    <w:rsid w:val="004C04E3"/>
    <w:rsid w:val="004C0BDF"/>
    <w:rsid w:val="004C1056"/>
    <w:rsid w:val="004C118A"/>
    <w:rsid w:val="004C1444"/>
    <w:rsid w:val="004C1624"/>
    <w:rsid w:val="004C1729"/>
    <w:rsid w:val="004C1BAC"/>
    <w:rsid w:val="004C1F02"/>
    <w:rsid w:val="004C2263"/>
    <w:rsid w:val="004C2381"/>
    <w:rsid w:val="004C2589"/>
    <w:rsid w:val="004C2DF8"/>
    <w:rsid w:val="004C2EC4"/>
    <w:rsid w:val="004C300E"/>
    <w:rsid w:val="004C315D"/>
    <w:rsid w:val="004C3BEE"/>
    <w:rsid w:val="004C4381"/>
    <w:rsid w:val="004C4701"/>
    <w:rsid w:val="004C47E5"/>
    <w:rsid w:val="004C4AF9"/>
    <w:rsid w:val="004C5059"/>
    <w:rsid w:val="004C5655"/>
    <w:rsid w:val="004C5672"/>
    <w:rsid w:val="004C57AD"/>
    <w:rsid w:val="004C60F5"/>
    <w:rsid w:val="004C630B"/>
    <w:rsid w:val="004C6429"/>
    <w:rsid w:val="004C6494"/>
    <w:rsid w:val="004C66B1"/>
    <w:rsid w:val="004C66CE"/>
    <w:rsid w:val="004C66EB"/>
    <w:rsid w:val="004C6BD5"/>
    <w:rsid w:val="004C6E0D"/>
    <w:rsid w:val="004C72DA"/>
    <w:rsid w:val="004C734B"/>
    <w:rsid w:val="004C77C7"/>
    <w:rsid w:val="004C79C1"/>
    <w:rsid w:val="004D085E"/>
    <w:rsid w:val="004D09C4"/>
    <w:rsid w:val="004D0B20"/>
    <w:rsid w:val="004D0D2A"/>
    <w:rsid w:val="004D0E09"/>
    <w:rsid w:val="004D17F8"/>
    <w:rsid w:val="004D1C51"/>
    <w:rsid w:val="004D1CD5"/>
    <w:rsid w:val="004D1F84"/>
    <w:rsid w:val="004D266E"/>
    <w:rsid w:val="004D387A"/>
    <w:rsid w:val="004D3AA5"/>
    <w:rsid w:val="004D3ACE"/>
    <w:rsid w:val="004D3D1E"/>
    <w:rsid w:val="004D4288"/>
    <w:rsid w:val="004D4AE2"/>
    <w:rsid w:val="004D4E1A"/>
    <w:rsid w:val="004D4E40"/>
    <w:rsid w:val="004D4FBD"/>
    <w:rsid w:val="004D5882"/>
    <w:rsid w:val="004D6821"/>
    <w:rsid w:val="004D6CFA"/>
    <w:rsid w:val="004D752C"/>
    <w:rsid w:val="004D7626"/>
    <w:rsid w:val="004D76BB"/>
    <w:rsid w:val="004D7A0D"/>
    <w:rsid w:val="004E0399"/>
    <w:rsid w:val="004E062C"/>
    <w:rsid w:val="004E08E2"/>
    <w:rsid w:val="004E0E3E"/>
    <w:rsid w:val="004E1CE0"/>
    <w:rsid w:val="004E22A8"/>
    <w:rsid w:val="004E236D"/>
    <w:rsid w:val="004E283A"/>
    <w:rsid w:val="004E2C28"/>
    <w:rsid w:val="004E2C7B"/>
    <w:rsid w:val="004E2E7E"/>
    <w:rsid w:val="004E36DF"/>
    <w:rsid w:val="004E382C"/>
    <w:rsid w:val="004E3860"/>
    <w:rsid w:val="004E3F1F"/>
    <w:rsid w:val="004E45EA"/>
    <w:rsid w:val="004E5182"/>
    <w:rsid w:val="004E51DB"/>
    <w:rsid w:val="004E5EA8"/>
    <w:rsid w:val="004E60F4"/>
    <w:rsid w:val="004E6AFA"/>
    <w:rsid w:val="004E6C3A"/>
    <w:rsid w:val="004E6D2C"/>
    <w:rsid w:val="004E6DDB"/>
    <w:rsid w:val="004E6EDB"/>
    <w:rsid w:val="004E7000"/>
    <w:rsid w:val="004E7689"/>
    <w:rsid w:val="004E78B5"/>
    <w:rsid w:val="004E7A32"/>
    <w:rsid w:val="004E7A6C"/>
    <w:rsid w:val="004E7FB0"/>
    <w:rsid w:val="004F03F3"/>
    <w:rsid w:val="004F0544"/>
    <w:rsid w:val="004F0CAA"/>
    <w:rsid w:val="004F0DA3"/>
    <w:rsid w:val="004F0E0D"/>
    <w:rsid w:val="004F0FB3"/>
    <w:rsid w:val="004F113C"/>
    <w:rsid w:val="004F12E7"/>
    <w:rsid w:val="004F1C43"/>
    <w:rsid w:val="004F22E4"/>
    <w:rsid w:val="004F267B"/>
    <w:rsid w:val="004F28B3"/>
    <w:rsid w:val="004F2B70"/>
    <w:rsid w:val="004F2F2C"/>
    <w:rsid w:val="004F40E5"/>
    <w:rsid w:val="004F41A6"/>
    <w:rsid w:val="004F43F8"/>
    <w:rsid w:val="004F444A"/>
    <w:rsid w:val="004F44A9"/>
    <w:rsid w:val="004F5359"/>
    <w:rsid w:val="004F5DB0"/>
    <w:rsid w:val="004F5FD5"/>
    <w:rsid w:val="004F6047"/>
    <w:rsid w:val="004F6959"/>
    <w:rsid w:val="004F698C"/>
    <w:rsid w:val="004F6B8D"/>
    <w:rsid w:val="004F6D6B"/>
    <w:rsid w:val="004F7BAE"/>
    <w:rsid w:val="004F7DA7"/>
    <w:rsid w:val="00500401"/>
    <w:rsid w:val="0050049D"/>
    <w:rsid w:val="0050070A"/>
    <w:rsid w:val="00500C6B"/>
    <w:rsid w:val="00500C99"/>
    <w:rsid w:val="0050115A"/>
    <w:rsid w:val="00501177"/>
    <w:rsid w:val="005014F2"/>
    <w:rsid w:val="00501901"/>
    <w:rsid w:val="0050214D"/>
    <w:rsid w:val="005021BD"/>
    <w:rsid w:val="00502B7F"/>
    <w:rsid w:val="00502F94"/>
    <w:rsid w:val="0050389E"/>
    <w:rsid w:val="005038D0"/>
    <w:rsid w:val="00503CC8"/>
    <w:rsid w:val="00503F05"/>
    <w:rsid w:val="00504037"/>
    <w:rsid w:val="005040D3"/>
    <w:rsid w:val="0050423A"/>
    <w:rsid w:val="005047D7"/>
    <w:rsid w:val="00505D82"/>
    <w:rsid w:val="00505E4F"/>
    <w:rsid w:val="005061C4"/>
    <w:rsid w:val="0050655A"/>
    <w:rsid w:val="0050698A"/>
    <w:rsid w:val="00506B38"/>
    <w:rsid w:val="00507541"/>
    <w:rsid w:val="00507966"/>
    <w:rsid w:val="00507B7B"/>
    <w:rsid w:val="00507E4A"/>
    <w:rsid w:val="00507F8E"/>
    <w:rsid w:val="00507FE8"/>
    <w:rsid w:val="00510502"/>
    <w:rsid w:val="00510836"/>
    <w:rsid w:val="00510E09"/>
    <w:rsid w:val="00510EB4"/>
    <w:rsid w:val="0051166C"/>
    <w:rsid w:val="00511DD3"/>
    <w:rsid w:val="0051287F"/>
    <w:rsid w:val="0051312D"/>
    <w:rsid w:val="0051335C"/>
    <w:rsid w:val="00513D22"/>
    <w:rsid w:val="00513DE9"/>
    <w:rsid w:val="005141FC"/>
    <w:rsid w:val="00514C53"/>
    <w:rsid w:val="00515025"/>
    <w:rsid w:val="0051558E"/>
    <w:rsid w:val="00515F30"/>
    <w:rsid w:val="0051613C"/>
    <w:rsid w:val="00516437"/>
    <w:rsid w:val="00517156"/>
    <w:rsid w:val="00517176"/>
    <w:rsid w:val="005171CD"/>
    <w:rsid w:val="00517237"/>
    <w:rsid w:val="005172CF"/>
    <w:rsid w:val="00517A77"/>
    <w:rsid w:val="00520DD8"/>
    <w:rsid w:val="005210D3"/>
    <w:rsid w:val="005211A1"/>
    <w:rsid w:val="00521461"/>
    <w:rsid w:val="0052161C"/>
    <w:rsid w:val="005217FD"/>
    <w:rsid w:val="00521E80"/>
    <w:rsid w:val="00522260"/>
    <w:rsid w:val="00522745"/>
    <w:rsid w:val="005229FE"/>
    <w:rsid w:val="00522CAE"/>
    <w:rsid w:val="00522D70"/>
    <w:rsid w:val="00522FB7"/>
    <w:rsid w:val="00523430"/>
    <w:rsid w:val="00523560"/>
    <w:rsid w:val="0052383B"/>
    <w:rsid w:val="005238DE"/>
    <w:rsid w:val="00523E2F"/>
    <w:rsid w:val="00524213"/>
    <w:rsid w:val="00524993"/>
    <w:rsid w:val="00524D86"/>
    <w:rsid w:val="00524EFB"/>
    <w:rsid w:val="00525264"/>
    <w:rsid w:val="005254C7"/>
    <w:rsid w:val="00525739"/>
    <w:rsid w:val="00525774"/>
    <w:rsid w:val="00525C91"/>
    <w:rsid w:val="0052662E"/>
    <w:rsid w:val="00526635"/>
    <w:rsid w:val="005269A1"/>
    <w:rsid w:val="00526FB4"/>
    <w:rsid w:val="0052706A"/>
    <w:rsid w:val="00527469"/>
    <w:rsid w:val="00527C7F"/>
    <w:rsid w:val="00531095"/>
    <w:rsid w:val="005310D1"/>
    <w:rsid w:val="0053113A"/>
    <w:rsid w:val="00531558"/>
    <w:rsid w:val="00531788"/>
    <w:rsid w:val="00531BE4"/>
    <w:rsid w:val="00531C6F"/>
    <w:rsid w:val="00532360"/>
    <w:rsid w:val="00532747"/>
    <w:rsid w:val="0053274D"/>
    <w:rsid w:val="005327B9"/>
    <w:rsid w:val="005327C0"/>
    <w:rsid w:val="00532BC4"/>
    <w:rsid w:val="00532D81"/>
    <w:rsid w:val="005339C4"/>
    <w:rsid w:val="00533BBC"/>
    <w:rsid w:val="00533F48"/>
    <w:rsid w:val="00533F9A"/>
    <w:rsid w:val="00533FF6"/>
    <w:rsid w:val="00534131"/>
    <w:rsid w:val="005345B0"/>
    <w:rsid w:val="00534899"/>
    <w:rsid w:val="00534A5A"/>
    <w:rsid w:val="00534DA9"/>
    <w:rsid w:val="0053503C"/>
    <w:rsid w:val="0053519F"/>
    <w:rsid w:val="0053536D"/>
    <w:rsid w:val="00535382"/>
    <w:rsid w:val="005356D1"/>
    <w:rsid w:val="0053596A"/>
    <w:rsid w:val="0053703D"/>
    <w:rsid w:val="005370D3"/>
    <w:rsid w:val="00537114"/>
    <w:rsid w:val="0053797F"/>
    <w:rsid w:val="00537C89"/>
    <w:rsid w:val="00537EC6"/>
    <w:rsid w:val="00537ED0"/>
    <w:rsid w:val="00541164"/>
    <w:rsid w:val="00541204"/>
    <w:rsid w:val="00541701"/>
    <w:rsid w:val="00541713"/>
    <w:rsid w:val="005418EF"/>
    <w:rsid w:val="00541BB2"/>
    <w:rsid w:val="00542301"/>
    <w:rsid w:val="00542303"/>
    <w:rsid w:val="005423F5"/>
    <w:rsid w:val="00542498"/>
    <w:rsid w:val="00542D41"/>
    <w:rsid w:val="00543087"/>
    <w:rsid w:val="00543155"/>
    <w:rsid w:val="005431F9"/>
    <w:rsid w:val="005438C9"/>
    <w:rsid w:val="005439EE"/>
    <w:rsid w:val="00543BD1"/>
    <w:rsid w:val="00543DF9"/>
    <w:rsid w:val="0054430D"/>
    <w:rsid w:val="00544871"/>
    <w:rsid w:val="00544D97"/>
    <w:rsid w:val="00544E32"/>
    <w:rsid w:val="00546234"/>
    <w:rsid w:val="00546313"/>
    <w:rsid w:val="00546374"/>
    <w:rsid w:val="005464A9"/>
    <w:rsid w:val="0054693B"/>
    <w:rsid w:val="00546BB4"/>
    <w:rsid w:val="005471ED"/>
    <w:rsid w:val="00547D4F"/>
    <w:rsid w:val="00547D9B"/>
    <w:rsid w:val="0055029B"/>
    <w:rsid w:val="00550377"/>
    <w:rsid w:val="00550921"/>
    <w:rsid w:val="00551248"/>
    <w:rsid w:val="005516A4"/>
    <w:rsid w:val="005517F9"/>
    <w:rsid w:val="00551B42"/>
    <w:rsid w:val="00551DF1"/>
    <w:rsid w:val="00552505"/>
    <w:rsid w:val="00552BB0"/>
    <w:rsid w:val="005542F9"/>
    <w:rsid w:val="00554A12"/>
    <w:rsid w:val="00554BD3"/>
    <w:rsid w:val="00554DE0"/>
    <w:rsid w:val="00554EA2"/>
    <w:rsid w:val="00555230"/>
    <w:rsid w:val="00555BDA"/>
    <w:rsid w:val="00556110"/>
    <w:rsid w:val="00556165"/>
    <w:rsid w:val="005567D1"/>
    <w:rsid w:val="00556938"/>
    <w:rsid w:val="00556BA9"/>
    <w:rsid w:val="00556EBA"/>
    <w:rsid w:val="00557176"/>
    <w:rsid w:val="00557491"/>
    <w:rsid w:val="00557CF6"/>
    <w:rsid w:val="005601B8"/>
    <w:rsid w:val="005602D3"/>
    <w:rsid w:val="0056073C"/>
    <w:rsid w:val="00560B95"/>
    <w:rsid w:val="00561AE9"/>
    <w:rsid w:val="00561B79"/>
    <w:rsid w:val="00561D8D"/>
    <w:rsid w:val="00562516"/>
    <w:rsid w:val="00562641"/>
    <w:rsid w:val="00562713"/>
    <w:rsid w:val="00562823"/>
    <w:rsid w:val="00562927"/>
    <w:rsid w:val="00562BEE"/>
    <w:rsid w:val="00562C57"/>
    <w:rsid w:val="00562C88"/>
    <w:rsid w:val="0056399B"/>
    <w:rsid w:val="00563C7A"/>
    <w:rsid w:val="00564388"/>
    <w:rsid w:val="00564630"/>
    <w:rsid w:val="00564637"/>
    <w:rsid w:val="0056463E"/>
    <w:rsid w:val="00564CF0"/>
    <w:rsid w:val="00564D74"/>
    <w:rsid w:val="00565168"/>
    <w:rsid w:val="005651F9"/>
    <w:rsid w:val="005654D3"/>
    <w:rsid w:val="00565672"/>
    <w:rsid w:val="005656E0"/>
    <w:rsid w:val="00565B78"/>
    <w:rsid w:val="00565C46"/>
    <w:rsid w:val="005664B7"/>
    <w:rsid w:val="005665E7"/>
    <w:rsid w:val="00566C49"/>
    <w:rsid w:val="00566D07"/>
    <w:rsid w:val="00566D20"/>
    <w:rsid w:val="00566E04"/>
    <w:rsid w:val="00567685"/>
    <w:rsid w:val="00567D02"/>
    <w:rsid w:val="00567D76"/>
    <w:rsid w:val="0057019D"/>
    <w:rsid w:val="0057036C"/>
    <w:rsid w:val="005717E2"/>
    <w:rsid w:val="00571AD4"/>
    <w:rsid w:val="005722F9"/>
    <w:rsid w:val="0057262E"/>
    <w:rsid w:val="00572853"/>
    <w:rsid w:val="00572D49"/>
    <w:rsid w:val="005733EF"/>
    <w:rsid w:val="0057392D"/>
    <w:rsid w:val="00573B31"/>
    <w:rsid w:val="00573C9A"/>
    <w:rsid w:val="00573E71"/>
    <w:rsid w:val="005743C2"/>
    <w:rsid w:val="00574B11"/>
    <w:rsid w:val="00574B82"/>
    <w:rsid w:val="00574EF0"/>
    <w:rsid w:val="0057545A"/>
    <w:rsid w:val="00575621"/>
    <w:rsid w:val="0057571F"/>
    <w:rsid w:val="005758B4"/>
    <w:rsid w:val="00575BCB"/>
    <w:rsid w:val="00575DAA"/>
    <w:rsid w:val="0057639F"/>
    <w:rsid w:val="0057643E"/>
    <w:rsid w:val="00576577"/>
    <w:rsid w:val="0057679A"/>
    <w:rsid w:val="00576B74"/>
    <w:rsid w:val="005775E8"/>
    <w:rsid w:val="0057774E"/>
    <w:rsid w:val="00577828"/>
    <w:rsid w:val="00577A46"/>
    <w:rsid w:val="005808C1"/>
    <w:rsid w:val="00580D1B"/>
    <w:rsid w:val="00581952"/>
    <w:rsid w:val="005819E4"/>
    <w:rsid w:val="00581C26"/>
    <w:rsid w:val="0058216A"/>
    <w:rsid w:val="005822D3"/>
    <w:rsid w:val="00582406"/>
    <w:rsid w:val="005824BF"/>
    <w:rsid w:val="00582ADA"/>
    <w:rsid w:val="00582B69"/>
    <w:rsid w:val="00582F97"/>
    <w:rsid w:val="00583138"/>
    <w:rsid w:val="005835F5"/>
    <w:rsid w:val="00583E18"/>
    <w:rsid w:val="00583FC7"/>
    <w:rsid w:val="005841FC"/>
    <w:rsid w:val="005843D3"/>
    <w:rsid w:val="005849AB"/>
    <w:rsid w:val="00584BB2"/>
    <w:rsid w:val="00584C06"/>
    <w:rsid w:val="0058538A"/>
    <w:rsid w:val="005855A4"/>
    <w:rsid w:val="005860DD"/>
    <w:rsid w:val="005860EA"/>
    <w:rsid w:val="00586102"/>
    <w:rsid w:val="00586134"/>
    <w:rsid w:val="0058629F"/>
    <w:rsid w:val="00586E8B"/>
    <w:rsid w:val="005870E3"/>
    <w:rsid w:val="00587149"/>
    <w:rsid w:val="005872F9"/>
    <w:rsid w:val="005879DA"/>
    <w:rsid w:val="00587DAA"/>
    <w:rsid w:val="0059024C"/>
    <w:rsid w:val="00590AEE"/>
    <w:rsid w:val="00591195"/>
    <w:rsid w:val="005914CB"/>
    <w:rsid w:val="005916FB"/>
    <w:rsid w:val="00591BB6"/>
    <w:rsid w:val="00591BC1"/>
    <w:rsid w:val="00591D0B"/>
    <w:rsid w:val="00592C65"/>
    <w:rsid w:val="00593174"/>
    <w:rsid w:val="00593334"/>
    <w:rsid w:val="0059378B"/>
    <w:rsid w:val="00593A09"/>
    <w:rsid w:val="00593D90"/>
    <w:rsid w:val="00593EF8"/>
    <w:rsid w:val="00594202"/>
    <w:rsid w:val="00594238"/>
    <w:rsid w:val="00594B88"/>
    <w:rsid w:val="0059548C"/>
    <w:rsid w:val="005956F6"/>
    <w:rsid w:val="0059591D"/>
    <w:rsid w:val="00595A22"/>
    <w:rsid w:val="00595AC6"/>
    <w:rsid w:val="00595C78"/>
    <w:rsid w:val="00595D1D"/>
    <w:rsid w:val="00596A6E"/>
    <w:rsid w:val="00596B04"/>
    <w:rsid w:val="00596CF7"/>
    <w:rsid w:val="00596F6F"/>
    <w:rsid w:val="0059706F"/>
    <w:rsid w:val="00597940"/>
    <w:rsid w:val="00597959"/>
    <w:rsid w:val="00597C60"/>
    <w:rsid w:val="005A018A"/>
    <w:rsid w:val="005A0266"/>
    <w:rsid w:val="005A02E9"/>
    <w:rsid w:val="005A070F"/>
    <w:rsid w:val="005A09FD"/>
    <w:rsid w:val="005A0F77"/>
    <w:rsid w:val="005A135A"/>
    <w:rsid w:val="005A187B"/>
    <w:rsid w:val="005A2B11"/>
    <w:rsid w:val="005A2FCF"/>
    <w:rsid w:val="005A3440"/>
    <w:rsid w:val="005A38D8"/>
    <w:rsid w:val="005A3D5C"/>
    <w:rsid w:val="005A446C"/>
    <w:rsid w:val="005A46E2"/>
    <w:rsid w:val="005A499B"/>
    <w:rsid w:val="005A4C65"/>
    <w:rsid w:val="005A4F7C"/>
    <w:rsid w:val="005A5C3A"/>
    <w:rsid w:val="005A62C9"/>
    <w:rsid w:val="005A65A1"/>
    <w:rsid w:val="005A67D7"/>
    <w:rsid w:val="005A6B62"/>
    <w:rsid w:val="005A6CE9"/>
    <w:rsid w:val="005A710B"/>
    <w:rsid w:val="005A73B1"/>
    <w:rsid w:val="005A758E"/>
    <w:rsid w:val="005A7A95"/>
    <w:rsid w:val="005B0545"/>
    <w:rsid w:val="005B12FA"/>
    <w:rsid w:val="005B1418"/>
    <w:rsid w:val="005B1444"/>
    <w:rsid w:val="005B1763"/>
    <w:rsid w:val="005B25B7"/>
    <w:rsid w:val="005B280F"/>
    <w:rsid w:val="005B2825"/>
    <w:rsid w:val="005B2946"/>
    <w:rsid w:val="005B2B51"/>
    <w:rsid w:val="005B3936"/>
    <w:rsid w:val="005B3F19"/>
    <w:rsid w:val="005B4923"/>
    <w:rsid w:val="005B4941"/>
    <w:rsid w:val="005B4D82"/>
    <w:rsid w:val="005B4E76"/>
    <w:rsid w:val="005B51C6"/>
    <w:rsid w:val="005B54A7"/>
    <w:rsid w:val="005B587B"/>
    <w:rsid w:val="005B5A1E"/>
    <w:rsid w:val="005B5DA0"/>
    <w:rsid w:val="005B66A6"/>
    <w:rsid w:val="005B6842"/>
    <w:rsid w:val="005B6B22"/>
    <w:rsid w:val="005B6DB4"/>
    <w:rsid w:val="005B7157"/>
    <w:rsid w:val="005B7607"/>
    <w:rsid w:val="005B784F"/>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2E4E"/>
    <w:rsid w:val="005C3285"/>
    <w:rsid w:val="005C370C"/>
    <w:rsid w:val="005C3989"/>
    <w:rsid w:val="005C3AFE"/>
    <w:rsid w:val="005C3EF5"/>
    <w:rsid w:val="005C3EFB"/>
    <w:rsid w:val="005C414A"/>
    <w:rsid w:val="005C4536"/>
    <w:rsid w:val="005C48BC"/>
    <w:rsid w:val="005C4A1F"/>
    <w:rsid w:val="005C4A6F"/>
    <w:rsid w:val="005C4B1A"/>
    <w:rsid w:val="005C4B58"/>
    <w:rsid w:val="005C4B5E"/>
    <w:rsid w:val="005C530B"/>
    <w:rsid w:val="005C565E"/>
    <w:rsid w:val="005C5889"/>
    <w:rsid w:val="005C5950"/>
    <w:rsid w:val="005C5CC3"/>
    <w:rsid w:val="005C5F79"/>
    <w:rsid w:val="005C62F6"/>
    <w:rsid w:val="005C76EF"/>
    <w:rsid w:val="005C7C99"/>
    <w:rsid w:val="005D010C"/>
    <w:rsid w:val="005D0130"/>
    <w:rsid w:val="005D07F0"/>
    <w:rsid w:val="005D0BE9"/>
    <w:rsid w:val="005D0C4E"/>
    <w:rsid w:val="005D1AC1"/>
    <w:rsid w:val="005D21B8"/>
    <w:rsid w:val="005D23B2"/>
    <w:rsid w:val="005D2611"/>
    <w:rsid w:val="005D2752"/>
    <w:rsid w:val="005D2A6E"/>
    <w:rsid w:val="005D2F7E"/>
    <w:rsid w:val="005D304E"/>
    <w:rsid w:val="005D3344"/>
    <w:rsid w:val="005D3479"/>
    <w:rsid w:val="005D3694"/>
    <w:rsid w:val="005D36C5"/>
    <w:rsid w:val="005D3AE8"/>
    <w:rsid w:val="005D3BC3"/>
    <w:rsid w:val="005D3BD5"/>
    <w:rsid w:val="005D3CA0"/>
    <w:rsid w:val="005D4710"/>
    <w:rsid w:val="005D4F2B"/>
    <w:rsid w:val="005D4FAF"/>
    <w:rsid w:val="005D5F39"/>
    <w:rsid w:val="005D64D3"/>
    <w:rsid w:val="005D65AD"/>
    <w:rsid w:val="005D6763"/>
    <w:rsid w:val="005D67C4"/>
    <w:rsid w:val="005D72DA"/>
    <w:rsid w:val="005D73FF"/>
    <w:rsid w:val="005D764F"/>
    <w:rsid w:val="005D765A"/>
    <w:rsid w:val="005D7F05"/>
    <w:rsid w:val="005E00F4"/>
    <w:rsid w:val="005E0EAB"/>
    <w:rsid w:val="005E1D5B"/>
    <w:rsid w:val="005E2165"/>
    <w:rsid w:val="005E22F3"/>
    <w:rsid w:val="005E23A5"/>
    <w:rsid w:val="005E33BF"/>
    <w:rsid w:val="005E380B"/>
    <w:rsid w:val="005E3C28"/>
    <w:rsid w:val="005E3F3A"/>
    <w:rsid w:val="005E4637"/>
    <w:rsid w:val="005E4A53"/>
    <w:rsid w:val="005E4EEA"/>
    <w:rsid w:val="005E5264"/>
    <w:rsid w:val="005E6040"/>
    <w:rsid w:val="005E69D4"/>
    <w:rsid w:val="005E7A2A"/>
    <w:rsid w:val="005E7C85"/>
    <w:rsid w:val="005E7E31"/>
    <w:rsid w:val="005F0A4C"/>
    <w:rsid w:val="005F15E0"/>
    <w:rsid w:val="005F1870"/>
    <w:rsid w:val="005F187E"/>
    <w:rsid w:val="005F1CBE"/>
    <w:rsid w:val="005F2728"/>
    <w:rsid w:val="005F272A"/>
    <w:rsid w:val="005F277D"/>
    <w:rsid w:val="005F281E"/>
    <w:rsid w:val="005F2BB4"/>
    <w:rsid w:val="005F2CA7"/>
    <w:rsid w:val="005F2FD2"/>
    <w:rsid w:val="005F34BB"/>
    <w:rsid w:val="005F3810"/>
    <w:rsid w:val="005F38F7"/>
    <w:rsid w:val="005F3ACF"/>
    <w:rsid w:val="005F3BFD"/>
    <w:rsid w:val="005F41C2"/>
    <w:rsid w:val="005F422E"/>
    <w:rsid w:val="005F4B21"/>
    <w:rsid w:val="005F4F76"/>
    <w:rsid w:val="005F514F"/>
    <w:rsid w:val="005F5198"/>
    <w:rsid w:val="005F586B"/>
    <w:rsid w:val="005F5B06"/>
    <w:rsid w:val="005F6A4B"/>
    <w:rsid w:val="005F6C45"/>
    <w:rsid w:val="005F6D30"/>
    <w:rsid w:val="005F70A7"/>
    <w:rsid w:val="005F73AD"/>
    <w:rsid w:val="005F78FB"/>
    <w:rsid w:val="006001FE"/>
    <w:rsid w:val="00600DB4"/>
    <w:rsid w:val="0060101B"/>
    <w:rsid w:val="00601341"/>
    <w:rsid w:val="00601C2F"/>
    <w:rsid w:val="00601F09"/>
    <w:rsid w:val="00602425"/>
    <w:rsid w:val="00603427"/>
    <w:rsid w:val="006035AB"/>
    <w:rsid w:val="0060377B"/>
    <w:rsid w:val="006039DD"/>
    <w:rsid w:val="00603AFA"/>
    <w:rsid w:val="00603CD3"/>
    <w:rsid w:val="00603CE8"/>
    <w:rsid w:val="0060442C"/>
    <w:rsid w:val="0060442D"/>
    <w:rsid w:val="00604680"/>
    <w:rsid w:val="00604854"/>
    <w:rsid w:val="00604B4C"/>
    <w:rsid w:val="00605222"/>
    <w:rsid w:val="00605ECF"/>
    <w:rsid w:val="0060612B"/>
    <w:rsid w:val="0060647D"/>
    <w:rsid w:val="0060668A"/>
    <w:rsid w:val="0060684F"/>
    <w:rsid w:val="00606B42"/>
    <w:rsid w:val="00607178"/>
    <w:rsid w:val="00607AF2"/>
    <w:rsid w:val="00610084"/>
    <w:rsid w:val="0061014C"/>
    <w:rsid w:val="00610185"/>
    <w:rsid w:val="00610636"/>
    <w:rsid w:val="00610957"/>
    <w:rsid w:val="00610BF4"/>
    <w:rsid w:val="00610CF7"/>
    <w:rsid w:val="00610EAE"/>
    <w:rsid w:val="0061110C"/>
    <w:rsid w:val="00611255"/>
    <w:rsid w:val="0061158B"/>
    <w:rsid w:val="006116F7"/>
    <w:rsid w:val="006117B3"/>
    <w:rsid w:val="00611C67"/>
    <w:rsid w:val="00612124"/>
    <w:rsid w:val="00612169"/>
    <w:rsid w:val="00612A47"/>
    <w:rsid w:val="006131BC"/>
    <w:rsid w:val="0061394B"/>
    <w:rsid w:val="00613A80"/>
    <w:rsid w:val="00613FA7"/>
    <w:rsid w:val="0061535D"/>
    <w:rsid w:val="00615673"/>
    <w:rsid w:val="00615BBF"/>
    <w:rsid w:val="006161E5"/>
    <w:rsid w:val="006163D0"/>
    <w:rsid w:val="00616561"/>
    <w:rsid w:val="006167EF"/>
    <w:rsid w:val="00616D97"/>
    <w:rsid w:val="00617898"/>
    <w:rsid w:val="00617AFA"/>
    <w:rsid w:val="006205F2"/>
    <w:rsid w:val="00620776"/>
    <w:rsid w:val="006207FD"/>
    <w:rsid w:val="00620CEE"/>
    <w:rsid w:val="0062129C"/>
    <w:rsid w:val="006213BB"/>
    <w:rsid w:val="006219FA"/>
    <w:rsid w:val="00622A81"/>
    <w:rsid w:val="00622CE8"/>
    <w:rsid w:val="00622D8F"/>
    <w:rsid w:val="00622E29"/>
    <w:rsid w:val="0062307B"/>
    <w:rsid w:val="00623175"/>
    <w:rsid w:val="00623492"/>
    <w:rsid w:val="00623786"/>
    <w:rsid w:val="0062430B"/>
    <w:rsid w:val="00624360"/>
    <w:rsid w:val="0062488E"/>
    <w:rsid w:val="0062553A"/>
    <w:rsid w:val="0062575A"/>
    <w:rsid w:val="00625EF4"/>
    <w:rsid w:val="00626215"/>
    <w:rsid w:val="0062691D"/>
    <w:rsid w:val="006277E1"/>
    <w:rsid w:val="00627B1C"/>
    <w:rsid w:val="00627DAE"/>
    <w:rsid w:val="00630C13"/>
    <w:rsid w:val="006310C1"/>
    <w:rsid w:val="00631E3B"/>
    <w:rsid w:val="00631F4C"/>
    <w:rsid w:val="00631FAF"/>
    <w:rsid w:val="00632211"/>
    <w:rsid w:val="00632574"/>
    <w:rsid w:val="00632F36"/>
    <w:rsid w:val="00633405"/>
    <w:rsid w:val="00633589"/>
    <w:rsid w:val="006335A3"/>
    <w:rsid w:val="00633FDC"/>
    <w:rsid w:val="006340B9"/>
    <w:rsid w:val="00634208"/>
    <w:rsid w:val="006343D6"/>
    <w:rsid w:val="006345B3"/>
    <w:rsid w:val="00634701"/>
    <w:rsid w:val="00634A06"/>
    <w:rsid w:val="00634A69"/>
    <w:rsid w:val="00634D61"/>
    <w:rsid w:val="00634DC0"/>
    <w:rsid w:val="00635282"/>
    <w:rsid w:val="006354B8"/>
    <w:rsid w:val="006354FA"/>
    <w:rsid w:val="00635DCD"/>
    <w:rsid w:val="00635E07"/>
    <w:rsid w:val="006364F7"/>
    <w:rsid w:val="00636576"/>
    <w:rsid w:val="00636E15"/>
    <w:rsid w:val="00636EE0"/>
    <w:rsid w:val="0063747A"/>
    <w:rsid w:val="0063799B"/>
    <w:rsid w:val="00637C68"/>
    <w:rsid w:val="00637E93"/>
    <w:rsid w:val="00637F16"/>
    <w:rsid w:val="006404EF"/>
    <w:rsid w:val="0064070B"/>
    <w:rsid w:val="00640F20"/>
    <w:rsid w:val="00641C33"/>
    <w:rsid w:val="00641ED0"/>
    <w:rsid w:val="00641F15"/>
    <w:rsid w:val="0064251E"/>
    <w:rsid w:val="00642A82"/>
    <w:rsid w:val="00642A89"/>
    <w:rsid w:val="00642C8C"/>
    <w:rsid w:val="00642DEF"/>
    <w:rsid w:val="00642FE5"/>
    <w:rsid w:val="0064322C"/>
    <w:rsid w:val="00644A84"/>
    <w:rsid w:val="00644C01"/>
    <w:rsid w:val="00644C70"/>
    <w:rsid w:val="00644F09"/>
    <w:rsid w:val="006451D0"/>
    <w:rsid w:val="006452A9"/>
    <w:rsid w:val="006453EB"/>
    <w:rsid w:val="00645DE5"/>
    <w:rsid w:val="00647093"/>
    <w:rsid w:val="00647149"/>
    <w:rsid w:val="006471EC"/>
    <w:rsid w:val="006473C2"/>
    <w:rsid w:val="00647F32"/>
    <w:rsid w:val="006502C2"/>
    <w:rsid w:val="00650416"/>
    <w:rsid w:val="00650535"/>
    <w:rsid w:val="00650AEC"/>
    <w:rsid w:val="00650F8A"/>
    <w:rsid w:val="006510E4"/>
    <w:rsid w:val="00651B19"/>
    <w:rsid w:val="0065203B"/>
    <w:rsid w:val="00652B82"/>
    <w:rsid w:val="00652C74"/>
    <w:rsid w:val="00652E4E"/>
    <w:rsid w:val="006534E7"/>
    <w:rsid w:val="00653606"/>
    <w:rsid w:val="00653B24"/>
    <w:rsid w:val="00653BC0"/>
    <w:rsid w:val="00654108"/>
    <w:rsid w:val="0065410B"/>
    <w:rsid w:val="00654883"/>
    <w:rsid w:val="006549E1"/>
    <w:rsid w:val="00654A67"/>
    <w:rsid w:val="00654BFF"/>
    <w:rsid w:val="00654C22"/>
    <w:rsid w:val="00654F3E"/>
    <w:rsid w:val="00655130"/>
    <w:rsid w:val="006551A8"/>
    <w:rsid w:val="00655491"/>
    <w:rsid w:val="00655D83"/>
    <w:rsid w:val="00656090"/>
    <w:rsid w:val="00656918"/>
    <w:rsid w:val="00656A89"/>
    <w:rsid w:val="00656CAF"/>
    <w:rsid w:val="006572F0"/>
    <w:rsid w:val="0065751D"/>
    <w:rsid w:val="006576A7"/>
    <w:rsid w:val="006579BD"/>
    <w:rsid w:val="00657DAA"/>
    <w:rsid w:val="0066034F"/>
    <w:rsid w:val="00660660"/>
    <w:rsid w:val="0066072A"/>
    <w:rsid w:val="00660F21"/>
    <w:rsid w:val="006614E4"/>
    <w:rsid w:val="00661530"/>
    <w:rsid w:val="006616EF"/>
    <w:rsid w:val="00661A78"/>
    <w:rsid w:val="00661E1D"/>
    <w:rsid w:val="00661F65"/>
    <w:rsid w:val="00662170"/>
    <w:rsid w:val="0066223D"/>
    <w:rsid w:val="006628DE"/>
    <w:rsid w:val="00662E03"/>
    <w:rsid w:val="00663005"/>
    <w:rsid w:val="00663073"/>
    <w:rsid w:val="00663CDF"/>
    <w:rsid w:val="00663F50"/>
    <w:rsid w:val="00663FD9"/>
    <w:rsid w:val="00664075"/>
    <w:rsid w:val="00664787"/>
    <w:rsid w:val="00664AA6"/>
    <w:rsid w:val="00664B8C"/>
    <w:rsid w:val="00664C8B"/>
    <w:rsid w:val="006655D2"/>
    <w:rsid w:val="00665965"/>
    <w:rsid w:val="00665967"/>
    <w:rsid w:val="00665B44"/>
    <w:rsid w:val="00665EF2"/>
    <w:rsid w:val="00665FC1"/>
    <w:rsid w:val="00666207"/>
    <w:rsid w:val="006666E4"/>
    <w:rsid w:val="00666A21"/>
    <w:rsid w:val="00666B9E"/>
    <w:rsid w:val="00666F87"/>
    <w:rsid w:val="00667922"/>
    <w:rsid w:val="00670231"/>
    <w:rsid w:val="0067081A"/>
    <w:rsid w:val="00670F4A"/>
    <w:rsid w:val="00671029"/>
    <w:rsid w:val="00671194"/>
    <w:rsid w:val="006712C9"/>
    <w:rsid w:val="00671BB1"/>
    <w:rsid w:val="0067220C"/>
    <w:rsid w:val="006726FB"/>
    <w:rsid w:val="00672CE2"/>
    <w:rsid w:val="00672D5E"/>
    <w:rsid w:val="00672F1B"/>
    <w:rsid w:val="006730D3"/>
    <w:rsid w:val="00673EB7"/>
    <w:rsid w:val="0067422D"/>
    <w:rsid w:val="0067478C"/>
    <w:rsid w:val="006754A7"/>
    <w:rsid w:val="00675763"/>
    <w:rsid w:val="006757AD"/>
    <w:rsid w:val="00675970"/>
    <w:rsid w:val="00675B76"/>
    <w:rsid w:val="00675DF8"/>
    <w:rsid w:val="00675FCA"/>
    <w:rsid w:val="00676101"/>
    <w:rsid w:val="00676131"/>
    <w:rsid w:val="0067635F"/>
    <w:rsid w:val="00676908"/>
    <w:rsid w:val="00677476"/>
    <w:rsid w:val="00677CF9"/>
    <w:rsid w:val="00677DBD"/>
    <w:rsid w:val="006816E7"/>
    <w:rsid w:val="006828B9"/>
    <w:rsid w:val="00682AC9"/>
    <w:rsid w:val="00682B18"/>
    <w:rsid w:val="006838F2"/>
    <w:rsid w:val="00683ECA"/>
    <w:rsid w:val="006846EA"/>
    <w:rsid w:val="00684C80"/>
    <w:rsid w:val="00684FD1"/>
    <w:rsid w:val="00685CEE"/>
    <w:rsid w:val="00685D88"/>
    <w:rsid w:val="006869AA"/>
    <w:rsid w:val="00686C65"/>
    <w:rsid w:val="00686F5B"/>
    <w:rsid w:val="00687051"/>
    <w:rsid w:val="006905D1"/>
    <w:rsid w:val="006907DD"/>
    <w:rsid w:val="00690971"/>
    <w:rsid w:val="006912DF"/>
    <w:rsid w:val="00691348"/>
    <w:rsid w:val="0069179D"/>
    <w:rsid w:val="0069181C"/>
    <w:rsid w:val="00691E31"/>
    <w:rsid w:val="00691F19"/>
    <w:rsid w:val="00691F77"/>
    <w:rsid w:val="00691FCC"/>
    <w:rsid w:val="006920A9"/>
    <w:rsid w:val="006922D5"/>
    <w:rsid w:val="006926C9"/>
    <w:rsid w:val="006933DC"/>
    <w:rsid w:val="00693600"/>
    <w:rsid w:val="00693729"/>
    <w:rsid w:val="00693DD2"/>
    <w:rsid w:val="00694222"/>
    <w:rsid w:val="00694268"/>
    <w:rsid w:val="0069439A"/>
    <w:rsid w:val="00694C72"/>
    <w:rsid w:val="00694D4B"/>
    <w:rsid w:val="00694F35"/>
    <w:rsid w:val="006953A7"/>
    <w:rsid w:val="006955A0"/>
    <w:rsid w:val="00695A70"/>
    <w:rsid w:val="00695C4D"/>
    <w:rsid w:val="00695EC2"/>
    <w:rsid w:val="0069678B"/>
    <w:rsid w:val="00696B62"/>
    <w:rsid w:val="00697586"/>
    <w:rsid w:val="00697BFA"/>
    <w:rsid w:val="006A008D"/>
    <w:rsid w:val="006A090F"/>
    <w:rsid w:val="006A09EE"/>
    <w:rsid w:val="006A0A3B"/>
    <w:rsid w:val="006A0EE1"/>
    <w:rsid w:val="006A126B"/>
    <w:rsid w:val="006A1740"/>
    <w:rsid w:val="006A1771"/>
    <w:rsid w:val="006A18FE"/>
    <w:rsid w:val="006A1B45"/>
    <w:rsid w:val="006A1D29"/>
    <w:rsid w:val="006A2255"/>
    <w:rsid w:val="006A280F"/>
    <w:rsid w:val="006A289A"/>
    <w:rsid w:val="006A2963"/>
    <w:rsid w:val="006A2FDA"/>
    <w:rsid w:val="006A30ED"/>
    <w:rsid w:val="006A3366"/>
    <w:rsid w:val="006A381E"/>
    <w:rsid w:val="006A384C"/>
    <w:rsid w:val="006A39C7"/>
    <w:rsid w:val="006A3CBF"/>
    <w:rsid w:val="006A3D28"/>
    <w:rsid w:val="006A45D4"/>
    <w:rsid w:val="006A4884"/>
    <w:rsid w:val="006A4BB3"/>
    <w:rsid w:val="006A4CCB"/>
    <w:rsid w:val="006A4D8E"/>
    <w:rsid w:val="006A4E91"/>
    <w:rsid w:val="006A5BE5"/>
    <w:rsid w:val="006A60EE"/>
    <w:rsid w:val="006A60F2"/>
    <w:rsid w:val="006A69CB"/>
    <w:rsid w:val="006A71FE"/>
    <w:rsid w:val="006A741E"/>
    <w:rsid w:val="006A7AA5"/>
    <w:rsid w:val="006A7F05"/>
    <w:rsid w:val="006A7F85"/>
    <w:rsid w:val="006B0391"/>
    <w:rsid w:val="006B0408"/>
    <w:rsid w:val="006B05D1"/>
    <w:rsid w:val="006B0971"/>
    <w:rsid w:val="006B0B27"/>
    <w:rsid w:val="006B0C77"/>
    <w:rsid w:val="006B17C7"/>
    <w:rsid w:val="006B1823"/>
    <w:rsid w:val="006B190F"/>
    <w:rsid w:val="006B1F21"/>
    <w:rsid w:val="006B1FFF"/>
    <w:rsid w:val="006B22B7"/>
    <w:rsid w:val="006B25A6"/>
    <w:rsid w:val="006B286A"/>
    <w:rsid w:val="006B3280"/>
    <w:rsid w:val="006B36BE"/>
    <w:rsid w:val="006B40B8"/>
    <w:rsid w:val="006B45FC"/>
    <w:rsid w:val="006B45FE"/>
    <w:rsid w:val="006B4761"/>
    <w:rsid w:val="006B49C5"/>
    <w:rsid w:val="006B4C1C"/>
    <w:rsid w:val="006B4CED"/>
    <w:rsid w:val="006B4CF1"/>
    <w:rsid w:val="006B511E"/>
    <w:rsid w:val="006B5643"/>
    <w:rsid w:val="006B5E32"/>
    <w:rsid w:val="006B5E90"/>
    <w:rsid w:val="006B6890"/>
    <w:rsid w:val="006B6A6F"/>
    <w:rsid w:val="006B6B90"/>
    <w:rsid w:val="006B76E9"/>
    <w:rsid w:val="006B772C"/>
    <w:rsid w:val="006C1639"/>
    <w:rsid w:val="006C1693"/>
    <w:rsid w:val="006C16F4"/>
    <w:rsid w:val="006C18C7"/>
    <w:rsid w:val="006C19D2"/>
    <w:rsid w:val="006C1C0A"/>
    <w:rsid w:val="006C2714"/>
    <w:rsid w:val="006C287F"/>
    <w:rsid w:val="006C3139"/>
    <w:rsid w:val="006C34D1"/>
    <w:rsid w:val="006C384B"/>
    <w:rsid w:val="006C3AF1"/>
    <w:rsid w:val="006C3BC5"/>
    <w:rsid w:val="006C42DE"/>
    <w:rsid w:val="006C441F"/>
    <w:rsid w:val="006C44D4"/>
    <w:rsid w:val="006C4647"/>
    <w:rsid w:val="006C48A8"/>
    <w:rsid w:val="006C49B0"/>
    <w:rsid w:val="006C4B3F"/>
    <w:rsid w:val="006C4DBE"/>
    <w:rsid w:val="006C4E89"/>
    <w:rsid w:val="006C520D"/>
    <w:rsid w:val="006C54E7"/>
    <w:rsid w:val="006C5746"/>
    <w:rsid w:val="006C5FC0"/>
    <w:rsid w:val="006C60BE"/>
    <w:rsid w:val="006C61AA"/>
    <w:rsid w:val="006C67B9"/>
    <w:rsid w:val="006C6A9B"/>
    <w:rsid w:val="006C6F24"/>
    <w:rsid w:val="006C7559"/>
    <w:rsid w:val="006C7687"/>
    <w:rsid w:val="006C778A"/>
    <w:rsid w:val="006C7A49"/>
    <w:rsid w:val="006C7D04"/>
    <w:rsid w:val="006C7D89"/>
    <w:rsid w:val="006C7F3C"/>
    <w:rsid w:val="006D02A1"/>
    <w:rsid w:val="006D08FE"/>
    <w:rsid w:val="006D0C0F"/>
    <w:rsid w:val="006D1319"/>
    <w:rsid w:val="006D147C"/>
    <w:rsid w:val="006D1B7B"/>
    <w:rsid w:val="006D1D76"/>
    <w:rsid w:val="006D1D98"/>
    <w:rsid w:val="006D1EA3"/>
    <w:rsid w:val="006D1FB4"/>
    <w:rsid w:val="006D2505"/>
    <w:rsid w:val="006D27C7"/>
    <w:rsid w:val="006D2896"/>
    <w:rsid w:val="006D2DC4"/>
    <w:rsid w:val="006D2DED"/>
    <w:rsid w:val="006D34E9"/>
    <w:rsid w:val="006D35DB"/>
    <w:rsid w:val="006D36D8"/>
    <w:rsid w:val="006D3E88"/>
    <w:rsid w:val="006D4582"/>
    <w:rsid w:val="006D4647"/>
    <w:rsid w:val="006D4826"/>
    <w:rsid w:val="006D5110"/>
    <w:rsid w:val="006D51BE"/>
    <w:rsid w:val="006D58D4"/>
    <w:rsid w:val="006D5A90"/>
    <w:rsid w:val="006D5B3D"/>
    <w:rsid w:val="006D6049"/>
    <w:rsid w:val="006D682B"/>
    <w:rsid w:val="006D6AF1"/>
    <w:rsid w:val="006D6B5B"/>
    <w:rsid w:val="006D6D16"/>
    <w:rsid w:val="006D6EA3"/>
    <w:rsid w:val="006D7097"/>
    <w:rsid w:val="006D788B"/>
    <w:rsid w:val="006D7ABD"/>
    <w:rsid w:val="006D7B69"/>
    <w:rsid w:val="006E00BF"/>
    <w:rsid w:val="006E0F4E"/>
    <w:rsid w:val="006E0FAB"/>
    <w:rsid w:val="006E10F1"/>
    <w:rsid w:val="006E21AC"/>
    <w:rsid w:val="006E2399"/>
    <w:rsid w:val="006E23C3"/>
    <w:rsid w:val="006E280F"/>
    <w:rsid w:val="006E2883"/>
    <w:rsid w:val="006E31A9"/>
    <w:rsid w:val="006E34F8"/>
    <w:rsid w:val="006E35F8"/>
    <w:rsid w:val="006E3B65"/>
    <w:rsid w:val="006E3CB1"/>
    <w:rsid w:val="006E3D17"/>
    <w:rsid w:val="006E3D3C"/>
    <w:rsid w:val="006E3DDA"/>
    <w:rsid w:val="006E3E8F"/>
    <w:rsid w:val="006E44B2"/>
    <w:rsid w:val="006E479E"/>
    <w:rsid w:val="006E48A1"/>
    <w:rsid w:val="006E4A46"/>
    <w:rsid w:val="006E57B4"/>
    <w:rsid w:val="006E5B84"/>
    <w:rsid w:val="006E6303"/>
    <w:rsid w:val="006E6D63"/>
    <w:rsid w:val="006E6DD9"/>
    <w:rsid w:val="006E73B3"/>
    <w:rsid w:val="006E7957"/>
    <w:rsid w:val="006F04A0"/>
    <w:rsid w:val="006F04BD"/>
    <w:rsid w:val="006F0EE2"/>
    <w:rsid w:val="006F103A"/>
    <w:rsid w:val="006F1672"/>
    <w:rsid w:val="006F1834"/>
    <w:rsid w:val="006F1C0F"/>
    <w:rsid w:val="006F1DED"/>
    <w:rsid w:val="006F2759"/>
    <w:rsid w:val="006F2A91"/>
    <w:rsid w:val="006F2D33"/>
    <w:rsid w:val="006F2D7A"/>
    <w:rsid w:val="006F2FF5"/>
    <w:rsid w:val="006F34E9"/>
    <w:rsid w:val="006F379C"/>
    <w:rsid w:val="006F3F61"/>
    <w:rsid w:val="006F4220"/>
    <w:rsid w:val="006F4DA6"/>
    <w:rsid w:val="006F4E7A"/>
    <w:rsid w:val="006F614F"/>
    <w:rsid w:val="006F61C5"/>
    <w:rsid w:val="006F64C9"/>
    <w:rsid w:val="006F6963"/>
    <w:rsid w:val="006F69F6"/>
    <w:rsid w:val="006F6BCB"/>
    <w:rsid w:val="006F6D8D"/>
    <w:rsid w:val="006F7104"/>
    <w:rsid w:val="006F73FC"/>
    <w:rsid w:val="006F7444"/>
    <w:rsid w:val="006F778D"/>
    <w:rsid w:val="006F7A2C"/>
    <w:rsid w:val="006F7C3E"/>
    <w:rsid w:val="007001A3"/>
    <w:rsid w:val="00700E9A"/>
    <w:rsid w:val="00701020"/>
    <w:rsid w:val="007011CA"/>
    <w:rsid w:val="00701265"/>
    <w:rsid w:val="00701AFC"/>
    <w:rsid w:val="00701EAC"/>
    <w:rsid w:val="00702159"/>
    <w:rsid w:val="007022EC"/>
    <w:rsid w:val="007023DB"/>
    <w:rsid w:val="007028F0"/>
    <w:rsid w:val="007029A2"/>
    <w:rsid w:val="00703563"/>
    <w:rsid w:val="007039E6"/>
    <w:rsid w:val="00703CB5"/>
    <w:rsid w:val="00703CE8"/>
    <w:rsid w:val="00704737"/>
    <w:rsid w:val="00704C1B"/>
    <w:rsid w:val="007059EA"/>
    <w:rsid w:val="00705C2C"/>
    <w:rsid w:val="00705D34"/>
    <w:rsid w:val="00706311"/>
    <w:rsid w:val="00706362"/>
    <w:rsid w:val="0070638A"/>
    <w:rsid w:val="007066EA"/>
    <w:rsid w:val="00706C42"/>
    <w:rsid w:val="00707036"/>
    <w:rsid w:val="0070708F"/>
    <w:rsid w:val="00707769"/>
    <w:rsid w:val="007077B6"/>
    <w:rsid w:val="0070780E"/>
    <w:rsid w:val="00707AA4"/>
    <w:rsid w:val="00707AE1"/>
    <w:rsid w:val="00707D64"/>
    <w:rsid w:val="00707EA7"/>
    <w:rsid w:val="0071015D"/>
    <w:rsid w:val="00710906"/>
    <w:rsid w:val="007113ED"/>
    <w:rsid w:val="00712157"/>
    <w:rsid w:val="007123DA"/>
    <w:rsid w:val="00712433"/>
    <w:rsid w:val="00712590"/>
    <w:rsid w:val="00712794"/>
    <w:rsid w:val="00712C1D"/>
    <w:rsid w:val="00712E01"/>
    <w:rsid w:val="00712EA1"/>
    <w:rsid w:val="007130DA"/>
    <w:rsid w:val="0071398B"/>
    <w:rsid w:val="00713AB4"/>
    <w:rsid w:val="00713E35"/>
    <w:rsid w:val="00713E4C"/>
    <w:rsid w:val="00714532"/>
    <w:rsid w:val="00714DF5"/>
    <w:rsid w:val="00714EAB"/>
    <w:rsid w:val="0071540E"/>
    <w:rsid w:val="00715639"/>
    <w:rsid w:val="0071564C"/>
    <w:rsid w:val="0071573F"/>
    <w:rsid w:val="007158B5"/>
    <w:rsid w:val="00715A41"/>
    <w:rsid w:val="00716573"/>
    <w:rsid w:val="00716605"/>
    <w:rsid w:val="00716741"/>
    <w:rsid w:val="00717391"/>
    <w:rsid w:val="00717478"/>
    <w:rsid w:val="00717686"/>
    <w:rsid w:val="0071774E"/>
    <w:rsid w:val="007200F0"/>
    <w:rsid w:val="00720717"/>
    <w:rsid w:val="007209A3"/>
    <w:rsid w:val="007215EB"/>
    <w:rsid w:val="007216BB"/>
    <w:rsid w:val="00721CD2"/>
    <w:rsid w:val="00722328"/>
    <w:rsid w:val="007243D4"/>
    <w:rsid w:val="007245FB"/>
    <w:rsid w:val="0072483E"/>
    <w:rsid w:val="007248D3"/>
    <w:rsid w:val="00724CD7"/>
    <w:rsid w:val="00724E16"/>
    <w:rsid w:val="00724E6E"/>
    <w:rsid w:val="0072579C"/>
    <w:rsid w:val="007257E3"/>
    <w:rsid w:val="00725833"/>
    <w:rsid w:val="00725CAE"/>
    <w:rsid w:val="00726003"/>
    <w:rsid w:val="00726E3E"/>
    <w:rsid w:val="007272EE"/>
    <w:rsid w:val="007272F6"/>
    <w:rsid w:val="0072740B"/>
    <w:rsid w:val="0072740E"/>
    <w:rsid w:val="00727575"/>
    <w:rsid w:val="00727A07"/>
    <w:rsid w:val="00727D64"/>
    <w:rsid w:val="00727F09"/>
    <w:rsid w:val="007304DC"/>
    <w:rsid w:val="00730C9F"/>
    <w:rsid w:val="00730EDF"/>
    <w:rsid w:val="0073108A"/>
    <w:rsid w:val="0073125F"/>
    <w:rsid w:val="007315CF"/>
    <w:rsid w:val="00731937"/>
    <w:rsid w:val="00731C44"/>
    <w:rsid w:val="00732030"/>
    <w:rsid w:val="00732288"/>
    <w:rsid w:val="00732488"/>
    <w:rsid w:val="007325D6"/>
    <w:rsid w:val="00732A44"/>
    <w:rsid w:val="00732AD8"/>
    <w:rsid w:val="00733557"/>
    <w:rsid w:val="0073490E"/>
    <w:rsid w:val="00734B2B"/>
    <w:rsid w:val="00734E3B"/>
    <w:rsid w:val="0073528B"/>
    <w:rsid w:val="00735EAB"/>
    <w:rsid w:val="0073663C"/>
    <w:rsid w:val="00736678"/>
    <w:rsid w:val="0073689E"/>
    <w:rsid w:val="00736B93"/>
    <w:rsid w:val="00736D70"/>
    <w:rsid w:val="0073706E"/>
    <w:rsid w:val="00737F14"/>
    <w:rsid w:val="00740175"/>
    <w:rsid w:val="007403EF"/>
    <w:rsid w:val="007408EE"/>
    <w:rsid w:val="00740A8B"/>
    <w:rsid w:val="00740ECE"/>
    <w:rsid w:val="0074107F"/>
    <w:rsid w:val="0074158C"/>
    <w:rsid w:val="007416B8"/>
    <w:rsid w:val="00741B1C"/>
    <w:rsid w:val="00742EC9"/>
    <w:rsid w:val="00742FB8"/>
    <w:rsid w:val="00743542"/>
    <w:rsid w:val="00743DEC"/>
    <w:rsid w:val="00744138"/>
    <w:rsid w:val="0074435F"/>
    <w:rsid w:val="00744478"/>
    <w:rsid w:val="00744814"/>
    <w:rsid w:val="00744A13"/>
    <w:rsid w:val="00744AB9"/>
    <w:rsid w:val="00744FAE"/>
    <w:rsid w:val="00745335"/>
    <w:rsid w:val="00745468"/>
    <w:rsid w:val="00745894"/>
    <w:rsid w:val="007461A5"/>
    <w:rsid w:val="007461EA"/>
    <w:rsid w:val="007464CA"/>
    <w:rsid w:val="007475B7"/>
    <w:rsid w:val="00747643"/>
    <w:rsid w:val="0074779E"/>
    <w:rsid w:val="007477CD"/>
    <w:rsid w:val="00747A21"/>
    <w:rsid w:val="007503C3"/>
    <w:rsid w:val="00750C1C"/>
    <w:rsid w:val="0075101B"/>
    <w:rsid w:val="00751028"/>
    <w:rsid w:val="007510EB"/>
    <w:rsid w:val="007511DC"/>
    <w:rsid w:val="00751412"/>
    <w:rsid w:val="00751956"/>
    <w:rsid w:val="007519A9"/>
    <w:rsid w:val="007527C2"/>
    <w:rsid w:val="00752A6B"/>
    <w:rsid w:val="0075327D"/>
    <w:rsid w:val="0075376D"/>
    <w:rsid w:val="00753981"/>
    <w:rsid w:val="00753CBF"/>
    <w:rsid w:val="00753E3C"/>
    <w:rsid w:val="00753FF7"/>
    <w:rsid w:val="0075435D"/>
    <w:rsid w:val="007547D9"/>
    <w:rsid w:val="00754973"/>
    <w:rsid w:val="00755762"/>
    <w:rsid w:val="007558FB"/>
    <w:rsid w:val="00755AE5"/>
    <w:rsid w:val="00755E6A"/>
    <w:rsid w:val="00756084"/>
    <w:rsid w:val="00756302"/>
    <w:rsid w:val="0075649A"/>
    <w:rsid w:val="007565FE"/>
    <w:rsid w:val="00756864"/>
    <w:rsid w:val="00756E3D"/>
    <w:rsid w:val="00756F61"/>
    <w:rsid w:val="007570AD"/>
    <w:rsid w:val="00757490"/>
    <w:rsid w:val="007577B1"/>
    <w:rsid w:val="00760600"/>
    <w:rsid w:val="00760C03"/>
    <w:rsid w:val="00760D0A"/>
    <w:rsid w:val="00760D39"/>
    <w:rsid w:val="00760DB2"/>
    <w:rsid w:val="0076106D"/>
    <w:rsid w:val="007617A7"/>
    <w:rsid w:val="00761F4F"/>
    <w:rsid w:val="00762184"/>
    <w:rsid w:val="0076251F"/>
    <w:rsid w:val="00762550"/>
    <w:rsid w:val="00762915"/>
    <w:rsid w:val="007632F6"/>
    <w:rsid w:val="0076340E"/>
    <w:rsid w:val="007635D1"/>
    <w:rsid w:val="007639C1"/>
    <w:rsid w:val="00763CDF"/>
    <w:rsid w:val="007640BA"/>
    <w:rsid w:val="0076473E"/>
    <w:rsid w:val="00764958"/>
    <w:rsid w:val="00764D64"/>
    <w:rsid w:val="00764D97"/>
    <w:rsid w:val="00765219"/>
    <w:rsid w:val="0076543B"/>
    <w:rsid w:val="00765BED"/>
    <w:rsid w:val="007661B9"/>
    <w:rsid w:val="007663EC"/>
    <w:rsid w:val="00766613"/>
    <w:rsid w:val="007668C4"/>
    <w:rsid w:val="00766B7A"/>
    <w:rsid w:val="00766D74"/>
    <w:rsid w:val="00766F86"/>
    <w:rsid w:val="00766FBE"/>
    <w:rsid w:val="00767396"/>
    <w:rsid w:val="00767827"/>
    <w:rsid w:val="00767C22"/>
    <w:rsid w:val="00767D96"/>
    <w:rsid w:val="00767DB1"/>
    <w:rsid w:val="00770007"/>
    <w:rsid w:val="007706BC"/>
    <w:rsid w:val="00770C42"/>
    <w:rsid w:val="00770D3F"/>
    <w:rsid w:val="0077107F"/>
    <w:rsid w:val="00771227"/>
    <w:rsid w:val="007712F0"/>
    <w:rsid w:val="0077131B"/>
    <w:rsid w:val="00771DBC"/>
    <w:rsid w:val="007721C2"/>
    <w:rsid w:val="0077275D"/>
    <w:rsid w:val="007729F1"/>
    <w:rsid w:val="00772DF7"/>
    <w:rsid w:val="00772F18"/>
    <w:rsid w:val="007730BA"/>
    <w:rsid w:val="007737AF"/>
    <w:rsid w:val="007737C1"/>
    <w:rsid w:val="00773D36"/>
    <w:rsid w:val="007745A7"/>
    <w:rsid w:val="007746F6"/>
    <w:rsid w:val="00774A1B"/>
    <w:rsid w:val="00775041"/>
    <w:rsid w:val="007753A9"/>
    <w:rsid w:val="00775B73"/>
    <w:rsid w:val="00775C47"/>
    <w:rsid w:val="00775F65"/>
    <w:rsid w:val="0077612A"/>
    <w:rsid w:val="00776142"/>
    <w:rsid w:val="007769FE"/>
    <w:rsid w:val="00777355"/>
    <w:rsid w:val="0077752C"/>
    <w:rsid w:val="00777E9D"/>
    <w:rsid w:val="007801AB"/>
    <w:rsid w:val="007803D7"/>
    <w:rsid w:val="007805E9"/>
    <w:rsid w:val="00780CEC"/>
    <w:rsid w:val="00780D29"/>
    <w:rsid w:val="00780E83"/>
    <w:rsid w:val="0078127E"/>
    <w:rsid w:val="0078141E"/>
    <w:rsid w:val="00781783"/>
    <w:rsid w:val="0078181E"/>
    <w:rsid w:val="0078194F"/>
    <w:rsid w:val="00781974"/>
    <w:rsid w:val="00781B63"/>
    <w:rsid w:val="0078234E"/>
    <w:rsid w:val="0078255C"/>
    <w:rsid w:val="0078260C"/>
    <w:rsid w:val="00782A2E"/>
    <w:rsid w:val="00782E31"/>
    <w:rsid w:val="00782E57"/>
    <w:rsid w:val="00783172"/>
    <w:rsid w:val="00783475"/>
    <w:rsid w:val="007837DE"/>
    <w:rsid w:val="007837E1"/>
    <w:rsid w:val="00783D00"/>
    <w:rsid w:val="00783FF2"/>
    <w:rsid w:val="00784C03"/>
    <w:rsid w:val="00785350"/>
    <w:rsid w:val="0078561B"/>
    <w:rsid w:val="007861FA"/>
    <w:rsid w:val="007864C2"/>
    <w:rsid w:val="00786A3A"/>
    <w:rsid w:val="00786CB0"/>
    <w:rsid w:val="007870E2"/>
    <w:rsid w:val="00787561"/>
    <w:rsid w:val="00787B65"/>
    <w:rsid w:val="00787BEB"/>
    <w:rsid w:val="00787D27"/>
    <w:rsid w:val="00790262"/>
    <w:rsid w:val="007902E3"/>
    <w:rsid w:val="007903E3"/>
    <w:rsid w:val="007909A5"/>
    <w:rsid w:val="00790AC4"/>
    <w:rsid w:val="00791833"/>
    <w:rsid w:val="00791E38"/>
    <w:rsid w:val="0079208F"/>
    <w:rsid w:val="0079288C"/>
    <w:rsid w:val="007928DD"/>
    <w:rsid w:val="00792B2A"/>
    <w:rsid w:val="00792D28"/>
    <w:rsid w:val="00792D31"/>
    <w:rsid w:val="00793391"/>
    <w:rsid w:val="007934ED"/>
    <w:rsid w:val="00793B1B"/>
    <w:rsid w:val="00794118"/>
    <w:rsid w:val="007946ED"/>
    <w:rsid w:val="0079482A"/>
    <w:rsid w:val="00794E09"/>
    <w:rsid w:val="007950C9"/>
    <w:rsid w:val="007950E0"/>
    <w:rsid w:val="007951BD"/>
    <w:rsid w:val="007954EE"/>
    <w:rsid w:val="00795DB4"/>
    <w:rsid w:val="0079673D"/>
    <w:rsid w:val="007967C5"/>
    <w:rsid w:val="00797573"/>
    <w:rsid w:val="00797622"/>
    <w:rsid w:val="00797CC4"/>
    <w:rsid w:val="00797CDB"/>
    <w:rsid w:val="007A1372"/>
    <w:rsid w:val="007A1C6A"/>
    <w:rsid w:val="007A1D20"/>
    <w:rsid w:val="007A2523"/>
    <w:rsid w:val="007A28B1"/>
    <w:rsid w:val="007A2922"/>
    <w:rsid w:val="007A30EA"/>
    <w:rsid w:val="007A42F5"/>
    <w:rsid w:val="007A4811"/>
    <w:rsid w:val="007A4D15"/>
    <w:rsid w:val="007A5309"/>
    <w:rsid w:val="007A5338"/>
    <w:rsid w:val="007A535F"/>
    <w:rsid w:val="007A559C"/>
    <w:rsid w:val="007A55C4"/>
    <w:rsid w:val="007A56AC"/>
    <w:rsid w:val="007A6091"/>
    <w:rsid w:val="007A6396"/>
    <w:rsid w:val="007A6570"/>
    <w:rsid w:val="007A6721"/>
    <w:rsid w:val="007A69E1"/>
    <w:rsid w:val="007A6EE1"/>
    <w:rsid w:val="007A6F5D"/>
    <w:rsid w:val="007A74BE"/>
    <w:rsid w:val="007B02E3"/>
    <w:rsid w:val="007B07F1"/>
    <w:rsid w:val="007B0AAB"/>
    <w:rsid w:val="007B0B02"/>
    <w:rsid w:val="007B1032"/>
    <w:rsid w:val="007B2048"/>
    <w:rsid w:val="007B37D2"/>
    <w:rsid w:val="007B3CEB"/>
    <w:rsid w:val="007B3DAC"/>
    <w:rsid w:val="007B4328"/>
    <w:rsid w:val="007B4331"/>
    <w:rsid w:val="007B47D3"/>
    <w:rsid w:val="007B4BAB"/>
    <w:rsid w:val="007B4C50"/>
    <w:rsid w:val="007B548F"/>
    <w:rsid w:val="007B5697"/>
    <w:rsid w:val="007B57F8"/>
    <w:rsid w:val="007B599B"/>
    <w:rsid w:val="007B599E"/>
    <w:rsid w:val="007B5D38"/>
    <w:rsid w:val="007B6659"/>
    <w:rsid w:val="007B665A"/>
    <w:rsid w:val="007B6936"/>
    <w:rsid w:val="007B6990"/>
    <w:rsid w:val="007B69F0"/>
    <w:rsid w:val="007B6BB3"/>
    <w:rsid w:val="007B6E5F"/>
    <w:rsid w:val="007B71B3"/>
    <w:rsid w:val="007B724E"/>
    <w:rsid w:val="007B727E"/>
    <w:rsid w:val="007B736E"/>
    <w:rsid w:val="007B73A1"/>
    <w:rsid w:val="007B748A"/>
    <w:rsid w:val="007B7A82"/>
    <w:rsid w:val="007C07BF"/>
    <w:rsid w:val="007C1560"/>
    <w:rsid w:val="007C208D"/>
    <w:rsid w:val="007C22E7"/>
    <w:rsid w:val="007C3198"/>
    <w:rsid w:val="007C3399"/>
    <w:rsid w:val="007C37FE"/>
    <w:rsid w:val="007C3866"/>
    <w:rsid w:val="007C398D"/>
    <w:rsid w:val="007C3ED4"/>
    <w:rsid w:val="007C42C1"/>
    <w:rsid w:val="007C4DBF"/>
    <w:rsid w:val="007C4EC4"/>
    <w:rsid w:val="007C4FC2"/>
    <w:rsid w:val="007C5053"/>
    <w:rsid w:val="007C5593"/>
    <w:rsid w:val="007C57F1"/>
    <w:rsid w:val="007C5FED"/>
    <w:rsid w:val="007C6D10"/>
    <w:rsid w:val="007C71CA"/>
    <w:rsid w:val="007C7602"/>
    <w:rsid w:val="007C7D6F"/>
    <w:rsid w:val="007D051A"/>
    <w:rsid w:val="007D0C9D"/>
    <w:rsid w:val="007D0DEF"/>
    <w:rsid w:val="007D0F36"/>
    <w:rsid w:val="007D109C"/>
    <w:rsid w:val="007D1EF6"/>
    <w:rsid w:val="007D2793"/>
    <w:rsid w:val="007D2A83"/>
    <w:rsid w:val="007D2ACF"/>
    <w:rsid w:val="007D329A"/>
    <w:rsid w:val="007D3482"/>
    <w:rsid w:val="007D34FE"/>
    <w:rsid w:val="007D3BBD"/>
    <w:rsid w:val="007D3DE8"/>
    <w:rsid w:val="007D3E13"/>
    <w:rsid w:val="007D3FBE"/>
    <w:rsid w:val="007D47DE"/>
    <w:rsid w:val="007D4891"/>
    <w:rsid w:val="007D48A5"/>
    <w:rsid w:val="007D521E"/>
    <w:rsid w:val="007D54F7"/>
    <w:rsid w:val="007D56F1"/>
    <w:rsid w:val="007D57D9"/>
    <w:rsid w:val="007D5911"/>
    <w:rsid w:val="007D5954"/>
    <w:rsid w:val="007D59C0"/>
    <w:rsid w:val="007D59C9"/>
    <w:rsid w:val="007D59F2"/>
    <w:rsid w:val="007D5CB4"/>
    <w:rsid w:val="007D68FC"/>
    <w:rsid w:val="007D6B92"/>
    <w:rsid w:val="007D7605"/>
    <w:rsid w:val="007D79CD"/>
    <w:rsid w:val="007D7BA9"/>
    <w:rsid w:val="007D7CCA"/>
    <w:rsid w:val="007D7F5B"/>
    <w:rsid w:val="007D7F98"/>
    <w:rsid w:val="007E0456"/>
    <w:rsid w:val="007E051F"/>
    <w:rsid w:val="007E06EA"/>
    <w:rsid w:val="007E07DB"/>
    <w:rsid w:val="007E092F"/>
    <w:rsid w:val="007E0AED"/>
    <w:rsid w:val="007E0CF1"/>
    <w:rsid w:val="007E136D"/>
    <w:rsid w:val="007E14C4"/>
    <w:rsid w:val="007E16E5"/>
    <w:rsid w:val="007E175F"/>
    <w:rsid w:val="007E19A6"/>
    <w:rsid w:val="007E19E9"/>
    <w:rsid w:val="007E208A"/>
    <w:rsid w:val="007E2946"/>
    <w:rsid w:val="007E2AD0"/>
    <w:rsid w:val="007E2B5C"/>
    <w:rsid w:val="007E320F"/>
    <w:rsid w:val="007E33AE"/>
    <w:rsid w:val="007E375A"/>
    <w:rsid w:val="007E3900"/>
    <w:rsid w:val="007E3D4B"/>
    <w:rsid w:val="007E3F57"/>
    <w:rsid w:val="007E40EE"/>
    <w:rsid w:val="007E4271"/>
    <w:rsid w:val="007E46AD"/>
    <w:rsid w:val="007E4AF8"/>
    <w:rsid w:val="007E5126"/>
    <w:rsid w:val="007E5339"/>
    <w:rsid w:val="007E5872"/>
    <w:rsid w:val="007E5889"/>
    <w:rsid w:val="007E58A3"/>
    <w:rsid w:val="007E5B4E"/>
    <w:rsid w:val="007E649B"/>
    <w:rsid w:val="007E694C"/>
    <w:rsid w:val="007E6AE1"/>
    <w:rsid w:val="007E7171"/>
    <w:rsid w:val="007E7504"/>
    <w:rsid w:val="007F0D3C"/>
    <w:rsid w:val="007F12FF"/>
    <w:rsid w:val="007F1347"/>
    <w:rsid w:val="007F139F"/>
    <w:rsid w:val="007F1526"/>
    <w:rsid w:val="007F17D1"/>
    <w:rsid w:val="007F1A74"/>
    <w:rsid w:val="007F1A8B"/>
    <w:rsid w:val="007F1FA0"/>
    <w:rsid w:val="007F2502"/>
    <w:rsid w:val="007F2A15"/>
    <w:rsid w:val="007F2AD9"/>
    <w:rsid w:val="007F30AC"/>
    <w:rsid w:val="007F30EA"/>
    <w:rsid w:val="007F3358"/>
    <w:rsid w:val="007F360E"/>
    <w:rsid w:val="007F3BE7"/>
    <w:rsid w:val="007F3FAF"/>
    <w:rsid w:val="007F4196"/>
    <w:rsid w:val="007F441F"/>
    <w:rsid w:val="007F4768"/>
    <w:rsid w:val="007F4C8C"/>
    <w:rsid w:val="007F62CF"/>
    <w:rsid w:val="007F640B"/>
    <w:rsid w:val="007F685A"/>
    <w:rsid w:val="007F6922"/>
    <w:rsid w:val="007F6E06"/>
    <w:rsid w:val="007F7410"/>
    <w:rsid w:val="007F747A"/>
    <w:rsid w:val="007F750A"/>
    <w:rsid w:val="007F7562"/>
    <w:rsid w:val="007F758D"/>
    <w:rsid w:val="007F7ACC"/>
    <w:rsid w:val="0080016F"/>
    <w:rsid w:val="008001E1"/>
    <w:rsid w:val="00800469"/>
    <w:rsid w:val="00800E64"/>
    <w:rsid w:val="00801064"/>
    <w:rsid w:val="008010F1"/>
    <w:rsid w:val="00801AD3"/>
    <w:rsid w:val="00801CC3"/>
    <w:rsid w:val="00801DBE"/>
    <w:rsid w:val="00802320"/>
    <w:rsid w:val="008023D3"/>
    <w:rsid w:val="00802788"/>
    <w:rsid w:val="00802AA2"/>
    <w:rsid w:val="0080306D"/>
    <w:rsid w:val="00803778"/>
    <w:rsid w:val="00803A54"/>
    <w:rsid w:val="00803CD7"/>
    <w:rsid w:val="008042DA"/>
    <w:rsid w:val="0080479F"/>
    <w:rsid w:val="0080488F"/>
    <w:rsid w:val="00804950"/>
    <w:rsid w:val="008049BB"/>
    <w:rsid w:val="00804E32"/>
    <w:rsid w:val="00805326"/>
    <w:rsid w:val="00805BCE"/>
    <w:rsid w:val="008060A1"/>
    <w:rsid w:val="0080645F"/>
    <w:rsid w:val="0080670C"/>
    <w:rsid w:val="00806F9D"/>
    <w:rsid w:val="00807097"/>
    <w:rsid w:val="00807484"/>
    <w:rsid w:val="008078A9"/>
    <w:rsid w:val="00810747"/>
    <w:rsid w:val="00810C07"/>
    <w:rsid w:val="00810CE9"/>
    <w:rsid w:val="0081135E"/>
    <w:rsid w:val="00811C69"/>
    <w:rsid w:val="00811EFC"/>
    <w:rsid w:val="00811F56"/>
    <w:rsid w:val="00812114"/>
    <w:rsid w:val="008122A0"/>
    <w:rsid w:val="00812A8D"/>
    <w:rsid w:val="00812DD5"/>
    <w:rsid w:val="0081324A"/>
    <w:rsid w:val="008134B5"/>
    <w:rsid w:val="00813C6F"/>
    <w:rsid w:val="00814045"/>
    <w:rsid w:val="008141E1"/>
    <w:rsid w:val="00814349"/>
    <w:rsid w:val="00814461"/>
    <w:rsid w:val="008145A3"/>
    <w:rsid w:val="008145DD"/>
    <w:rsid w:val="00814BDD"/>
    <w:rsid w:val="00814F81"/>
    <w:rsid w:val="0081508A"/>
    <w:rsid w:val="00815ADB"/>
    <w:rsid w:val="00815B41"/>
    <w:rsid w:val="00815BBE"/>
    <w:rsid w:val="00816257"/>
    <w:rsid w:val="00816CA5"/>
    <w:rsid w:val="00817621"/>
    <w:rsid w:val="0081766B"/>
    <w:rsid w:val="008176EC"/>
    <w:rsid w:val="008177C6"/>
    <w:rsid w:val="00817B01"/>
    <w:rsid w:val="0082015C"/>
    <w:rsid w:val="0082050D"/>
    <w:rsid w:val="00821321"/>
    <w:rsid w:val="00821C4C"/>
    <w:rsid w:val="0082302D"/>
    <w:rsid w:val="0082304B"/>
    <w:rsid w:val="00823348"/>
    <w:rsid w:val="00823A4D"/>
    <w:rsid w:val="00823E38"/>
    <w:rsid w:val="0082411F"/>
    <w:rsid w:val="00824478"/>
    <w:rsid w:val="00824B95"/>
    <w:rsid w:val="00824C66"/>
    <w:rsid w:val="00824E09"/>
    <w:rsid w:val="00826011"/>
    <w:rsid w:val="0082621E"/>
    <w:rsid w:val="00826288"/>
    <w:rsid w:val="008263F2"/>
    <w:rsid w:val="00826B73"/>
    <w:rsid w:val="0082784D"/>
    <w:rsid w:val="00827C33"/>
    <w:rsid w:val="008303F6"/>
    <w:rsid w:val="00830A76"/>
    <w:rsid w:val="008310EA"/>
    <w:rsid w:val="00831295"/>
    <w:rsid w:val="00831B40"/>
    <w:rsid w:val="00831C65"/>
    <w:rsid w:val="00831CBA"/>
    <w:rsid w:val="00832059"/>
    <w:rsid w:val="0083215A"/>
    <w:rsid w:val="0083274E"/>
    <w:rsid w:val="0083275D"/>
    <w:rsid w:val="008328D8"/>
    <w:rsid w:val="008329D9"/>
    <w:rsid w:val="00833646"/>
    <w:rsid w:val="008338F1"/>
    <w:rsid w:val="00833F28"/>
    <w:rsid w:val="00834334"/>
    <w:rsid w:val="008343EF"/>
    <w:rsid w:val="00834566"/>
    <w:rsid w:val="008346EA"/>
    <w:rsid w:val="00834C64"/>
    <w:rsid w:val="00834EE1"/>
    <w:rsid w:val="00834F75"/>
    <w:rsid w:val="008351FE"/>
    <w:rsid w:val="00835590"/>
    <w:rsid w:val="00835C6A"/>
    <w:rsid w:val="00836163"/>
    <w:rsid w:val="0083675E"/>
    <w:rsid w:val="008369F9"/>
    <w:rsid w:val="00836A4E"/>
    <w:rsid w:val="00836B18"/>
    <w:rsid w:val="00837AA5"/>
    <w:rsid w:val="00837B8F"/>
    <w:rsid w:val="00837DE8"/>
    <w:rsid w:val="00837E9A"/>
    <w:rsid w:val="00837F11"/>
    <w:rsid w:val="0084009E"/>
    <w:rsid w:val="00840C91"/>
    <w:rsid w:val="00840E66"/>
    <w:rsid w:val="00840F2D"/>
    <w:rsid w:val="0084129D"/>
    <w:rsid w:val="008415B5"/>
    <w:rsid w:val="0084171D"/>
    <w:rsid w:val="00841981"/>
    <w:rsid w:val="00841E85"/>
    <w:rsid w:val="00842222"/>
    <w:rsid w:val="0084232B"/>
    <w:rsid w:val="00842607"/>
    <w:rsid w:val="00842E33"/>
    <w:rsid w:val="00842E6E"/>
    <w:rsid w:val="008436A5"/>
    <w:rsid w:val="00843C20"/>
    <w:rsid w:val="00843F12"/>
    <w:rsid w:val="008440AA"/>
    <w:rsid w:val="00844805"/>
    <w:rsid w:val="0084500D"/>
    <w:rsid w:val="0084597A"/>
    <w:rsid w:val="00845A1D"/>
    <w:rsid w:val="00845C38"/>
    <w:rsid w:val="00846469"/>
    <w:rsid w:val="00846597"/>
    <w:rsid w:val="008468B6"/>
    <w:rsid w:val="00846B00"/>
    <w:rsid w:val="00846D14"/>
    <w:rsid w:val="00847199"/>
    <w:rsid w:val="008473E4"/>
    <w:rsid w:val="0084799E"/>
    <w:rsid w:val="008479B6"/>
    <w:rsid w:val="008501F6"/>
    <w:rsid w:val="008502F4"/>
    <w:rsid w:val="008505BB"/>
    <w:rsid w:val="008510D0"/>
    <w:rsid w:val="008511B9"/>
    <w:rsid w:val="0085219D"/>
    <w:rsid w:val="00852497"/>
    <w:rsid w:val="00852D06"/>
    <w:rsid w:val="00852D2C"/>
    <w:rsid w:val="00852DF1"/>
    <w:rsid w:val="008531CC"/>
    <w:rsid w:val="0085345F"/>
    <w:rsid w:val="00853988"/>
    <w:rsid w:val="00853A46"/>
    <w:rsid w:val="00853F2C"/>
    <w:rsid w:val="00853FA2"/>
    <w:rsid w:val="00854028"/>
    <w:rsid w:val="00854281"/>
    <w:rsid w:val="00854322"/>
    <w:rsid w:val="00854A0F"/>
    <w:rsid w:val="00854B2A"/>
    <w:rsid w:val="00856573"/>
    <w:rsid w:val="008565AA"/>
    <w:rsid w:val="008567EB"/>
    <w:rsid w:val="008569B9"/>
    <w:rsid w:val="00857361"/>
    <w:rsid w:val="008579CB"/>
    <w:rsid w:val="0086023E"/>
    <w:rsid w:val="00860296"/>
    <w:rsid w:val="00860DDF"/>
    <w:rsid w:val="00861716"/>
    <w:rsid w:val="0086172F"/>
    <w:rsid w:val="008617DE"/>
    <w:rsid w:val="00861EA4"/>
    <w:rsid w:val="00862057"/>
    <w:rsid w:val="008623A4"/>
    <w:rsid w:val="008624EC"/>
    <w:rsid w:val="008625C9"/>
    <w:rsid w:val="00862EA6"/>
    <w:rsid w:val="00863C85"/>
    <w:rsid w:val="00864163"/>
    <w:rsid w:val="00864874"/>
    <w:rsid w:val="0086499C"/>
    <w:rsid w:val="00864D16"/>
    <w:rsid w:val="00864EF0"/>
    <w:rsid w:val="0086570D"/>
    <w:rsid w:val="00865D0F"/>
    <w:rsid w:val="00865D5C"/>
    <w:rsid w:val="00866D0B"/>
    <w:rsid w:val="00866DAF"/>
    <w:rsid w:val="00866E8A"/>
    <w:rsid w:val="00866EA2"/>
    <w:rsid w:val="0086785A"/>
    <w:rsid w:val="00867BC6"/>
    <w:rsid w:val="00867CE4"/>
    <w:rsid w:val="00867D73"/>
    <w:rsid w:val="00867EFE"/>
    <w:rsid w:val="0087004D"/>
    <w:rsid w:val="00870214"/>
    <w:rsid w:val="008703CC"/>
    <w:rsid w:val="00870A00"/>
    <w:rsid w:val="008717E0"/>
    <w:rsid w:val="008719A5"/>
    <w:rsid w:val="00871E53"/>
    <w:rsid w:val="0087222E"/>
    <w:rsid w:val="008725EE"/>
    <w:rsid w:val="00872D01"/>
    <w:rsid w:val="00873341"/>
    <w:rsid w:val="00873815"/>
    <w:rsid w:val="00873BD4"/>
    <w:rsid w:val="00873FA6"/>
    <w:rsid w:val="00873FF8"/>
    <w:rsid w:val="008740BF"/>
    <w:rsid w:val="0087478C"/>
    <w:rsid w:val="008749EF"/>
    <w:rsid w:val="00874ADB"/>
    <w:rsid w:val="00874E11"/>
    <w:rsid w:val="008751C4"/>
    <w:rsid w:val="00875745"/>
    <w:rsid w:val="008759D2"/>
    <w:rsid w:val="008763E8"/>
    <w:rsid w:val="0087650A"/>
    <w:rsid w:val="00876557"/>
    <w:rsid w:val="008769C8"/>
    <w:rsid w:val="00876E26"/>
    <w:rsid w:val="00877C5B"/>
    <w:rsid w:val="00877FD6"/>
    <w:rsid w:val="008800DE"/>
    <w:rsid w:val="008802B7"/>
    <w:rsid w:val="00880A71"/>
    <w:rsid w:val="00880C5F"/>
    <w:rsid w:val="00880E5D"/>
    <w:rsid w:val="00880E76"/>
    <w:rsid w:val="00881290"/>
    <w:rsid w:val="008818D2"/>
    <w:rsid w:val="00881B71"/>
    <w:rsid w:val="00881D78"/>
    <w:rsid w:val="00881FAF"/>
    <w:rsid w:val="00882686"/>
    <w:rsid w:val="0088292D"/>
    <w:rsid w:val="00882E2A"/>
    <w:rsid w:val="008835D0"/>
    <w:rsid w:val="008835DB"/>
    <w:rsid w:val="00883C8A"/>
    <w:rsid w:val="00883E8B"/>
    <w:rsid w:val="0088480B"/>
    <w:rsid w:val="00884822"/>
    <w:rsid w:val="008857B7"/>
    <w:rsid w:val="008862EE"/>
    <w:rsid w:val="00886CDD"/>
    <w:rsid w:val="00887033"/>
    <w:rsid w:val="0088791E"/>
    <w:rsid w:val="00887ABD"/>
    <w:rsid w:val="00887CAE"/>
    <w:rsid w:val="00890263"/>
    <w:rsid w:val="00890781"/>
    <w:rsid w:val="008908C9"/>
    <w:rsid w:val="00890C06"/>
    <w:rsid w:val="00890E56"/>
    <w:rsid w:val="00890EE6"/>
    <w:rsid w:val="008912A8"/>
    <w:rsid w:val="0089136F"/>
    <w:rsid w:val="00891E51"/>
    <w:rsid w:val="008920BD"/>
    <w:rsid w:val="00892153"/>
    <w:rsid w:val="00892E2A"/>
    <w:rsid w:val="00893404"/>
    <w:rsid w:val="00894097"/>
    <w:rsid w:val="00894851"/>
    <w:rsid w:val="00894CCB"/>
    <w:rsid w:val="00894DB9"/>
    <w:rsid w:val="008951E1"/>
    <w:rsid w:val="008957CE"/>
    <w:rsid w:val="0089594C"/>
    <w:rsid w:val="008963EF"/>
    <w:rsid w:val="008967F6"/>
    <w:rsid w:val="00896921"/>
    <w:rsid w:val="00896F15"/>
    <w:rsid w:val="0089732D"/>
    <w:rsid w:val="0089760C"/>
    <w:rsid w:val="00897E40"/>
    <w:rsid w:val="008A0667"/>
    <w:rsid w:val="008A0727"/>
    <w:rsid w:val="008A078C"/>
    <w:rsid w:val="008A0940"/>
    <w:rsid w:val="008A17BE"/>
    <w:rsid w:val="008A17C5"/>
    <w:rsid w:val="008A19B9"/>
    <w:rsid w:val="008A1F90"/>
    <w:rsid w:val="008A27F2"/>
    <w:rsid w:val="008A2976"/>
    <w:rsid w:val="008A2A8E"/>
    <w:rsid w:val="008A2A93"/>
    <w:rsid w:val="008A2E7A"/>
    <w:rsid w:val="008A2FF2"/>
    <w:rsid w:val="008A3FCD"/>
    <w:rsid w:val="008A45F2"/>
    <w:rsid w:val="008A4B37"/>
    <w:rsid w:val="008A4E0D"/>
    <w:rsid w:val="008A4EA1"/>
    <w:rsid w:val="008A56DB"/>
    <w:rsid w:val="008A5927"/>
    <w:rsid w:val="008A5CB5"/>
    <w:rsid w:val="008A5D56"/>
    <w:rsid w:val="008A5FC3"/>
    <w:rsid w:val="008A60B7"/>
    <w:rsid w:val="008A639A"/>
    <w:rsid w:val="008A6607"/>
    <w:rsid w:val="008A67A7"/>
    <w:rsid w:val="008A6B48"/>
    <w:rsid w:val="008A6B90"/>
    <w:rsid w:val="008A75F1"/>
    <w:rsid w:val="008A7B54"/>
    <w:rsid w:val="008A7EC1"/>
    <w:rsid w:val="008B0077"/>
    <w:rsid w:val="008B00CF"/>
    <w:rsid w:val="008B069B"/>
    <w:rsid w:val="008B0A37"/>
    <w:rsid w:val="008B0B77"/>
    <w:rsid w:val="008B0F45"/>
    <w:rsid w:val="008B10A3"/>
    <w:rsid w:val="008B1109"/>
    <w:rsid w:val="008B18D3"/>
    <w:rsid w:val="008B26A7"/>
    <w:rsid w:val="008B2799"/>
    <w:rsid w:val="008B2C26"/>
    <w:rsid w:val="008B3E1B"/>
    <w:rsid w:val="008B3FB3"/>
    <w:rsid w:val="008B4724"/>
    <w:rsid w:val="008B4899"/>
    <w:rsid w:val="008B4DF1"/>
    <w:rsid w:val="008B4F0F"/>
    <w:rsid w:val="008B5D8D"/>
    <w:rsid w:val="008B634B"/>
    <w:rsid w:val="008B6764"/>
    <w:rsid w:val="008B6856"/>
    <w:rsid w:val="008B72F2"/>
    <w:rsid w:val="008B769A"/>
    <w:rsid w:val="008C0224"/>
    <w:rsid w:val="008C03A1"/>
    <w:rsid w:val="008C0646"/>
    <w:rsid w:val="008C0758"/>
    <w:rsid w:val="008C0ADB"/>
    <w:rsid w:val="008C0E2E"/>
    <w:rsid w:val="008C19DB"/>
    <w:rsid w:val="008C1E8A"/>
    <w:rsid w:val="008C1F19"/>
    <w:rsid w:val="008C1F4B"/>
    <w:rsid w:val="008C1F5D"/>
    <w:rsid w:val="008C1F5F"/>
    <w:rsid w:val="008C2061"/>
    <w:rsid w:val="008C2509"/>
    <w:rsid w:val="008C2659"/>
    <w:rsid w:val="008C27F3"/>
    <w:rsid w:val="008C28A9"/>
    <w:rsid w:val="008C2929"/>
    <w:rsid w:val="008C29E4"/>
    <w:rsid w:val="008C2D57"/>
    <w:rsid w:val="008C35D3"/>
    <w:rsid w:val="008C3D8C"/>
    <w:rsid w:val="008C48A1"/>
    <w:rsid w:val="008C49E2"/>
    <w:rsid w:val="008C4B34"/>
    <w:rsid w:val="008C4EDA"/>
    <w:rsid w:val="008C5356"/>
    <w:rsid w:val="008C55BC"/>
    <w:rsid w:val="008C5CA9"/>
    <w:rsid w:val="008C5CAF"/>
    <w:rsid w:val="008C5CE3"/>
    <w:rsid w:val="008C6152"/>
    <w:rsid w:val="008C6360"/>
    <w:rsid w:val="008C642A"/>
    <w:rsid w:val="008C677A"/>
    <w:rsid w:val="008C686D"/>
    <w:rsid w:val="008C68F1"/>
    <w:rsid w:val="008C68FE"/>
    <w:rsid w:val="008C69F8"/>
    <w:rsid w:val="008C6D20"/>
    <w:rsid w:val="008C6E06"/>
    <w:rsid w:val="008C74A2"/>
    <w:rsid w:val="008C7A0D"/>
    <w:rsid w:val="008D047A"/>
    <w:rsid w:val="008D080C"/>
    <w:rsid w:val="008D0B5B"/>
    <w:rsid w:val="008D118E"/>
    <w:rsid w:val="008D12C7"/>
    <w:rsid w:val="008D1CF5"/>
    <w:rsid w:val="008D1E7F"/>
    <w:rsid w:val="008D27E4"/>
    <w:rsid w:val="008D29F7"/>
    <w:rsid w:val="008D2A7D"/>
    <w:rsid w:val="008D2B7D"/>
    <w:rsid w:val="008D2D24"/>
    <w:rsid w:val="008D348D"/>
    <w:rsid w:val="008D3806"/>
    <w:rsid w:val="008D3F70"/>
    <w:rsid w:val="008D4493"/>
    <w:rsid w:val="008D499D"/>
    <w:rsid w:val="008D49B0"/>
    <w:rsid w:val="008D4B4E"/>
    <w:rsid w:val="008D53CB"/>
    <w:rsid w:val="008D5739"/>
    <w:rsid w:val="008D5C52"/>
    <w:rsid w:val="008D5D50"/>
    <w:rsid w:val="008D5ED2"/>
    <w:rsid w:val="008D6BE3"/>
    <w:rsid w:val="008D6CEE"/>
    <w:rsid w:val="008D7005"/>
    <w:rsid w:val="008E0063"/>
    <w:rsid w:val="008E051A"/>
    <w:rsid w:val="008E05B3"/>
    <w:rsid w:val="008E0899"/>
    <w:rsid w:val="008E0AAD"/>
    <w:rsid w:val="008E112C"/>
    <w:rsid w:val="008E14C9"/>
    <w:rsid w:val="008E1521"/>
    <w:rsid w:val="008E1714"/>
    <w:rsid w:val="008E1A05"/>
    <w:rsid w:val="008E1A5F"/>
    <w:rsid w:val="008E1D3E"/>
    <w:rsid w:val="008E26F8"/>
    <w:rsid w:val="008E28EB"/>
    <w:rsid w:val="008E2EFF"/>
    <w:rsid w:val="008E2F56"/>
    <w:rsid w:val="008E3B77"/>
    <w:rsid w:val="008E3C53"/>
    <w:rsid w:val="008E3C92"/>
    <w:rsid w:val="008E3CC9"/>
    <w:rsid w:val="008E4978"/>
    <w:rsid w:val="008E4B5F"/>
    <w:rsid w:val="008E4BCA"/>
    <w:rsid w:val="008E4D22"/>
    <w:rsid w:val="008E4DF5"/>
    <w:rsid w:val="008E4F46"/>
    <w:rsid w:val="008E4F7E"/>
    <w:rsid w:val="008E51FA"/>
    <w:rsid w:val="008E53CB"/>
    <w:rsid w:val="008E5D18"/>
    <w:rsid w:val="008E629E"/>
    <w:rsid w:val="008E6512"/>
    <w:rsid w:val="008E6565"/>
    <w:rsid w:val="008E6591"/>
    <w:rsid w:val="008E6956"/>
    <w:rsid w:val="008E7175"/>
    <w:rsid w:val="008E7844"/>
    <w:rsid w:val="008E7C5B"/>
    <w:rsid w:val="008E7D43"/>
    <w:rsid w:val="008E7E66"/>
    <w:rsid w:val="008F01E8"/>
    <w:rsid w:val="008F02F8"/>
    <w:rsid w:val="008F044D"/>
    <w:rsid w:val="008F05B8"/>
    <w:rsid w:val="008F0741"/>
    <w:rsid w:val="008F0D99"/>
    <w:rsid w:val="008F123C"/>
    <w:rsid w:val="008F15A1"/>
    <w:rsid w:val="008F1A70"/>
    <w:rsid w:val="008F1DDA"/>
    <w:rsid w:val="008F26B4"/>
    <w:rsid w:val="008F2B26"/>
    <w:rsid w:val="008F2C95"/>
    <w:rsid w:val="008F2E1D"/>
    <w:rsid w:val="008F2EF1"/>
    <w:rsid w:val="008F3169"/>
    <w:rsid w:val="008F33FE"/>
    <w:rsid w:val="008F350F"/>
    <w:rsid w:val="008F37F3"/>
    <w:rsid w:val="008F3AD1"/>
    <w:rsid w:val="008F50C1"/>
    <w:rsid w:val="008F52D8"/>
    <w:rsid w:val="008F58EA"/>
    <w:rsid w:val="008F6075"/>
    <w:rsid w:val="008F66DC"/>
    <w:rsid w:val="008F67F4"/>
    <w:rsid w:val="008F6E4D"/>
    <w:rsid w:val="008F6F72"/>
    <w:rsid w:val="008F744E"/>
    <w:rsid w:val="008F7726"/>
    <w:rsid w:val="008F79B2"/>
    <w:rsid w:val="008F7DDE"/>
    <w:rsid w:val="008F7FD8"/>
    <w:rsid w:val="00900131"/>
    <w:rsid w:val="009006D6"/>
    <w:rsid w:val="00900C0C"/>
    <w:rsid w:val="00900C70"/>
    <w:rsid w:val="00900E9A"/>
    <w:rsid w:val="00901562"/>
    <w:rsid w:val="009022C6"/>
    <w:rsid w:val="009024DD"/>
    <w:rsid w:val="00902ABC"/>
    <w:rsid w:val="00902F52"/>
    <w:rsid w:val="00902FF8"/>
    <w:rsid w:val="009037C9"/>
    <w:rsid w:val="00903912"/>
    <w:rsid w:val="009040B2"/>
    <w:rsid w:val="009042E1"/>
    <w:rsid w:val="00904851"/>
    <w:rsid w:val="00904B85"/>
    <w:rsid w:val="00905833"/>
    <w:rsid w:val="00905EB9"/>
    <w:rsid w:val="00906019"/>
    <w:rsid w:val="00906215"/>
    <w:rsid w:val="0090660F"/>
    <w:rsid w:val="00906674"/>
    <w:rsid w:val="009066B7"/>
    <w:rsid w:val="00906872"/>
    <w:rsid w:val="00906C69"/>
    <w:rsid w:val="00906DA2"/>
    <w:rsid w:val="00907035"/>
    <w:rsid w:val="009071A2"/>
    <w:rsid w:val="009071FB"/>
    <w:rsid w:val="009077C3"/>
    <w:rsid w:val="00907A00"/>
    <w:rsid w:val="00907B7E"/>
    <w:rsid w:val="00907F64"/>
    <w:rsid w:val="0091029D"/>
    <w:rsid w:val="0091073A"/>
    <w:rsid w:val="00910879"/>
    <w:rsid w:val="00910FDC"/>
    <w:rsid w:val="00911542"/>
    <w:rsid w:val="009118DA"/>
    <w:rsid w:val="00911B91"/>
    <w:rsid w:val="00912025"/>
    <w:rsid w:val="009121D8"/>
    <w:rsid w:val="00912521"/>
    <w:rsid w:val="009128A3"/>
    <w:rsid w:val="009129F2"/>
    <w:rsid w:val="00912CE8"/>
    <w:rsid w:val="00912EE4"/>
    <w:rsid w:val="00912FB4"/>
    <w:rsid w:val="0091314E"/>
    <w:rsid w:val="00913E1D"/>
    <w:rsid w:val="00913EA4"/>
    <w:rsid w:val="00914792"/>
    <w:rsid w:val="00914C2B"/>
    <w:rsid w:val="00915840"/>
    <w:rsid w:val="00915910"/>
    <w:rsid w:val="009160C5"/>
    <w:rsid w:val="0091646A"/>
    <w:rsid w:val="0091760F"/>
    <w:rsid w:val="00917AA1"/>
    <w:rsid w:val="00920056"/>
    <w:rsid w:val="009200D9"/>
    <w:rsid w:val="009207FE"/>
    <w:rsid w:val="00920CB0"/>
    <w:rsid w:val="009212F0"/>
    <w:rsid w:val="00921438"/>
    <w:rsid w:val="0092145E"/>
    <w:rsid w:val="0092212A"/>
    <w:rsid w:val="009221E2"/>
    <w:rsid w:val="00922232"/>
    <w:rsid w:val="009223A8"/>
    <w:rsid w:val="00922885"/>
    <w:rsid w:val="00922905"/>
    <w:rsid w:val="009232A6"/>
    <w:rsid w:val="0092346E"/>
    <w:rsid w:val="0092351F"/>
    <w:rsid w:val="00923B7C"/>
    <w:rsid w:val="00923FF1"/>
    <w:rsid w:val="009241D6"/>
    <w:rsid w:val="009249A3"/>
    <w:rsid w:val="00924B4B"/>
    <w:rsid w:val="00924E7E"/>
    <w:rsid w:val="00925104"/>
    <w:rsid w:val="0092562A"/>
    <w:rsid w:val="009256E8"/>
    <w:rsid w:val="00926120"/>
    <w:rsid w:val="009261E2"/>
    <w:rsid w:val="009264D2"/>
    <w:rsid w:val="00926B51"/>
    <w:rsid w:val="0092705D"/>
    <w:rsid w:val="00927352"/>
    <w:rsid w:val="009274EA"/>
    <w:rsid w:val="009275F3"/>
    <w:rsid w:val="009276D2"/>
    <w:rsid w:val="00930941"/>
    <w:rsid w:val="00930BE0"/>
    <w:rsid w:val="00931B1B"/>
    <w:rsid w:val="00931B7E"/>
    <w:rsid w:val="00931C9F"/>
    <w:rsid w:val="0093228D"/>
    <w:rsid w:val="00932457"/>
    <w:rsid w:val="00932545"/>
    <w:rsid w:val="00932715"/>
    <w:rsid w:val="0093292E"/>
    <w:rsid w:val="00933414"/>
    <w:rsid w:val="00933785"/>
    <w:rsid w:val="009337AC"/>
    <w:rsid w:val="0093393D"/>
    <w:rsid w:val="00933BD7"/>
    <w:rsid w:val="00933CFC"/>
    <w:rsid w:val="00933DB9"/>
    <w:rsid w:val="00934249"/>
    <w:rsid w:val="00934945"/>
    <w:rsid w:val="00934DE1"/>
    <w:rsid w:val="00934EA1"/>
    <w:rsid w:val="00934F00"/>
    <w:rsid w:val="00934F93"/>
    <w:rsid w:val="009356DE"/>
    <w:rsid w:val="00935A3E"/>
    <w:rsid w:val="00935B66"/>
    <w:rsid w:val="00935BB4"/>
    <w:rsid w:val="00935C7B"/>
    <w:rsid w:val="00936145"/>
    <w:rsid w:val="00936AC0"/>
    <w:rsid w:val="00936CBF"/>
    <w:rsid w:val="00937ADF"/>
    <w:rsid w:val="00937BCF"/>
    <w:rsid w:val="00940098"/>
    <w:rsid w:val="00940208"/>
    <w:rsid w:val="00940699"/>
    <w:rsid w:val="00940A06"/>
    <w:rsid w:val="00940A90"/>
    <w:rsid w:val="00940D20"/>
    <w:rsid w:val="0094150D"/>
    <w:rsid w:val="00941561"/>
    <w:rsid w:val="009417ED"/>
    <w:rsid w:val="0094183D"/>
    <w:rsid w:val="0094192C"/>
    <w:rsid w:val="00941B5E"/>
    <w:rsid w:val="00941C49"/>
    <w:rsid w:val="00942134"/>
    <w:rsid w:val="00942168"/>
    <w:rsid w:val="009425B4"/>
    <w:rsid w:val="0094289B"/>
    <w:rsid w:val="0094313E"/>
    <w:rsid w:val="009435EC"/>
    <w:rsid w:val="00943D1A"/>
    <w:rsid w:val="00943D76"/>
    <w:rsid w:val="009445B6"/>
    <w:rsid w:val="009445C9"/>
    <w:rsid w:val="00944611"/>
    <w:rsid w:val="009446B4"/>
    <w:rsid w:val="00944A1C"/>
    <w:rsid w:val="00944A28"/>
    <w:rsid w:val="00944A94"/>
    <w:rsid w:val="0094533E"/>
    <w:rsid w:val="00945CD2"/>
    <w:rsid w:val="00945D93"/>
    <w:rsid w:val="00945EB7"/>
    <w:rsid w:val="0094623B"/>
    <w:rsid w:val="00946416"/>
    <w:rsid w:val="00946535"/>
    <w:rsid w:val="0094658C"/>
    <w:rsid w:val="0094698A"/>
    <w:rsid w:val="00947363"/>
    <w:rsid w:val="0094798C"/>
    <w:rsid w:val="00947FDF"/>
    <w:rsid w:val="0095024D"/>
    <w:rsid w:val="00950401"/>
    <w:rsid w:val="00950442"/>
    <w:rsid w:val="0095057A"/>
    <w:rsid w:val="009507FC"/>
    <w:rsid w:val="00951D00"/>
    <w:rsid w:val="00952061"/>
    <w:rsid w:val="0095276B"/>
    <w:rsid w:val="009528B3"/>
    <w:rsid w:val="00952E11"/>
    <w:rsid w:val="00952F92"/>
    <w:rsid w:val="00953333"/>
    <w:rsid w:val="00953555"/>
    <w:rsid w:val="0095361C"/>
    <w:rsid w:val="00953A35"/>
    <w:rsid w:val="00953FEF"/>
    <w:rsid w:val="00954A17"/>
    <w:rsid w:val="00954F9D"/>
    <w:rsid w:val="00955003"/>
    <w:rsid w:val="00955863"/>
    <w:rsid w:val="00955D2B"/>
    <w:rsid w:val="00955D69"/>
    <w:rsid w:val="00956500"/>
    <w:rsid w:val="00956965"/>
    <w:rsid w:val="009569CB"/>
    <w:rsid w:val="0095746D"/>
    <w:rsid w:val="009574BD"/>
    <w:rsid w:val="009578A3"/>
    <w:rsid w:val="00957D11"/>
    <w:rsid w:val="00957E54"/>
    <w:rsid w:val="00957E5D"/>
    <w:rsid w:val="00957ECF"/>
    <w:rsid w:val="00960351"/>
    <w:rsid w:val="00960379"/>
    <w:rsid w:val="00960535"/>
    <w:rsid w:val="00961EB2"/>
    <w:rsid w:val="009620C5"/>
    <w:rsid w:val="00962305"/>
    <w:rsid w:val="009624F6"/>
    <w:rsid w:val="00962A5A"/>
    <w:rsid w:val="00963ABB"/>
    <w:rsid w:val="0096435C"/>
    <w:rsid w:val="0096446E"/>
    <w:rsid w:val="0096462E"/>
    <w:rsid w:val="00964840"/>
    <w:rsid w:val="00964BBF"/>
    <w:rsid w:val="00964C60"/>
    <w:rsid w:val="009650F3"/>
    <w:rsid w:val="00965136"/>
    <w:rsid w:val="0096530D"/>
    <w:rsid w:val="00965DE7"/>
    <w:rsid w:val="00965F68"/>
    <w:rsid w:val="009664E6"/>
    <w:rsid w:val="00966AF3"/>
    <w:rsid w:val="0096705F"/>
    <w:rsid w:val="00967367"/>
    <w:rsid w:val="00967408"/>
    <w:rsid w:val="00967700"/>
    <w:rsid w:val="0096790D"/>
    <w:rsid w:val="00967ADA"/>
    <w:rsid w:val="00967D7E"/>
    <w:rsid w:val="00967F08"/>
    <w:rsid w:val="00970009"/>
    <w:rsid w:val="0097012E"/>
    <w:rsid w:val="0097013B"/>
    <w:rsid w:val="00970195"/>
    <w:rsid w:val="0097027A"/>
    <w:rsid w:val="00970331"/>
    <w:rsid w:val="009705D5"/>
    <w:rsid w:val="0097097C"/>
    <w:rsid w:val="00971624"/>
    <w:rsid w:val="00971763"/>
    <w:rsid w:val="0097194C"/>
    <w:rsid w:val="009720CA"/>
    <w:rsid w:val="0097248E"/>
    <w:rsid w:val="00972AE0"/>
    <w:rsid w:val="009737F6"/>
    <w:rsid w:val="00973919"/>
    <w:rsid w:val="00973EB7"/>
    <w:rsid w:val="00974172"/>
    <w:rsid w:val="009743F4"/>
    <w:rsid w:val="00975753"/>
    <w:rsid w:val="0097651A"/>
    <w:rsid w:val="00976609"/>
    <w:rsid w:val="009766B5"/>
    <w:rsid w:val="00976FB8"/>
    <w:rsid w:val="009773C9"/>
    <w:rsid w:val="00977AB7"/>
    <w:rsid w:val="00977D8E"/>
    <w:rsid w:val="00977E78"/>
    <w:rsid w:val="00977F6D"/>
    <w:rsid w:val="009801CE"/>
    <w:rsid w:val="00980559"/>
    <w:rsid w:val="009805C6"/>
    <w:rsid w:val="00980B72"/>
    <w:rsid w:val="009815D5"/>
    <w:rsid w:val="00981999"/>
    <w:rsid w:val="00981CB3"/>
    <w:rsid w:val="009828B7"/>
    <w:rsid w:val="009829B2"/>
    <w:rsid w:val="00982C44"/>
    <w:rsid w:val="00983248"/>
    <w:rsid w:val="009832DC"/>
    <w:rsid w:val="00983740"/>
    <w:rsid w:val="009838C6"/>
    <w:rsid w:val="00983A78"/>
    <w:rsid w:val="009840C0"/>
    <w:rsid w:val="00984322"/>
    <w:rsid w:val="00984372"/>
    <w:rsid w:val="00984674"/>
    <w:rsid w:val="009848DE"/>
    <w:rsid w:val="009851AC"/>
    <w:rsid w:val="00985756"/>
    <w:rsid w:val="00985DB8"/>
    <w:rsid w:val="00985F8F"/>
    <w:rsid w:val="00986098"/>
    <w:rsid w:val="00986B44"/>
    <w:rsid w:val="00986BE0"/>
    <w:rsid w:val="00987084"/>
    <w:rsid w:val="00990178"/>
    <w:rsid w:val="0099050C"/>
    <w:rsid w:val="009905B6"/>
    <w:rsid w:val="00990D01"/>
    <w:rsid w:val="00990EE2"/>
    <w:rsid w:val="00991619"/>
    <w:rsid w:val="00991829"/>
    <w:rsid w:val="00991C1B"/>
    <w:rsid w:val="009921E9"/>
    <w:rsid w:val="009926E9"/>
    <w:rsid w:val="0099276A"/>
    <w:rsid w:val="00992C1A"/>
    <w:rsid w:val="00993A99"/>
    <w:rsid w:val="00993CF9"/>
    <w:rsid w:val="00993D02"/>
    <w:rsid w:val="00993D33"/>
    <w:rsid w:val="00993E4A"/>
    <w:rsid w:val="00993EF6"/>
    <w:rsid w:val="0099409A"/>
    <w:rsid w:val="00994918"/>
    <w:rsid w:val="00994A7A"/>
    <w:rsid w:val="00994B23"/>
    <w:rsid w:val="00994E74"/>
    <w:rsid w:val="0099539D"/>
    <w:rsid w:val="009953CD"/>
    <w:rsid w:val="00995BCD"/>
    <w:rsid w:val="00995EE6"/>
    <w:rsid w:val="009963A5"/>
    <w:rsid w:val="009966AB"/>
    <w:rsid w:val="009978B7"/>
    <w:rsid w:val="009979D5"/>
    <w:rsid w:val="009A083C"/>
    <w:rsid w:val="009A0A63"/>
    <w:rsid w:val="009A100C"/>
    <w:rsid w:val="009A144F"/>
    <w:rsid w:val="009A1914"/>
    <w:rsid w:val="009A1BBE"/>
    <w:rsid w:val="009A1F4F"/>
    <w:rsid w:val="009A236C"/>
    <w:rsid w:val="009A23AF"/>
    <w:rsid w:val="009A2C7E"/>
    <w:rsid w:val="009A2DA7"/>
    <w:rsid w:val="009A331D"/>
    <w:rsid w:val="009A370B"/>
    <w:rsid w:val="009A3933"/>
    <w:rsid w:val="009A3D30"/>
    <w:rsid w:val="009A3D84"/>
    <w:rsid w:val="009A4449"/>
    <w:rsid w:val="009A4954"/>
    <w:rsid w:val="009A4B34"/>
    <w:rsid w:val="009A51CB"/>
    <w:rsid w:val="009A5206"/>
    <w:rsid w:val="009A5287"/>
    <w:rsid w:val="009A5A0E"/>
    <w:rsid w:val="009A5B03"/>
    <w:rsid w:val="009A5C43"/>
    <w:rsid w:val="009A5DB8"/>
    <w:rsid w:val="009A6506"/>
    <w:rsid w:val="009A670D"/>
    <w:rsid w:val="009A6D30"/>
    <w:rsid w:val="009A6F0F"/>
    <w:rsid w:val="009A72FD"/>
    <w:rsid w:val="009A757C"/>
    <w:rsid w:val="009A76A0"/>
    <w:rsid w:val="009A7701"/>
    <w:rsid w:val="009A780F"/>
    <w:rsid w:val="009A78D4"/>
    <w:rsid w:val="009A792F"/>
    <w:rsid w:val="009A7CFB"/>
    <w:rsid w:val="009A7E24"/>
    <w:rsid w:val="009B00E3"/>
    <w:rsid w:val="009B07CA"/>
    <w:rsid w:val="009B0FBD"/>
    <w:rsid w:val="009B1066"/>
    <w:rsid w:val="009B1241"/>
    <w:rsid w:val="009B1397"/>
    <w:rsid w:val="009B1430"/>
    <w:rsid w:val="009B1952"/>
    <w:rsid w:val="009B1B24"/>
    <w:rsid w:val="009B1C6B"/>
    <w:rsid w:val="009B1D71"/>
    <w:rsid w:val="009B2046"/>
    <w:rsid w:val="009B225A"/>
    <w:rsid w:val="009B235C"/>
    <w:rsid w:val="009B25D0"/>
    <w:rsid w:val="009B264D"/>
    <w:rsid w:val="009B3291"/>
    <w:rsid w:val="009B3540"/>
    <w:rsid w:val="009B370E"/>
    <w:rsid w:val="009B396F"/>
    <w:rsid w:val="009B3B6E"/>
    <w:rsid w:val="009B43B2"/>
    <w:rsid w:val="009B44AB"/>
    <w:rsid w:val="009B4BF9"/>
    <w:rsid w:val="009B4C39"/>
    <w:rsid w:val="009B4EB5"/>
    <w:rsid w:val="009B53BE"/>
    <w:rsid w:val="009B5F74"/>
    <w:rsid w:val="009B63F7"/>
    <w:rsid w:val="009B6AD3"/>
    <w:rsid w:val="009B6C35"/>
    <w:rsid w:val="009B6EE0"/>
    <w:rsid w:val="009B71CC"/>
    <w:rsid w:val="009C00D2"/>
    <w:rsid w:val="009C016A"/>
    <w:rsid w:val="009C01E9"/>
    <w:rsid w:val="009C0365"/>
    <w:rsid w:val="009C058E"/>
    <w:rsid w:val="009C09EA"/>
    <w:rsid w:val="009C0B48"/>
    <w:rsid w:val="009C1135"/>
    <w:rsid w:val="009C11D7"/>
    <w:rsid w:val="009C2352"/>
    <w:rsid w:val="009C27D3"/>
    <w:rsid w:val="009C2EED"/>
    <w:rsid w:val="009C3064"/>
    <w:rsid w:val="009C33A3"/>
    <w:rsid w:val="009C3429"/>
    <w:rsid w:val="009C349A"/>
    <w:rsid w:val="009C3868"/>
    <w:rsid w:val="009C46F8"/>
    <w:rsid w:val="009C4885"/>
    <w:rsid w:val="009C49EE"/>
    <w:rsid w:val="009C56D9"/>
    <w:rsid w:val="009C5D3E"/>
    <w:rsid w:val="009C5F88"/>
    <w:rsid w:val="009C6086"/>
    <w:rsid w:val="009C6B5A"/>
    <w:rsid w:val="009C76BC"/>
    <w:rsid w:val="009C7877"/>
    <w:rsid w:val="009C795A"/>
    <w:rsid w:val="009C79FA"/>
    <w:rsid w:val="009C7BFA"/>
    <w:rsid w:val="009C7E16"/>
    <w:rsid w:val="009C7EFF"/>
    <w:rsid w:val="009D01DD"/>
    <w:rsid w:val="009D077F"/>
    <w:rsid w:val="009D07FC"/>
    <w:rsid w:val="009D11B3"/>
    <w:rsid w:val="009D16FC"/>
    <w:rsid w:val="009D1828"/>
    <w:rsid w:val="009D1BC9"/>
    <w:rsid w:val="009D1D76"/>
    <w:rsid w:val="009D1DC8"/>
    <w:rsid w:val="009D1F17"/>
    <w:rsid w:val="009D21FE"/>
    <w:rsid w:val="009D246B"/>
    <w:rsid w:val="009D2787"/>
    <w:rsid w:val="009D2AA1"/>
    <w:rsid w:val="009D2B29"/>
    <w:rsid w:val="009D2B4D"/>
    <w:rsid w:val="009D3777"/>
    <w:rsid w:val="009D3A57"/>
    <w:rsid w:val="009D3AD2"/>
    <w:rsid w:val="009D40A7"/>
    <w:rsid w:val="009D4706"/>
    <w:rsid w:val="009D5092"/>
    <w:rsid w:val="009D5A20"/>
    <w:rsid w:val="009D5BED"/>
    <w:rsid w:val="009D65EF"/>
    <w:rsid w:val="009D7116"/>
    <w:rsid w:val="009D7596"/>
    <w:rsid w:val="009D773A"/>
    <w:rsid w:val="009D77D5"/>
    <w:rsid w:val="009D7930"/>
    <w:rsid w:val="009D79C2"/>
    <w:rsid w:val="009E0460"/>
    <w:rsid w:val="009E0712"/>
    <w:rsid w:val="009E0D21"/>
    <w:rsid w:val="009E136D"/>
    <w:rsid w:val="009E1388"/>
    <w:rsid w:val="009E1A8E"/>
    <w:rsid w:val="009E214B"/>
    <w:rsid w:val="009E248A"/>
    <w:rsid w:val="009E24CA"/>
    <w:rsid w:val="009E27E1"/>
    <w:rsid w:val="009E2BC0"/>
    <w:rsid w:val="009E2C0A"/>
    <w:rsid w:val="009E2D0B"/>
    <w:rsid w:val="009E2E7F"/>
    <w:rsid w:val="009E2EA2"/>
    <w:rsid w:val="009E3419"/>
    <w:rsid w:val="009E46BC"/>
    <w:rsid w:val="009E4719"/>
    <w:rsid w:val="009E487B"/>
    <w:rsid w:val="009E4C0B"/>
    <w:rsid w:val="009E51E9"/>
    <w:rsid w:val="009E52B3"/>
    <w:rsid w:val="009E560A"/>
    <w:rsid w:val="009E5920"/>
    <w:rsid w:val="009E59BA"/>
    <w:rsid w:val="009E606F"/>
    <w:rsid w:val="009E648D"/>
    <w:rsid w:val="009E6553"/>
    <w:rsid w:val="009E6F06"/>
    <w:rsid w:val="009E7348"/>
    <w:rsid w:val="009E783F"/>
    <w:rsid w:val="009E7A4A"/>
    <w:rsid w:val="009E7E17"/>
    <w:rsid w:val="009F01C0"/>
    <w:rsid w:val="009F090D"/>
    <w:rsid w:val="009F0C6B"/>
    <w:rsid w:val="009F139F"/>
    <w:rsid w:val="009F190F"/>
    <w:rsid w:val="009F2537"/>
    <w:rsid w:val="009F28C7"/>
    <w:rsid w:val="009F3862"/>
    <w:rsid w:val="009F387A"/>
    <w:rsid w:val="009F3897"/>
    <w:rsid w:val="009F3F4A"/>
    <w:rsid w:val="009F3F7B"/>
    <w:rsid w:val="009F5E66"/>
    <w:rsid w:val="009F5FA3"/>
    <w:rsid w:val="009F5FBA"/>
    <w:rsid w:val="009F6066"/>
    <w:rsid w:val="009F61C2"/>
    <w:rsid w:val="009F670E"/>
    <w:rsid w:val="009F6867"/>
    <w:rsid w:val="009F6AA5"/>
    <w:rsid w:val="009F6F7F"/>
    <w:rsid w:val="009F7A3D"/>
    <w:rsid w:val="009F7A8D"/>
    <w:rsid w:val="009F7F58"/>
    <w:rsid w:val="00A00C65"/>
    <w:rsid w:val="00A010A7"/>
    <w:rsid w:val="00A016AF"/>
    <w:rsid w:val="00A01E4A"/>
    <w:rsid w:val="00A02120"/>
    <w:rsid w:val="00A0224E"/>
    <w:rsid w:val="00A029F4"/>
    <w:rsid w:val="00A037A9"/>
    <w:rsid w:val="00A037E2"/>
    <w:rsid w:val="00A059B5"/>
    <w:rsid w:val="00A05B0B"/>
    <w:rsid w:val="00A05D66"/>
    <w:rsid w:val="00A06056"/>
    <w:rsid w:val="00A064AD"/>
    <w:rsid w:val="00A064F2"/>
    <w:rsid w:val="00A0688C"/>
    <w:rsid w:val="00A07CED"/>
    <w:rsid w:val="00A10499"/>
    <w:rsid w:val="00A1198A"/>
    <w:rsid w:val="00A120F3"/>
    <w:rsid w:val="00A12E40"/>
    <w:rsid w:val="00A12F0A"/>
    <w:rsid w:val="00A13BA1"/>
    <w:rsid w:val="00A1473C"/>
    <w:rsid w:val="00A14905"/>
    <w:rsid w:val="00A1538A"/>
    <w:rsid w:val="00A1573D"/>
    <w:rsid w:val="00A1582B"/>
    <w:rsid w:val="00A158EC"/>
    <w:rsid w:val="00A158FD"/>
    <w:rsid w:val="00A15F03"/>
    <w:rsid w:val="00A1606D"/>
    <w:rsid w:val="00A163FA"/>
    <w:rsid w:val="00A17460"/>
    <w:rsid w:val="00A1773F"/>
    <w:rsid w:val="00A20045"/>
    <w:rsid w:val="00A20824"/>
    <w:rsid w:val="00A20A17"/>
    <w:rsid w:val="00A20D7A"/>
    <w:rsid w:val="00A215CB"/>
    <w:rsid w:val="00A21D35"/>
    <w:rsid w:val="00A2226B"/>
    <w:rsid w:val="00A22750"/>
    <w:rsid w:val="00A228C8"/>
    <w:rsid w:val="00A228F0"/>
    <w:rsid w:val="00A22B60"/>
    <w:rsid w:val="00A22C48"/>
    <w:rsid w:val="00A22D6F"/>
    <w:rsid w:val="00A22DFE"/>
    <w:rsid w:val="00A22E78"/>
    <w:rsid w:val="00A23526"/>
    <w:rsid w:val="00A237D9"/>
    <w:rsid w:val="00A2384D"/>
    <w:rsid w:val="00A23A5B"/>
    <w:rsid w:val="00A23B35"/>
    <w:rsid w:val="00A24004"/>
    <w:rsid w:val="00A24329"/>
    <w:rsid w:val="00A246B1"/>
    <w:rsid w:val="00A24D1D"/>
    <w:rsid w:val="00A253AD"/>
    <w:rsid w:val="00A2568B"/>
    <w:rsid w:val="00A26057"/>
    <w:rsid w:val="00A2649C"/>
    <w:rsid w:val="00A26585"/>
    <w:rsid w:val="00A270E6"/>
    <w:rsid w:val="00A27277"/>
    <w:rsid w:val="00A272A7"/>
    <w:rsid w:val="00A2750A"/>
    <w:rsid w:val="00A2763C"/>
    <w:rsid w:val="00A279CE"/>
    <w:rsid w:val="00A27E94"/>
    <w:rsid w:val="00A30342"/>
    <w:rsid w:val="00A30443"/>
    <w:rsid w:val="00A30C5B"/>
    <w:rsid w:val="00A30DBC"/>
    <w:rsid w:val="00A30EE8"/>
    <w:rsid w:val="00A318BE"/>
    <w:rsid w:val="00A31AF2"/>
    <w:rsid w:val="00A31CDD"/>
    <w:rsid w:val="00A31D90"/>
    <w:rsid w:val="00A31E5F"/>
    <w:rsid w:val="00A32058"/>
    <w:rsid w:val="00A32138"/>
    <w:rsid w:val="00A32329"/>
    <w:rsid w:val="00A32440"/>
    <w:rsid w:val="00A3273D"/>
    <w:rsid w:val="00A32790"/>
    <w:rsid w:val="00A32B32"/>
    <w:rsid w:val="00A32C09"/>
    <w:rsid w:val="00A33520"/>
    <w:rsid w:val="00A337AC"/>
    <w:rsid w:val="00A337BA"/>
    <w:rsid w:val="00A34BC9"/>
    <w:rsid w:val="00A34F68"/>
    <w:rsid w:val="00A34F94"/>
    <w:rsid w:val="00A353B1"/>
    <w:rsid w:val="00A356B2"/>
    <w:rsid w:val="00A357C2"/>
    <w:rsid w:val="00A35D0A"/>
    <w:rsid w:val="00A35FC0"/>
    <w:rsid w:val="00A3606E"/>
    <w:rsid w:val="00A368AC"/>
    <w:rsid w:val="00A37063"/>
    <w:rsid w:val="00A3753E"/>
    <w:rsid w:val="00A37AE0"/>
    <w:rsid w:val="00A40003"/>
    <w:rsid w:val="00A4011B"/>
    <w:rsid w:val="00A40903"/>
    <w:rsid w:val="00A40ADF"/>
    <w:rsid w:val="00A40B61"/>
    <w:rsid w:val="00A40F3F"/>
    <w:rsid w:val="00A410A1"/>
    <w:rsid w:val="00A41381"/>
    <w:rsid w:val="00A414BF"/>
    <w:rsid w:val="00A415AE"/>
    <w:rsid w:val="00A417F3"/>
    <w:rsid w:val="00A41A4E"/>
    <w:rsid w:val="00A41DC0"/>
    <w:rsid w:val="00A41DEB"/>
    <w:rsid w:val="00A4217E"/>
    <w:rsid w:val="00A42570"/>
    <w:rsid w:val="00A42977"/>
    <w:rsid w:val="00A42A19"/>
    <w:rsid w:val="00A42B29"/>
    <w:rsid w:val="00A42FD1"/>
    <w:rsid w:val="00A4386C"/>
    <w:rsid w:val="00A43997"/>
    <w:rsid w:val="00A43D2A"/>
    <w:rsid w:val="00A43D59"/>
    <w:rsid w:val="00A43DF2"/>
    <w:rsid w:val="00A443A4"/>
    <w:rsid w:val="00A443A8"/>
    <w:rsid w:val="00A443D0"/>
    <w:rsid w:val="00A44CBD"/>
    <w:rsid w:val="00A451A2"/>
    <w:rsid w:val="00A455D9"/>
    <w:rsid w:val="00A455E4"/>
    <w:rsid w:val="00A45760"/>
    <w:rsid w:val="00A457D1"/>
    <w:rsid w:val="00A45F52"/>
    <w:rsid w:val="00A46AD1"/>
    <w:rsid w:val="00A46F6D"/>
    <w:rsid w:val="00A46FDC"/>
    <w:rsid w:val="00A46FFA"/>
    <w:rsid w:val="00A47417"/>
    <w:rsid w:val="00A475EE"/>
    <w:rsid w:val="00A478CC"/>
    <w:rsid w:val="00A47B05"/>
    <w:rsid w:val="00A47C46"/>
    <w:rsid w:val="00A5041C"/>
    <w:rsid w:val="00A50AF4"/>
    <w:rsid w:val="00A51014"/>
    <w:rsid w:val="00A51365"/>
    <w:rsid w:val="00A51573"/>
    <w:rsid w:val="00A516B8"/>
    <w:rsid w:val="00A51A13"/>
    <w:rsid w:val="00A51DA8"/>
    <w:rsid w:val="00A51E51"/>
    <w:rsid w:val="00A51ECF"/>
    <w:rsid w:val="00A52913"/>
    <w:rsid w:val="00A52C64"/>
    <w:rsid w:val="00A52F9F"/>
    <w:rsid w:val="00A53046"/>
    <w:rsid w:val="00A536AF"/>
    <w:rsid w:val="00A547B3"/>
    <w:rsid w:val="00A54B61"/>
    <w:rsid w:val="00A54DE0"/>
    <w:rsid w:val="00A55356"/>
    <w:rsid w:val="00A553FB"/>
    <w:rsid w:val="00A55AF8"/>
    <w:rsid w:val="00A56DBF"/>
    <w:rsid w:val="00A5749A"/>
    <w:rsid w:val="00A608E7"/>
    <w:rsid w:val="00A60E14"/>
    <w:rsid w:val="00A611FF"/>
    <w:rsid w:val="00A61A2B"/>
    <w:rsid w:val="00A61C90"/>
    <w:rsid w:val="00A6211F"/>
    <w:rsid w:val="00A6220C"/>
    <w:rsid w:val="00A62317"/>
    <w:rsid w:val="00A62438"/>
    <w:rsid w:val="00A624A1"/>
    <w:rsid w:val="00A62989"/>
    <w:rsid w:val="00A62F23"/>
    <w:rsid w:val="00A63094"/>
    <w:rsid w:val="00A6309D"/>
    <w:rsid w:val="00A633D9"/>
    <w:rsid w:val="00A6341C"/>
    <w:rsid w:val="00A63715"/>
    <w:rsid w:val="00A639E3"/>
    <w:rsid w:val="00A63D16"/>
    <w:rsid w:val="00A6462D"/>
    <w:rsid w:val="00A6474D"/>
    <w:rsid w:val="00A647E4"/>
    <w:rsid w:val="00A648A0"/>
    <w:rsid w:val="00A64A26"/>
    <w:rsid w:val="00A6554F"/>
    <w:rsid w:val="00A658D0"/>
    <w:rsid w:val="00A65B67"/>
    <w:rsid w:val="00A65C5B"/>
    <w:rsid w:val="00A65CFA"/>
    <w:rsid w:val="00A661C3"/>
    <w:rsid w:val="00A66C5B"/>
    <w:rsid w:val="00A677D1"/>
    <w:rsid w:val="00A67813"/>
    <w:rsid w:val="00A679BD"/>
    <w:rsid w:val="00A67A2C"/>
    <w:rsid w:val="00A67D44"/>
    <w:rsid w:val="00A7015B"/>
    <w:rsid w:val="00A703D8"/>
    <w:rsid w:val="00A7057D"/>
    <w:rsid w:val="00A705C4"/>
    <w:rsid w:val="00A70AE6"/>
    <w:rsid w:val="00A70F76"/>
    <w:rsid w:val="00A7116B"/>
    <w:rsid w:val="00A7176B"/>
    <w:rsid w:val="00A71D1D"/>
    <w:rsid w:val="00A7218E"/>
    <w:rsid w:val="00A7232D"/>
    <w:rsid w:val="00A7257B"/>
    <w:rsid w:val="00A72699"/>
    <w:rsid w:val="00A7305A"/>
    <w:rsid w:val="00A731DA"/>
    <w:rsid w:val="00A73A1B"/>
    <w:rsid w:val="00A73D14"/>
    <w:rsid w:val="00A73F7E"/>
    <w:rsid w:val="00A7514B"/>
    <w:rsid w:val="00A754E7"/>
    <w:rsid w:val="00A75523"/>
    <w:rsid w:val="00A75703"/>
    <w:rsid w:val="00A7585A"/>
    <w:rsid w:val="00A758A6"/>
    <w:rsid w:val="00A7595C"/>
    <w:rsid w:val="00A75C44"/>
    <w:rsid w:val="00A75E13"/>
    <w:rsid w:val="00A75E55"/>
    <w:rsid w:val="00A7647C"/>
    <w:rsid w:val="00A76776"/>
    <w:rsid w:val="00A769E9"/>
    <w:rsid w:val="00A76D09"/>
    <w:rsid w:val="00A770F0"/>
    <w:rsid w:val="00A7714E"/>
    <w:rsid w:val="00A80686"/>
    <w:rsid w:val="00A814C1"/>
    <w:rsid w:val="00A81609"/>
    <w:rsid w:val="00A817E5"/>
    <w:rsid w:val="00A81FA1"/>
    <w:rsid w:val="00A81FBF"/>
    <w:rsid w:val="00A82130"/>
    <w:rsid w:val="00A82200"/>
    <w:rsid w:val="00A8234C"/>
    <w:rsid w:val="00A82495"/>
    <w:rsid w:val="00A82567"/>
    <w:rsid w:val="00A826AE"/>
    <w:rsid w:val="00A82DC0"/>
    <w:rsid w:val="00A82E2E"/>
    <w:rsid w:val="00A8313C"/>
    <w:rsid w:val="00A836BA"/>
    <w:rsid w:val="00A83DC6"/>
    <w:rsid w:val="00A84170"/>
    <w:rsid w:val="00A846F8"/>
    <w:rsid w:val="00A84B06"/>
    <w:rsid w:val="00A84CD9"/>
    <w:rsid w:val="00A84FD0"/>
    <w:rsid w:val="00A856A9"/>
    <w:rsid w:val="00A85731"/>
    <w:rsid w:val="00A85E99"/>
    <w:rsid w:val="00A86551"/>
    <w:rsid w:val="00A86607"/>
    <w:rsid w:val="00A8679F"/>
    <w:rsid w:val="00A868B8"/>
    <w:rsid w:val="00A86976"/>
    <w:rsid w:val="00A86F0E"/>
    <w:rsid w:val="00A87431"/>
    <w:rsid w:val="00A878F9"/>
    <w:rsid w:val="00A87D1B"/>
    <w:rsid w:val="00A90568"/>
    <w:rsid w:val="00A909BD"/>
    <w:rsid w:val="00A90B6A"/>
    <w:rsid w:val="00A91763"/>
    <w:rsid w:val="00A9194C"/>
    <w:rsid w:val="00A91D05"/>
    <w:rsid w:val="00A93280"/>
    <w:rsid w:val="00A934FE"/>
    <w:rsid w:val="00A935BE"/>
    <w:rsid w:val="00A93FF4"/>
    <w:rsid w:val="00A94064"/>
    <w:rsid w:val="00A94613"/>
    <w:rsid w:val="00A94789"/>
    <w:rsid w:val="00A95146"/>
    <w:rsid w:val="00A958CF"/>
    <w:rsid w:val="00A9596E"/>
    <w:rsid w:val="00A95C3D"/>
    <w:rsid w:val="00A95EFD"/>
    <w:rsid w:val="00A95F86"/>
    <w:rsid w:val="00A96357"/>
    <w:rsid w:val="00A9679B"/>
    <w:rsid w:val="00A96887"/>
    <w:rsid w:val="00A978FE"/>
    <w:rsid w:val="00A97EF3"/>
    <w:rsid w:val="00A97F8A"/>
    <w:rsid w:val="00AA0075"/>
    <w:rsid w:val="00AA0336"/>
    <w:rsid w:val="00AA057F"/>
    <w:rsid w:val="00AA0D5A"/>
    <w:rsid w:val="00AA0EF4"/>
    <w:rsid w:val="00AA10C7"/>
    <w:rsid w:val="00AA1AAD"/>
    <w:rsid w:val="00AA1D6F"/>
    <w:rsid w:val="00AA1F6F"/>
    <w:rsid w:val="00AA2106"/>
    <w:rsid w:val="00AA23A1"/>
    <w:rsid w:val="00AA23A8"/>
    <w:rsid w:val="00AA23FD"/>
    <w:rsid w:val="00AA252D"/>
    <w:rsid w:val="00AA2855"/>
    <w:rsid w:val="00AA29B1"/>
    <w:rsid w:val="00AA2A9E"/>
    <w:rsid w:val="00AA2B33"/>
    <w:rsid w:val="00AA2FB1"/>
    <w:rsid w:val="00AA30BD"/>
    <w:rsid w:val="00AA318A"/>
    <w:rsid w:val="00AA3626"/>
    <w:rsid w:val="00AA3868"/>
    <w:rsid w:val="00AA3C73"/>
    <w:rsid w:val="00AA4724"/>
    <w:rsid w:val="00AA55DE"/>
    <w:rsid w:val="00AA60AA"/>
    <w:rsid w:val="00AA60F4"/>
    <w:rsid w:val="00AA670E"/>
    <w:rsid w:val="00AA676A"/>
    <w:rsid w:val="00AA69E3"/>
    <w:rsid w:val="00AA6B9F"/>
    <w:rsid w:val="00AA6BC2"/>
    <w:rsid w:val="00AA6E13"/>
    <w:rsid w:val="00AA7BCB"/>
    <w:rsid w:val="00AA7DC2"/>
    <w:rsid w:val="00AB00C1"/>
    <w:rsid w:val="00AB0123"/>
    <w:rsid w:val="00AB0140"/>
    <w:rsid w:val="00AB0683"/>
    <w:rsid w:val="00AB08D7"/>
    <w:rsid w:val="00AB0B79"/>
    <w:rsid w:val="00AB1553"/>
    <w:rsid w:val="00AB22C7"/>
    <w:rsid w:val="00AB2326"/>
    <w:rsid w:val="00AB2548"/>
    <w:rsid w:val="00AB2A52"/>
    <w:rsid w:val="00AB2BE8"/>
    <w:rsid w:val="00AB2C9C"/>
    <w:rsid w:val="00AB2EA4"/>
    <w:rsid w:val="00AB36A1"/>
    <w:rsid w:val="00AB3BDF"/>
    <w:rsid w:val="00AB40B1"/>
    <w:rsid w:val="00AB4111"/>
    <w:rsid w:val="00AB46D0"/>
    <w:rsid w:val="00AB4D60"/>
    <w:rsid w:val="00AB5FEC"/>
    <w:rsid w:val="00AB6BBD"/>
    <w:rsid w:val="00AB7397"/>
    <w:rsid w:val="00AB73FF"/>
    <w:rsid w:val="00AB77A7"/>
    <w:rsid w:val="00AB7D1B"/>
    <w:rsid w:val="00AC001C"/>
    <w:rsid w:val="00AC02FA"/>
    <w:rsid w:val="00AC1330"/>
    <w:rsid w:val="00AC133E"/>
    <w:rsid w:val="00AC1415"/>
    <w:rsid w:val="00AC1C83"/>
    <w:rsid w:val="00AC1DB1"/>
    <w:rsid w:val="00AC1FCA"/>
    <w:rsid w:val="00AC2338"/>
    <w:rsid w:val="00AC246B"/>
    <w:rsid w:val="00AC277F"/>
    <w:rsid w:val="00AC2B8D"/>
    <w:rsid w:val="00AC2BD2"/>
    <w:rsid w:val="00AC2F85"/>
    <w:rsid w:val="00AC3A2E"/>
    <w:rsid w:val="00AC3B01"/>
    <w:rsid w:val="00AC3B49"/>
    <w:rsid w:val="00AC3FA1"/>
    <w:rsid w:val="00AC4139"/>
    <w:rsid w:val="00AC47AA"/>
    <w:rsid w:val="00AC4855"/>
    <w:rsid w:val="00AC4A6D"/>
    <w:rsid w:val="00AC4F24"/>
    <w:rsid w:val="00AC536B"/>
    <w:rsid w:val="00AC53F0"/>
    <w:rsid w:val="00AC5D35"/>
    <w:rsid w:val="00AC6823"/>
    <w:rsid w:val="00AC6A9B"/>
    <w:rsid w:val="00AC6AB8"/>
    <w:rsid w:val="00AC6ED0"/>
    <w:rsid w:val="00AC720A"/>
    <w:rsid w:val="00AC722A"/>
    <w:rsid w:val="00AC76D1"/>
    <w:rsid w:val="00AC79EF"/>
    <w:rsid w:val="00AC79FC"/>
    <w:rsid w:val="00AD03B8"/>
    <w:rsid w:val="00AD04E2"/>
    <w:rsid w:val="00AD06A5"/>
    <w:rsid w:val="00AD06D9"/>
    <w:rsid w:val="00AD0831"/>
    <w:rsid w:val="00AD1047"/>
    <w:rsid w:val="00AD1784"/>
    <w:rsid w:val="00AD1B5F"/>
    <w:rsid w:val="00AD1FD7"/>
    <w:rsid w:val="00AD2676"/>
    <w:rsid w:val="00AD28F7"/>
    <w:rsid w:val="00AD29A7"/>
    <w:rsid w:val="00AD2CD6"/>
    <w:rsid w:val="00AD2D7F"/>
    <w:rsid w:val="00AD3168"/>
    <w:rsid w:val="00AD36B6"/>
    <w:rsid w:val="00AD3A94"/>
    <w:rsid w:val="00AD3CD9"/>
    <w:rsid w:val="00AD4311"/>
    <w:rsid w:val="00AD4B66"/>
    <w:rsid w:val="00AD5316"/>
    <w:rsid w:val="00AD5576"/>
    <w:rsid w:val="00AD57A8"/>
    <w:rsid w:val="00AD5953"/>
    <w:rsid w:val="00AD5CC6"/>
    <w:rsid w:val="00AD5CEB"/>
    <w:rsid w:val="00AD5F11"/>
    <w:rsid w:val="00AD6DBD"/>
    <w:rsid w:val="00AD7026"/>
    <w:rsid w:val="00AD7182"/>
    <w:rsid w:val="00AD79AE"/>
    <w:rsid w:val="00AD7B8D"/>
    <w:rsid w:val="00AD7D34"/>
    <w:rsid w:val="00AE0681"/>
    <w:rsid w:val="00AE0775"/>
    <w:rsid w:val="00AE0EDE"/>
    <w:rsid w:val="00AE1158"/>
    <w:rsid w:val="00AE11D3"/>
    <w:rsid w:val="00AE11DB"/>
    <w:rsid w:val="00AE11FA"/>
    <w:rsid w:val="00AE1262"/>
    <w:rsid w:val="00AE1314"/>
    <w:rsid w:val="00AE14B1"/>
    <w:rsid w:val="00AE157A"/>
    <w:rsid w:val="00AE1838"/>
    <w:rsid w:val="00AE1DAD"/>
    <w:rsid w:val="00AE1EA0"/>
    <w:rsid w:val="00AE1FEC"/>
    <w:rsid w:val="00AE2925"/>
    <w:rsid w:val="00AE2D8E"/>
    <w:rsid w:val="00AE324B"/>
    <w:rsid w:val="00AE3663"/>
    <w:rsid w:val="00AE3D93"/>
    <w:rsid w:val="00AE41F4"/>
    <w:rsid w:val="00AE4ABE"/>
    <w:rsid w:val="00AE4D23"/>
    <w:rsid w:val="00AE4EF2"/>
    <w:rsid w:val="00AE5749"/>
    <w:rsid w:val="00AE599C"/>
    <w:rsid w:val="00AE5BE7"/>
    <w:rsid w:val="00AE64AC"/>
    <w:rsid w:val="00AE6FD4"/>
    <w:rsid w:val="00AE6FDF"/>
    <w:rsid w:val="00AE70ED"/>
    <w:rsid w:val="00AE73CB"/>
    <w:rsid w:val="00AE74DF"/>
    <w:rsid w:val="00AE752E"/>
    <w:rsid w:val="00AF139C"/>
    <w:rsid w:val="00AF19C1"/>
    <w:rsid w:val="00AF1E3A"/>
    <w:rsid w:val="00AF1F43"/>
    <w:rsid w:val="00AF2258"/>
    <w:rsid w:val="00AF239D"/>
    <w:rsid w:val="00AF28CA"/>
    <w:rsid w:val="00AF3062"/>
    <w:rsid w:val="00AF3D25"/>
    <w:rsid w:val="00AF50FF"/>
    <w:rsid w:val="00AF533B"/>
    <w:rsid w:val="00AF53AC"/>
    <w:rsid w:val="00AF5B07"/>
    <w:rsid w:val="00AF5E22"/>
    <w:rsid w:val="00AF5F7A"/>
    <w:rsid w:val="00AF6733"/>
    <w:rsid w:val="00AF6A4A"/>
    <w:rsid w:val="00AF70FB"/>
    <w:rsid w:val="00AF7AB9"/>
    <w:rsid w:val="00AF7FD7"/>
    <w:rsid w:val="00B002EA"/>
    <w:rsid w:val="00B00326"/>
    <w:rsid w:val="00B004A4"/>
    <w:rsid w:val="00B008AC"/>
    <w:rsid w:val="00B00AE0"/>
    <w:rsid w:val="00B00DA6"/>
    <w:rsid w:val="00B01269"/>
    <w:rsid w:val="00B0144E"/>
    <w:rsid w:val="00B015E4"/>
    <w:rsid w:val="00B01604"/>
    <w:rsid w:val="00B017AF"/>
    <w:rsid w:val="00B01B58"/>
    <w:rsid w:val="00B0257E"/>
    <w:rsid w:val="00B02AEE"/>
    <w:rsid w:val="00B02E8B"/>
    <w:rsid w:val="00B0312E"/>
    <w:rsid w:val="00B0320B"/>
    <w:rsid w:val="00B033F6"/>
    <w:rsid w:val="00B0345C"/>
    <w:rsid w:val="00B03701"/>
    <w:rsid w:val="00B037C0"/>
    <w:rsid w:val="00B03FAF"/>
    <w:rsid w:val="00B0441A"/>
    <w:rsid w:val="00B04DFB"/>
    <w:rsid w:val="00B05017"/>
    <w:rsid w:val="00B05733"/>
    <w:rsid w:val="00B05998"/>
    <w:rsid w:val="00B05AB9"/>
    <w:rsid w:val="00B05B00"/>
    <w:rsid w:val="00B05FDA"/>
    <w:rsid w:val="00B06036"/>
    <w:rsid w:val="00B06077"/>
    <w:rsid w:val="00B0680D"/>
    <w:rsid w:val="00B06BB6"/>
    <w:rsid w:val="00B072DC"/>
    <w:rsid w:val="00B1056C"/>
    <w:rsid w:val="00B10A43"/>
    <w:rsid w:val="00B10FB5"/>
    <w:rsid w:val="00B11711"/>
    <w:rsid w:val="00B11A35"/>
    <w:rsid w:val="00B11AFF"/>
    <w:rsid w:val="00B11BF9"/>
    <w:rsid w:val="00B11F10"/>
    <w:rsid w:val="00B12CB5"/>
    <w:rsid w:val="00B12E28"/>
    <w:rsid w:val="00B132B8"/>
    <w:rsid w:val="00B13830"/>
    <w:rsid w:val="00B14345"/>
    <w:rsid w:val="00B14490"/>
    <w:rsid w:val="00B14534"/>
    <w:rsid w:val="00B14875"/>
    <w:rsid w:val="00B149D2"/>
    <w:rsid w:val="00B14C6C"/>
    <w:rsid w:val="00B14EF8"/>
    <w:rsid w:val="00B15095"/>
    <w:rsid w:val="00B15554"/>
    <w:rsid w:val="00B15BE8"/>
    <w:rsid w:val="00B15FB4"/>
    <w:rsid w:val="00B16199"/>
    <w:rsid w:val="00B1642C"/>
    <w:rsid w:val="00B16A3D"/>
    <w:rsid w:val="00B16AF2"/>
    <w:rsid w:val="00B16C3E"/>
    <w:rsid w:val="00B16D88"/>
    <w:rsid w:val="00B16E6E"/>
    <w:rsid w:val="00B1709C"/>
    <w:rsid w:val="00B1792B"/>
    <w:rsid w:val="00B17A38"/>
    <w:rsid w:val="00B17D0E"/>
    <w:rsid w:val="00B202A1"/>
    <w:rsid w:val="00B20374"/>
    <w:rsid w:val="00B206BF"/>
    <w:rsid w:val="00B21231"/>
    <w:rsid w:val="00B2135B"/>
    <w:rsid w:val="00B213F2"/>
    <w:rsid w:val="00B21785"/>
    <w:rsid w:val="00B21904"/>
    <w:rsid w:val="00B21935"/>
    <w:rsid w:val="00B21AFE"/>
    <w:rsid w:val="00B21D08"/>
    <w:rsid w:val="00B22401"/>
    <w:rsid w:val="00B22930"/>
    <w:rsid w:val="00B22A66"/>
    <w:rsid w:val="00B22C00"/>
    <w:rsid w:val="00B22F4A"/>
    <w:rsid w:val="00B230B7"/>
    <w:rsid w:val="00B23C36"/>
    <w:rsid w:val="00B24131"/>
    <w:rsid w:val="00B2433C"/>
    <w:rsid w:val="00B24479"/>
    <w:rsid w:val="00B246D4"/>
    <w:rsid w:val="00B24FE9"/>
    <w:rsid w:val="00B25DC5"/>
    <w:rsid w:val="00B263B3"/>
    <w:rsid w:val="00B26540"/>
    <w:rsid w:val="00B2663F"/>
    <w:rsid w:val="00B26873"/>
    <w:rsid w:val="00B269AD"/>
    <w:rsid w:val="00B26C00"/>
    <w:rsid w:val="00B26D2C"/>
    <w:rsid w:val="00B26F9C"/>
    <w:rsid w:val="00B27393"/>
    <w:rsid w:val="00B27643"/>
    <w:rsid w:val="00B3076C"/>
    <w:rsid w:val="00B307C0"/>
    <w:rsid w:val="00B30C90"/>
    <w:rsid w:val="00B30DCE"/>
    <w:rsid w:val="00B31095"/>
    <w:rsid w:val="00B310B3"/>
    <w:rsid w:val="00B316A1"/>
    <w:rsid w:val="00B31B23"/>
    <w:rsid w:val="00B3211B"/>
    <w:rsid w:val="00B33CEA"/>
    <w:rsid w:val="00B34B4D"/>
    <w:rsid w:val="00B34F72"/>
    <w:rsid w:val="00B35031"/>
    <w:rsid w:val="00B35B06"/>
    <w:rsid w:val="00B35CC9"/>
    <w:rsid w:val="00B36436"/>
    <w:rsid w:val="00B36966"/>
    <w:rsid w:val="00B3776C"/>
    <w:rsid w:val="00B37969"/>
    <w:rsid w:val="00B4041D"/>
    <w:rsid w:val="00B40690"/>
    <w:rsid w:val="00B40FEB"/>
    <w:rsid w:val="00B418B5"/>
    <w:rsid w:val="00B41BC7"/>
    <w:rsid w:val="00B41D2A"/>
    <w:rsid w:val="00B41DA9"/>
    <w:rsid w:val="00B41DD5"/>
    <w:rsid w:val="00B42034"/>
    <w:rsid w:val="00B420C6"/>
    <w:rsid w:val="00B4269D"/>
    <w:rsid w:val="00B4280D"/>
    <w:rsid w:val="00B42B0A"/>
    <w:rsid w:val="00B42CEE"/>
    <w:rsid w:val="00B4311B"/>
    <w:rsid w:val="00B43160"/>
    <w:rsid w:val="00B43659"/>
    <w:rsid w:val="00B4398B"/>
    <w:rsid w:val="00B439BF"/>
    <w:rsid w:val="00B43D8E"/>
    <w:rsid w:val="00B43FF7"/>
    <w:rsid w:val="00B4458D"/>
    <w:rsid w:val="00B44D51"/>
    <w:rsid w:val="00B44EB6"/>
    <w:rsid w:val="00B4525C"/>
    <w:rsid w:val="00B45695"/>
    <w:rsid w:val="00B458F3"/>
    <w:rsid w:val="00B45BB7"/>
    <w:rsid w:val="00B45D0B"/>
    <w:rsid w:val="00B4601B"/>
    <w:rsid w:val="00B4612C"/>
    <w:rsid w:val="00B46820"/>
    <w:rsid w:val="00B46913"/>
    <w:rsid w:val="00B46943"/>
    <w:rsid w:val="00B46C3C"/>
    <w:rsid w:val="00B47011"/>
    <w:rsid w:val="00B47309"/>
    <w:rsid w:val="00B47812"/>
    <w:rsid w:val="00B479FA"/>
    <w:rsid w:val="00B47CC4"/>
    <w:rsid w:val="00B50B42"/>
    <w:rsid w:val="00B50E2F"/>
    <w:rsid w:val="00B510B1"/>
    <w:rsid w:val="00B517EA"/>
    <w:rsid w:val="00B51E7B"/>
    <w:rsid w:val="00B5220B"/>
    <w:rsid w:val="00B5243D"/>
    <w:rsid w:val="00B527AB"/>
    <w:rsid w:val="00B527F2"/>
    <w:rsid w:val="00B52A44"/>
    <w:rsid w:val="00B531EB"/>
    <w:rsid w:val="00B53262"/>
    <w:rsid w:val="00B539E6"/>
    <w:rsid w:val="00B542E1"/>
    <w:rsid w:val="00B543C4"/>
    <w:rsid w:val="00B544A7"/>
    <w:rsid w:val="00B54560"/>
    <w:rsid w:val="00B54600"/>
    <w:rsid w:val="00B548A1"/>
    <w:rsid w:val="00B54DEE"/>
    <w:rsid w:val="00B555DC"/>
    <w:rsid w:val="00B557AC"/>
    <w:rsid w:val="00B55A2A"/>
    <w:rsid w:val="00B55C1C"/>
    <w:rsid w:val="00B56476"/>
    <w:rsid w:val="00B56796"/>
    <w:rsid w:val="00B56BBE"/>
    <w:rsid w:val="00B5752C"/>
    <w:rsid w:val="00B57880"/>
    <w:rsid w:val="00B578AF"/>
    <w:rsid w:val="00B57B9D"/>
    <w:rsid w:val="00B6009E"/>
    <w:rsid w:val="00B60235"/>
    <w:rsid w:val="00B603F1"/>
    <w:rsid w:val="00B609D2"/>
    <w:rsid w:val="00B60BD5"/>
    <w:rsid w:val="00B60C9E"/>
    <w:rsid w:val="00B612D2"/>
    <w:rsid w:val="00B61332"/>
    <w:rsid w:val="00B61507"/>
    <w:rsid w:val="00B617FF"/>
    <w:rsid w:val="00B620F0"/>
    <w:rsid w:val="00B62287"/>
    <w:rsid w:val="00B625C7"/>
    <w:rsid w:val="00B62A99"/>
    <w:rsid w:val="00B62C78"/>
    <w:rsid w:val="00B6324E"/>
    <w:rsid w:val="00B633EF"/>
    <w:rsid w:val="00B6345D"/>
    <w:rsid w:val="00B63522"/>
    <w:rsid w:val="00B6379A"/>
    <w:rsid w:val="00B637CF"/>
    <w:rsid w:val="00B63EF2"/>
    <w:rsid w:val="00B64019"/>
    <w:rsid w:val="00B649CC"/>
    <w:rsid w:val="00B64AC2"/>
    <w:rsid w:val="00B64F42"/>
    <w:rsid w:val="00B652A6"/>
    <w:rsid w:val="00B65AAD"/>
    <w:rsid w:val="00B65B86"/>
    <w:rsid w:val="00B66B79"/>
    <w:rsid w:val="00B66D5C"/>
    <w:rsid w:val="00B673B3"/>
    <w:rsid w:val="00B67462"/>
    <w:rsid w:val="00B67544"/>
    <w:rsid w:val="00B6778A"/>
    <w:rsid w:val="00B67D70"/>
    <w:rsid w:val="00B700A8"/>
    <w:rsid w:val="00B70B15"/>
    <w:rsid w:val="00B70CF9"/>
    <w:rsid w:val="00B71257"/>
    <w:rsid w:val="00B713CB"/>
    <w:rsid w:val="00B71976"/>
    <w:rsid w:val="00B71D0B"/>
    <w:rsid w:val="00B71DF9"/>
    <w:rsid w:val="00B71E13"/>
    <w:rsid w:val="00B71E54"/>
    <w:rsid w:val="00B71EC7"/>
    <w:rsid w:val="00B7215D"/>
    <w:rsid w:val="00B725E2"/>
    <w:rsid w:val="00B726F1"/>
    <w:rsid w:val="00B72773"/>
    <w:rsid w:val="00B72EA1"/>
    <w:rsid w:val="00B7309F"/>
    <w:rsid w:val="00B73AE1"/>
    <w:rsid w:val="00B7451F"/>
    <w:rsid w:val="00B747CF"/>
    <w:rsid w:val="00B74808"/>
    <w:rsid w:val="00B74958"/>
    <w:rsid w:val="00B74991"/>
    <w:rsid w:val="00B74C7D"/>
    <w:rsid w:val="00B74D16"/>
    <w:rsid w:val="00B7519F"/>
    <w:rsid w:val="00B75205"/>
    <w:rsid w:val="00B753AB"/>
    <w:rsid w:val="00B753DE"/>
    <w:rsid w:val="00B75970"/>
    <w:rsid w:val="00B76493"/>
    <w:rsid w:val="00B76566"/>
    <w:rsid w:val="00B76661"/>
    <w:rsid w:val="00B7689D"/>
    <w:rsid w:val="00B771EF"/>
    <w:rsid w:val="00B77292"/>
    <w:rsid w:val="00B773A3"/>
    <w:rsid w:val="00B77A73"/>
    <w:rsid w:val="00B77B26"/>
    <w:rsid w:val="00B77E19"/>
    <w:rsid w:val="00B803CA"/>
    <w:rsid w:val="00B80833"/>
    <w:rsid w:val="00B80A33"/>
    <w:rsid w:val="00B80DBC"/>
    <w:rsid w:val="00B81329"/>
    <w:rsid w:val="00B81A75"/>
    <w:rsid w:val="00B82331"/>
    <w:rsid w:val="00B82A7F"/>
    <w:rsid w:val="00B83163"/>
    <w:rsid w:val="00B83679"/>
    <w:rsid w:val="00B8373D"/>
    <w:rsid w:val="00B839BC"/>
    <w:rsid w:val="00B843A9"/>
    <w:rsid w:val="00B84BA1"/>
    <w:rsid w:val="00B84BF2"/>
    <w:rsid w:val="00B84C25"/>
    <w:rsid w:val="00B84D6E"/>
    <w:rsid w:val="00B84FDB"/>
    <w:rsid w:val="00B8541F"/>
    <w:rsid w:val="00B8564B"/>
    <w:rsid w:val="00B85759"/>
    <w:rsid w:val="00B8578B"/>
    <w:rsid w:val="00B85998"/>
    <w:rsid w:val="00B85CCA"/>
    <w:rsid w:val="00B85D6C"/>
    <w:rsid w:val="00B85E1F"/>
    <w:rsid w:val="00B861E4"/>
    <w:rsid w:val="00B8664B"/>
    <w:rsid w:val="00B868FE"/>
    <w:rsid w:val="00B86FCA"/>
    <w:rsid w:val="00B87371"/>
    <w:rsid w:val="00B876E2"/>
    <w:rsid w:val="00B87951"/>
    <w:rsid w:val="00B87AEA"/>
    <w:rsid w:val="00B9005B"/>
    <w:rsid w:val="00B90BD0"/>
    <w:rsid w:val="00B91320"/>
    <w:rsid w:val="00B91392"/>
    <w:rsid w:val="00B91935"/>
    <w:rsid w:val="00B9201D"/>
    <w:rsid w:val="00B920F8"/>
    <w:rsid w:val="00B92352"/>
    <w:rsid w:val="00B92973"/>
    <w:rsid w:val="00B93B66"/>
    <w:rsid w:val="00B93DAB"/>
    <w:rsid w:val="00B93EFE"/>
    <w:rsid w:val="00B9424E"/>
    <w:rsid w:val="00B9428F"/>
    <w:rsid w:val="00B943E8"/>
    <w:rsid w:val="00B94771"/>
    <w:rsid w:val="00B947CB"/>
    <w:rsid w:val="00B949C5"/>
    <w:rsid w:val="00B94B88"/>
    <w:rsid w:val="00B94E96"/>
    <w:rsid w:val="00B95411"/>
    <w:rsid w:val="00B9567D"/>
    <w:rsid w:val="00B9579D"/>
    <w:rsid w:val="00B95878"/>
    <w:rsid w:val="00B959CC"/>
    <w:rsid w:val="00B96194"/>
    <w:rsid w:val="00B964B9"/>
    <w:rsid w:val="00B96973"/>
    <w:rsid w:val="00B96B79"/>
    <w:rsid w:val="00B9772C"/>
    <w:rsid w:val="00B97757"/>
    <w:rsid w:val="00B977DF"/>
    <w:rsid w:val="00B97A79"/>
    <w:rsid w:val="00B97AA9"/>
    <w:rsid w:val="00BA104E"/>
    <w:rsid w:val="00BA1296"/>
    <w:rsid w:val="00BA1355"/>
    <w:rsid w:val="00BA1746"/>
    <w:rsid w:val="00BA179F"/>
    <w:rsid w:val="00BA17D0"/>
    <w:rsid w:val="00BA1F90"/>
    <w:rsid w:val="00BA1FA1"/>
    <w:rsid w:val="00BA2006"/>
    <w:rsid w:val="00BA2314"/>
    <w:rsid w:val="00BA2466"/>
    <w:rsid w:val="00BA2645"/>
    <w:rsid w:val="00BA2708"/>
    <w:rsid w:val="00BA4A34"/>
    <w:rsid w:val="00BA4C05"/>
    <w:rsid w:val="00BA4ED5"/>
    <w:rsid w:val="00BA5535"/>
    <w:rsid w:val="00BA5B65"/>
    <w:rsid w:val="00BA64BE"/>
    <w:rsid w:val="00BA6E77"/>
    <w:rsid w:val="00BA7064"/>
    <w:rsid w:val="00BA7627"/>
    <w:rsid w:val="00BA77B4"/>
    <w:rsid w:val="00BA7E13"/>
    <w:rsid w:val="00BB0634"/>
    <w:rsid w:val="00BB074B"/>
    <w:rsid w:val="00BB191E"/>
    <w:rsid w:val="00BB19FF"/>
    <w:rsid w:val="00BB1B2F"/>
    <w:rsid w:val="00BB1F66"/>
    <w:rsid w:val="00BB2BE3"/>
    <w:rsid w:val="00BB30CA"/>
    <w:rsid w:val="00BB322B"/>
    <w:rsid w:val="00BB3A2F"/>
    <w:rsid w:val="00BB4477"/>
    <w:rsid w:val="00BB4EFA"/>
    <w:rsid w:val="00BB4FFE"/>
    <w:rsid w:val="00BB5C1E"/>
    <w:rsid w:val="00BB68AF"/>
    <w:rsid w:val="00BB69A2"/>
    <w:rsid w:val="00BB6B32"/>
    <w:rsid w:val="00BB6C59"/>
    <w:rsid w:val="00BB6F0D"/>
    <w:rsid w:val="00BB6FDE"/>
    <w:rsid w:val="00BB7115"/>
    <w:rsid w:val="00BB71B8"/>
    <w:rsid w:val="00BB75D1"/>
    <w:rsid w:val="00BB7839"/>
    <w:rsid w:val="00BB7854"/>
    <w:rsid w:val="00BB78B1"/>
    <w:rsid w:val="00BB7917"/>
    <w:rsid w:val="00BB7E78"/>
    <w:rsid w:val="00BC02FD"/>
    <w:rsid w:val="00BC0F21"/>
    <w:rsid w:val="00BC147D"/>
    <w:rsid w:val="00BC17CA"/>
    <w:rsid w:val="00BC1B43"/>
    <w:rsid w:val="00BC1ED1"/>
    <w:rsid w:val="00BC2269"/>
    <w:rsid w:val="00BC230C"/>
    <w:rsid w:val="00BC272D"/>
    <w:rsid w:val="00BC2CDB"/>
    <w:rsid w:val="00BC2E4F"/>
    <w:rsid w:val="00BC3123"/>
    <w:rsid w:val="00BC34BB"/>
    <w:rsid w:val="00BC39B3"/>
    <w:rsid w:val="00BC3A68"/>
    <w:rsid w:val="00BC42FF"/>
    <w:rsid w:val="00BC434C"/>
    <w:rsid w:val="00BC457D"/>
    <w:rsid w:val="00BC5397"/>
    <w:rsid w:val="00BC53DE"/>
    <w:rsid w:val="00BC552E"/>
    <w:rsid w:val="00BC592D"/>
    <w:rsid w:val="00BC5D41"/>
    <w:rsid w:val="00BC62FE"/>
    <w:rsid w:val="00BC6622"/>
    <w:rsid w:val="00BC6719"/>
    <w:rsid w:val="00BC674F"/>
    <w:rsid w:val="00BC69FC"/>
    <w:rsid w:val="00BC6D91"/>
    <w:rsid w:val="00BC7924"/>
    <w:rsid w:val="00BC79F3"/>
    <w:rsid w:val="00BD054B"/>
    <w:rsid w:val="00BD0591"/>
    <w:rsid w:val="00BD165F"/>
    <w:rsid w:val="00BD16C1"/>
    <w:rsid w:val="00BD17E8"/>
    <w:rsid w:val="00BD1E22"/>
    <w:rsid w:val="00BD1E9F"/>
    <w:rsid w:val="00BD3600"/>
    <w:rsid w:val="00BD388F"/>
    <w:rsid w:val="00BD41F7"/>
    <w:rsid w:val="00BD42A6"/>
    <w:rsid w:val="00BD47A8"/>
    <w:rsid w:val="00BD4E31"/>
    <w:rsid w:val="00BD5202"/>
    <w:rsid w:val="00BD53DB"/>
    <w:rsid w:val="00BD678C"/>
    <w:rsid w:val="00BD6B2F"/>
    <w:rsid w:val="00BD6D63"/>
    <w:rsid w:val="00BD76DA"/>
    <w:rsid w:val="00BD79BE"/>
    <w:rsid w:val="00BD7D0F"/>
    <w:rsid w:val="00BE00B2"/>
    <w:rsid w:val="00BE056B"/>
    <w:rsid w:val="00BE0D93"/>
    <w:rsid w:val="00BE139F"/>
    <w:rsid w:val="00BE174A"/>
    <w:rsid w:val="00BE268B"/>
    <w:rsid w:val="00BE2975"/>
    <w:rsid w:val="00BE2F5A"/>
    <w:rsid w:val="00BE3035"/>
    <w:rsid w:val="00BE3743"/>
    <w:rsid w:val="00BE3E9B"/>
    <w:rsid w:val="00BE3F8F"/>
    <w:rsid w:val="00BE489A"/>
    <w:rsid w:val="00BE521A"/>
    <w:rsid w:val="00BE584B"/>
    <w:rsid w:val="00BE5933"/>
    <w:rsid w:val="00BE5B1D"/>
    <w:rsid w:val="00BE5E33"/>
    <w:rsid w:val="00BE6515"/>
    <w:rsid w:val="00BE68A7"/>
    <w:rsid w:val="00BE68AD"/>
    <w:rsid w:val="00BE7493"/>
    <w:rsid w:val="00BE7A7B"/>
    <w:rsid w:val="00BE7D49"/>
    <w:rsid w:val="00BE7E9D"/>
    <w:rsid w:val="00BF0652"/>
    <w:rsid w:val="00BF081E"/>
    <w:rsid w:val="00BF09D6"/>
    <w:rsid w:val="00BF0B78"/>
    <w:rsid w:val="00BF0BFA"/>
    <w:rsid w:val="00BF0FE7"/>
    <w:rsid w:val="00BF1830"/>
    <w:rsid w:val="00BF2581"/>
    <w:rsid w:val="00BF3C8D"/>
    <w:rsid w:val="00BF4168"/>
    <w:rsid w:val="00BF424D"/>
    <w:rsid w:val="00BF4E90"/>
    <w:rsid w:val="00BF5416"/>
    <w:rsid w:val="00BF55FE"/>
    <w:rsid w:val="00BF56F0"/>
    <w:rsid w:val="00BF5A0E"/>
    <w:rsid w:val="00BF5E3B"/>
    <w:rsid w:val="00BF6185"/>
    <w:rsid w:val="00BF63B2"/>
    <w:rsid w:val="00BF6B7F"/>
    <w:rsid w:val="00BF6E12"/>
    <w:rsid w:val="00BF71F2"/>
    <w:rsid w:val="00BF7304"/>
    <w:rsid w:val="00BF730B"/>
    <w:rsid w:val="00BF762A"/>
    <w:rsid w:val="00BF7B25"/>
    <w:rsid w:val="00BF7B3B"/>
    <w:rsid w:val="00BF7E14"/>
    <w:rsid w:val="00C00302"/>
    <w:rsid w:val="00C005C2"/>
    <w:rsid w:val="00C00669"/>
    <w:rsid w:val="00C00776"/>
    <w:rsid w:val="00C00817"/>
    <w:rsid w:val="00C00951"/>
    <w:rsid w:val="00C0101F"/>
    <w:rsid w:val="00C01207"/>
    <w:rsid w:val="00C019C3"/>
    <w:rsid w:val="00C01BCA"/>
    <w:rsid w:val="00C01FC2"/>
    <w:rsid w:val="00C023EF"/>
    <w:rsid w:val="00C029A1"/>
    <w:rsid w:val="00C02F28"/>
    <w:rsid w:val="00C03FCA"/>
    <w:rsid w:val="00C04209"/>
    <w:rsid w:val="00C04445"/>
    <w:rsid w:val="00C047A8"/>
    <w:rsid w:val="00C05838"/>
    <w:rsid w:val="00C05A2A"/>
    <w:rsid w:val="00C05C9F"/>
    <w:rsid w:val="00C05FA2"/>
    <w:rsid w:val="00C0612E"/>
    <w:rsid w:val="00C06325"/>
    <w:rsid w:val="00C06464"/>
    <w:rsid w:val="00C067F3"/>
    <w:rsid w:val="00C06B22"/>
    <w:rsid w:val="00C06B3A"/>
    <w:rsid w:val="00C06BE8"/>
    <w:rsid w:val="00C06D90"/>
    <w:rsid w:val="00C06F08"/>
    <w:rsid w:val="00C07796"/>
    <w:rsid w:val="00C07D48"/>
    <w:rsid w:val="00C10330"/>
    <w:rsid w:val="00C108C4"/>
    <w:rsid w:val="00C10B71"/>
    <w:rsid w:val="00C10CC0"/>
    <w:rsid w:val="00C114FB"/>
    <w:rsid w:val="00C11D18"/>
    <w:rsid w:val="00C12707"/>
    <w:rsid w:val="00C1276D"/>
    <w:rsid w:val="00C12DF5"/>
    <w:rsid w:val="00C1326F"/>
    <w:rsid w:val="00C134A4"/>
    <w:rsid w:val="00C13B8E"/>
    <w:rsid w:val="00C14CC8"/>
    <w:rsid w:val="00C151D0"/>
    <w:rsid w:val="00C1537C"/>
    <w:rsid w:val="00C15406"/>
    <w:rsid w:val="00C15C6A"/>
    <w:rsid w:val="00C15ECF"/>
    <w:rsid w:val="00C162DB"/>
    <w:rsid w:val="00C16487"/>
    <w:rsid w:val="00C16626"/>
    <w:rsid w:val="00C16AAC"/>
    <w:rsid w:val="00C16C1C"/>
    <w:rsid w:val="00C17013"/>
    <w:rsid w:val="00C17548"/>
    <w:rsid w:val="00C17692"/>
    <w:rsid w:val="00C17A94"/>
    <w:rsid w:val="00C2011F"/>
    <w:rsid w:val="00C20DFF"/>
    <w:rsid w:val="00C211A5"/>
    <w:rsid w:val="00C21383"/>
    <w:rsid w:val="00C2138A"/>
    <w:rsid w:val="00C213AA"/>
    <w:rsid w:val="00C213EE"/>
    <w:rsid w:val="00C21669"/>
    <w:rsid w:val="00C21E04"/>
    <w:rsid w:val="00C21E13"/>
    <w:rsid w:val="00C22191"/>
    <w:rsid w:val="00C2275B"/>
    <w:rsid w:val="00C22C3C"/>
    <w:rsid w:val="00C2323D"/>
    <w:rsid w:val="00C238E7"/>
    <w:rsid w:val="00C238F2"/>
    <w:rsid w:val="00C23914"/>
    <w:rsid w:val="00C2398B"/>
    <w:rsid w:val="00C239AC"/>
    <w:rsid w:val="00C239E1"/>
    <w:rsid w:val="00C23E3A"/>
    <w:rsid w:val="00C24B0B"/>
    <w:rsid w:val="00C24F9C"/>
    <w:rsid w:val="00C256CC"/>
    <w:rsid w:val="00C259EC"/>
    <w:rsid w:val="00C25EC4"/>
    <w:rsid w:val="00C261D3"/>
    <w:rsid w:val="00C2623D"/>
    <w:rsid w:val="00C263F1"/>
    <w:rsid w:val="00C265F5"/>
    <w:rsid w:val="00C266E5"/>
    <w:rsid w:val="00C26F31"/>
    <w:rsid w:val="00C274D7"/>
    <w:rsid w:val="00C27679"/>
    <w:rsid w:val="00C27BE7"/>
    <w:rsid w:val="00C3034D"/>
    <w:rsid w:val="00C31521"/>
    <w:rsid w:val="00C31593"/>
    <w:rsid w:val="00C316C0"/>
    <w:rsid w:val="00C31760"/>
    <w:rsid w:val="00C31BCF"/>
    <w:rsid w:val="00C32189"/>
    <w:rsid w:val="00C3228E"/>
    <w:rsid w:val="00C322C5"/>
    <w:rsid w:val="00C32994"/>
    <w:rsid w:val="00C32D32"/>
    <w:rsid w:val="00C339C7"/>
    <w:rsid w:val="00C33A54"/>
    <w:rsid w:val="00C33BEC"/>
    <w:rsid w:val="00C33C40"/>
    <w:rsid w:val="00C345C6"/>
    <w:rsid w:val="00C34809"/>
    <w:rsid w:val="00C34819"/>
    <w:rsid w:val="00C34C04"/>
    <w:rsid w:val="00C351FE"/>
    <w:rsid w:val="00C353D3"/>
    <w:rsid w:val="00C353F4"/>
    <w:rsid w:val="00C35BA8"/>
    <w:rsid w:val="00C3647A"/>
    <w:rsid w:val="00C366FF"/>
    <w:rsid w:val="00C37866"/>
    <w:rsid w:val="00C37ACA"/>
    <w:rsid w:val="00C37DCF"/>
    <w:rsid w:val="00C37E81"/>
    <w:rsid w:val="00C37EDA"/>
    <w:rsid w:val="00C41448"/>
    <w:rsid w:val="00C41663"/>
    <w:rsid w:val="00C41C5D"/>
    <w:rsid w:val="00C41E78"/>
    <w:rsid w:val="00C41E93"/>
    <w:rsid w:val="00C426B7"/>
    <w:rsid w:val="00C4285F"/>
    <w:rsid w:val="00C42BF2"/>
    <w:rsid w:val="00C43850"/>
    <w:rsid w:val="00C44908"/>
    <w:rsid w:val="00C44DB0"/>
    <w:rsid w:val="00C450B6"/>
    <w:rsid w:val="00C4541E"/>
    <w:rsid w:val="00C45696"/>
    <w:rsid w:val="00C456FE"/>
    <w:rsid w:val="00C45C7E"/>
    <w:rsid w:val="00C45E20"/>
    <w:rsid w:val="00C468C4"/>
    <w:rsid w:val="00C4695B"/>
    <w:rsid w:val="00C47369"/>
    <w:rsid w:val="00C4752A"/>
    <w:rsid w:val="00C47708"/>
    <w:rsid w:val="00C4780E"/>
    <w:rsid w:val="00C47920"/>
    <w:rsid w:val="00C47D3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57C8C"/>
    <w:rsid w:val="00C57C94"/>
    <w:rsid w:val="00C6084A"/>
    <w:rsid w:val="00C60970"/>
    <w:rsid w:val="00C60C7E"/>
    <w:rsid w:val="00C61945"/>
    <w:rsid w:val="00C6207A"/>
    <w:rsid w:val="00C624EE"/>
    <w:rsid w:val="00C62C3A"/>
    <w:rsid w:val="00C62E82"/>
    <w:rsid w:val="00C631B2"/>
    <w:rsid w:val="00C632AB"/>
    <w:rsid w:val="00C6364E"/>
    <w:rsid w:val="00C63AFE"/>
    <w:rsid w:val="00C63CA0"/>
    <w:rsid w:val="00C64131"/>
    <w:rsid w:val="00C64230"/>
    <w:rsid w:val="00C64670"/>
    <w:rsid w:val="00C648F9"/>
    <w:rsid w:val="00C64A4E"/>
    <w:rsid w:val="00C64A7D"/>
    <w:rsid w:val="00C64DF6"/>
    <w:rsid w:val="00C659B5"/>
    <w:rsid w:val="00C65EF5"/>
    <w:rsid w:val="00C65F8D"/>
    <w:rsid w:val="00C664B6"/>
    <w:rsid w:val="00C66842"/>
    <w:rsid w:val="00C67197"/>
    <w:rsid w:val="00C67B2C"/>
    <w:rsid w:val="00C67C64"/>
    <w:rsid w:val="00C67DF1"/>
    <w:rsid w:val="00C70034"/>
    <w:rsid w:val="00C70F76"/>
    <w:rsid w:val="00C71541"/>
    <w:rsid w:val="00C71C91"/>
    <w:rsid w:val="00C71DE9"/>
    <w:rsid w:val="00C72144"/>
    <w:rsid w:val="00C725CF"/>
    <w:rsid w:val="00C72CDA"/>
    <w:rsid w:val="00C72E47"/>
    <w:rsid w:val="00C7310B"/>
    <w:rsid w:val="00C73187"/>
    <w:rsid w:val="00C733B6"/>
    <w:rsid w:val="00C73504"/>
    <w:rsid w:val="00C73770"/>
    <w:rsid w:val="00C737B8"/>
    <w:rsid w:val="00C74005"/>
    <w:rsid w:val="00C74225"/>
    <w:rsid w:val="00C743EE"/>
    <w:rsid w:val="00C745D1"/>
    <w:rsid w:val="00C749BF"/>
    <w:rsid w:val="00C74A83"/>
    <w:rsid w:val="00C74A97"/>
    <w:rsid w:val="00C74D46"/>
    <w:rsid w:val="00C76505"/>
    <w:rsid w:val="00C76982"/>
    <w:rsid w:val="00C76F38"/>
    <w:rsid w:val="00C77679"/>
    <w:rsid w:val="00C77FEC"/>
    <w:rsid w:val="00C80256"/>
    <w:rsid w:val="00C8043D"/>
    <w:rsid w:val="00C806CD"/>
    <w:rsid w:val="00C80953"/>
    <w:rsid w:val="00C81261"/>
    <w:rsid w:val="00C8159E"/>
    <w:rsid w:val="00C817AF"/>
    <w:rsid w:val="00C81E18"/>
    <w:rsid w:val="00C81EA5"/>
    <w:rsid w:val="00C8262D"/>
    <w:rsid w:val="00C82928"/>
    <w:rsid w:val="00C829D9"/>
    <w:rsid w:val="00C82BE1"/>
    <w:rsid w:val="00C82D8F"/>
    <w:rsid w:val="00C82EF7"/>
    <w:rsid w:val="00C82F47"/>
    <w:rsid w:val="00C82FED"/>
    <w:rsid w:val="00C833AA"/>
    <w:rsid w:val="00C836BA"/>
    <w:rsid w:val="00C8397E"/>
    <w:rsid w:val="00C83A11"/>
    <w:rsid w:val="00C8430F"/>
    <w:rsid w:val="00C84473"/>
    <w:rsid w:val="00C84519"/>
    <w:rsid w:val="00C847C9"/>
    <w:rsid w:val="00C847FA"/>
    <w:rsid w:val="00C848E8"/>
    <w:rsid w:val="00C84FED"/>
    <w:rsid w:val="00C85A4D"/>
    <w:rsid w:val="00C8647A"/>
    <w:rsid w:val="00C86516"/>
    <w:rsid w:val="00C86808"/>
    <w:rsid w:val="00C869E0"/>
    <w:rsid w:val="00C86B61"/>
    <w:rsid w:val="00C86FA8"/>
    <w:rsid w:val="00C87581"/>
    <w:rsid w:val="00C8777C"/>
    <w:rsid w:val="00C879BE"/>
    <w:rsid w:val="00C87F39"/>
    <w:rsid w:val="00C900A1"/>
    <w:rsid w:val="00C90167"/>
    <w:rsid w:val="00C9067B"/>
    <w:rsid w:val="00C90987"/>
    <w:rsid w:val="00C90B75"/>
    <w:rsid w:val="00C90E95"/>
    <w:rsid w:val="00C916E2"/>
    <w:rsid w:val="00C91A42"/>
    <w:rsid w:val="00C924B6"/>
    <w:rsid w:val="00C924BB"/>
    <w:rsid w:val="00C9258A"/>
    <w:rsid w:val="00C926CD"/>
    <w:rsid w:val="00C92DA5"/>
    <w:rsid w:val="00C92E17"/>
    <w:rsid w:val="00C931C0"/>
    <w:rsid w:val="00C9392A"/>
    <w:rsid w:val="00C93CD9"/>
    <w:rsid w:val="00C93F94"/>
    <w:rsid w:val="00C9400E"/>
    <w:rsid w:val="00C94145"/>
    <w:rsid w:val="00C943AC"/>
    <w:rsid w:val="00C945F4"/>
    <w:rsid w:val="00C94844"/>
    <w:rsid w:val="00C94D42"/>
    <w:rsid w:val="00C94E85"/>
    <w:rsid w:val="00C95579"/>
    <w:rsid w:val="00C95904"/>
    <w:rsid w:val="00C959FD"/>
    <w:rsid w:val="00C95C35"/>
    <w:rsid w:val="00C9615E"/>
    <w:rsid w:val="00C961FA"/>
    <w:rsid w:val="00C962B4"/>
    <w:rsid w:val="00C963B4"/>
    <w:rsid w:val="00C963B6"/>
    <w:rsid w:val="00C963DC"/>
    <w:rsid w:val="00C964AA"/>
    <w:rsid w:val="00C96C0F"/>
    <w:rsid w:val="00C96C41"/>
    <w:rsid w:val="00C96CF2"/>
    <w:rsid w:val="00C96FF1"/>
    <w:rsid w:val="00C971EA"/>
    <w:rsid w:val="00C972FF"/>
    <w:rsid w:val="00C97831"/>
    <w:rsid w:val="00C979EE"/>
    <w:rsid w:val="00C97A0F"/>
    <w:rsid w:val="00C97F0F"/>
    <w:rsid w:val="00CA0F03"/>
    <w:rsid w:val="00CA0FD6"/>
    <w:rsid w:val="00CA105F"/>
    <w:rsid w:val="00CA110E"/>
    <w:rsid w:val="00CA14E7"/>
    <w:rsid w:val="00CA17E3"/>
    <w:rsid w:val="00CA1BF5"/>
    <w:rsid w:val="00CA1DF5"/>
    <w:rsid w:val="00CA1FAB"/>
    <w:rsid w:val="00CA284A"/>
    <w:rsid w:val="00CA2BA0"/>
    <w:rsid w:val="00CA2E68"/>
    <w:rsid w:val="00CA30AC"/>
    <w:rsid w:val="00CA30B7"/>
    <w:rsid w:val="00CA3266"/>
    <w:rsid w:val="00CA3386"/>
    <w:rsid w:val="00CA365D"/>
    <w:rsid w:val="00CA36B1"/>
    <w:rsid w:val="00CA3BBB"/>
    <w:rsid w:val="00CA45E2"/>
    <w:rsid w:val="00CA46E7"/>
    <w:rsid w:val="00CA476E"/>
    <w:rsid w:val="00CA4B34"/>
    <w:rsid w:val="00CA558D"/>
    <w:rsid w:val="00CA593E"/>
    <w:rsid w:val="00CA59DA"/>
    <w:rsid w:val="00CA6782"/>
    <w:rsid w:val="00CA735B"/>
    <w:rsid w:val="00CA74E0"/>
    <w:rsid w:val="00CA767E"/>
    <w:rsid w:val="00CA7B39"/>
    <w:rsid w:val="00CA7E1D"/>
    <w:rsid w:val="00CB0362"/>
    <w:rsid w:val="00CB06EC"/>
    <w:rsid w:val="00CB0743"/>
    <w:rsid w:val="00CB07AD"/>
    <w:rsid w:val="00CB09D5"/>
    <w:rsid w:val="00CB0DE0"/>
    <w:rsid w:val="00CB0F47"/>
    <w:rsid w:val="00CB12E7"/>
    <w:rsid w:val="00CB1493"/>
    <w:rsid w:val="00CB163A"/>
    <w:rsid w:val="00CB1761"/>
    <w:rsid w:val="00CB1891"/>
    <w:rsid w:val="00CB1B60"/>
    <w:rsid w:val="00CB1DBE"/>
    <w:rsid w:val="00CB2765"/>
    <w:rsid w:val="00CB2BFB"/>
    <w:rsid w:val="00CB2F0A"/>
    <w:rsid w:val="00CB33E0"/>
    <w:rsid w:val="00CB35DF"/>
    <w:rsid w:val="00CB3CB4"/>
    <w:rsid w:val="00CB3F22"/>
    <w:rsid w:val="00CB46D7"/>
    <w:rsid w:val="00CB4ABF"/>
    <w:rsid w:val="00CB55FF"/>
    <w:rsid w:val="00CB5926"/>
    <w:rsid w:val="00CB5D4E"/>
    <w:rsid w:val="00CB6011"/>
    <w:rsid w:val="00CB6E35"/>
    <w:rsid w:val="00CB6FB9"/>
    <w:rsid w:val="00CB7D1B"/>
    <w:rsid w:val="00CC0170"/>
    <w:rsid w:val="00CC019C"/>
    <w:rsid w:val="00CC02F2"/>
    <w:rsid w:val="00CC065F"/>
    <w:rsid w:val="00CC0F49"/>
    <w:rsid w:val="00CC1413"/>
    <w:rsid w:val="00CC1573"/>
    <w:rsid w:val="00CC1895"/>
    <w:rsid w:val="00CC1B2D"/>
    <w:rsid w:val="00CC1FB5"/>
    <w:rsid w:val="00CC2156"/>
    <w:rsid w:val="00CC216F"/>
    <w:rsid w:val="00CC2333"/>
    <w:rsid w:val="00CC263D"/>
    <w:rsid w:val="00CC2DB1"/>
    <w:rsid w:val="00CC3095"/>
    <w:rsid w:val="00CC31DE"/>
    <w:rsid w:val="00CC40E5"/>
    <w:rsid w:val="00CC41A2"/>
    <w:rsid w:val="00CC4726"/>
    <w:rsid w:val="00CC4B9E"/>
    <w:rsid w:val="00CC4CA6"/>
    <w:rsid w:val="00CC545D"/>
    <w:rsid w:val="00CC5558"/>
    <w:rsid w:val="00CC5633"/>
    <w:rsid w:val="00CC579B"/>
    <w:rsid w:val="00CC57C6"/>
    <w:rsid w:val="00CC5B2A"/>
    <w:rsid w:val="00CC5FA4"/>
    <w:rsid w:val="00CC6079"/>
    <w:rsid w:val="00CC6734"/>
    <w:rsid w:val="00CC68EE"/>
    <w:rsid w:val="00CC6A6C"/>
    <w:rsid w:val="00CC70A2"/>
    <w:rsid w:val="00CC75B9"/>
    <w:rsid w:val="00CC7B07"/>
    <w:rsid w:val="00CC7B51"/>
    <w:rsid w:val="00CC7CC6"/>
    <w:rsid w:val="00CC7D01"/>
    <w:rsid w:val="00CC7D89"/>
    <w:rsid w:val="00CD0784"/>
    <w:rsid w:val="00CD083E"/>
    <w:rsid w:val="00CD0C5B"/>
    <w:rsid w:val="00CD157B"/>
    <w:rsid w:val="00CD1992"/>
    <w:rsid w:val="00CD1A2F"/>
    <w:rsid w:val="00CD1BB6"/>
    <w:rsid w:val="00CD1C6D"/>
    <w:rsid w:val="00CD2834"/>
    <w:rsid w:val="00CD294C"/>
    <w:rsid w:val="00CD29AB"/>
    <w:rsid w:val="00CD2BF8"/>
    <w:rsid w:val="00CD3149"/>
    <w:rsid w:val="00CD372E"/>
    <w:rsid w:val="00CD388D"/>
    <w:rsid w:val="00CD38CB"/>
    <w:rsid w:val="00CD3943"/>
    <w:rsid w:val="00CD4A96"/>
    <w:rsid w:val="00CD4EDC"/>
    <w:rsid w:val="00CD51BB"/>
    <w:rsid w:val="00CD5E0B"/>
    <w:rsid w:val="00CD6538"/>
    <w:rsid w:val="00CD6FE3"/>
    <w:rsid w:val="00CD73C1"/>
    <w:rsid w:val="00CD7E51"/>
    <w:rsid w:val="00CD7E93"/>
    <w:rsid w:val="00CD7ED1"/>
    <w:rsid w:val="00CD7F98"/>
    <w:rsid w:val="00CE0671"/>
    <w:rsid w:val="00CE0AEB"/>
    <w:rsid w:val="00CE0B11"/>
    <w:rsid w:val="00CE0C94"/>
    <w:rsid w:val="00CE0D01"/>
    <w:rsid w:val="00CE156E"/>
    <w:rsid w:val="00CE18D1"/>
    <w:rsid w:val="00CE1AB4"/>
    <w:rsid w:val="00CE1CCD"/>
    <w:rsid w:val="00CE1ED6"/>
    <w:rsid w:val="00CE2BB8"/>
    <w:rsid w:val="00CE33DF"/>
    <w:rsid w:val="00CE34A7"/>
    <w:rsid w:val="00CE3560"/>
    <w:rsid w:val="00CE3861"/>
    <w:rsid w:val="00CE3DFD"/>
    <w:rsid w:val="00CE3EFE"/>
    <w:rsid w:val="00CE40E2"/>
    <w:rsid w:val="00CE4474"/>
    <w:rsid w:val="00CE47A5"/>
    <w:rsid w:val="00CE4856"/>
    <w:rsid w:val="00CE4858"/>
    <w:rsid w:val="00CE4A19"/>
    <w:rsid w:val="00CE4B8D"/>
    <w:rsid w:val="00CE4C6C"/>
    <w:rsid w:val="00CE4CE1"/>
    <w:rsid w:val="00CE4DC6"/>
    <w:rsid w:val="00CE5644"/>
    <w:rsid w:val="00CE570B"/>
    <w:rsid w:val="00CE5820"/>
    <w:rsid w:val="00CE5B07"/>
    <w:rsid w:val="00CE6216"/>
    <w:rsid w:val="00CE6DFB"/>
    <w:rsid w:val="00CE700D"/>
    <w:rsid w:val="00CE73D9"/>
    <w:rsid w:val="00CE7809"/>
    <w:rsid w:val="00CE7CF8"/>
    <w:rsid w:val="00CF0148"/>
    <w:rsid w:val="00CF0706"/>
    <w:rsid w:val="00CF0BD9"/>
    <w:rsid w:val="00CF148F"/>
    <w:rsid w:val="00CF1778"/>
    <w:rsid w:val="00CF2211"/>
    <w:rsid w:val="00CF22D6"/>
    <w:rsid w:val="00CF2AF5"/>
    <w:rsid w:val="00CF3020"/>
    <w:rsid w:val="00CF3278"/>
    <w:rsid w:val="00CF346F"/>
    <w:rsid w:val="00CF38A0"/>
    <w:rsid w:val="00CF3A3C"/>
    <w:rsid w:val="00CF4175"/>
    <w:rsid w:val="00CF4D45"/>
    <w:rsid w:val="00CF508C"/>
    <w:rsid w:val="00CF54B4"/>
    <w:rsid w:val="00CF58FE"/>
    <w:rsid w:val="00CF5D42"/>
    <w:rsid w:val="00CF5DCC"/>
    <w:rsid w:val="00CF5F17"/>
    <w:rsid w:val="00CF6286"/>
    <w:rsid w:val="00CF62B7"/>
    <w:rsid w:val="00CF662C"/>
    <w:rsid w:val="00CF6A35"/>
    <w:rsid w:val="00CF6A86"/>
    <w:rsid w:val="00CF6DC7"/>
    <w:rsid w:val="00CF7167"/>
    <w:rsid w:val="00CF7BB2"/>
    <w:rsid w:val="00CF7DA3"/>
    <w:rsid w:val="00D009C0"/>
    <w:rsid w:val="00D00AE5"/>
    <w:rsid w:val="00D00FD6"/>
    <w:rsid w:val="00D015AD"/>
    <w:rsid w:val="00D01A1D"/>
    <w:rsid w:val="00D01F37"/>
    <w:rsid w:val="00D01FA6"/>
    <w:rsid w:val="00D0206E"/>
    <w:rsid w:val="00D020DB"/>
    <w:rsid w:val="00D0210F"/>
    <w:rsid w:val="00D02608"/>
    <w:rsid w:val="00D02C69"/>
    <w:rsid w:val="00D02D1D"/>
    <w:rsid w:val="00D02D95"/>
    <w:rsid w:val="00D02EB9"/>
    <w:rsid w:val="00D02F55"/>
    <w:rsid w:val="00D0304D"/>
    <w:rsid w:val="00D03393"/>
    <w:rsid w:val="00D03FC6"/>
    <w:rsid w:val="00D04112"/>
    <w:rsid w:val="00D049BD"/>
    <w:rsid w:val="00D04E51"/>
    <w:rsid w:val="00D05169"/>
    <w:rsid w:val="00D05B8D"/>
    <w:rsid w:val="00D05BC2"/>
    <w:rsid w:val="00D05FA6"/>
    <w:rsid w:val="00D06340"/>
    <w:rsid w:val="00D06726"/>
    <w:rsid w:val="00D06830"/>
    <w:rsid w:val="00D0684A"/>
    <w:rsid w:val="00D06CF0"/>
    <w:rsid w:val="00D07203"/>
    <w:rsid w:val="00D07400"/>
    <w:rsid w:val="00D07625"/>
    <w:rsid w:val="00D0765A"/>
    <w:rsid w:val="00D07EB7"/>
    <w:rsid w:val="00D10CCF"/>
    <w:rsid w:val="00D10FB9"/>
    <w:rsid w:val="00D11532"/>
    <w:rsid w:val="00D11A9C"/>
    <w:rsid w:val="00D11AC3"/>
    <w:rsid w:val="00D12095"/>
    <w:rsid w:val="00D1210F"/>
    <w:rsid w:val="00D12263"/>
    <w:rsid w:val="00D123C8"/>
    <w:rsid w:val="00D12768"/>
    <w:rsid w:val="00D12AC5"/>
    <w:rsid w:val="00D12B7A"/>
    <w:rsid w:val="00D12C1F"/>
    <w:rsid w:val="00D12F92"/>
    <w:rsid w:val="00D13137"/>
    <w:rsid w:val="00D13148"/>
    <w:rsid w:val="00D13553"/>
    <w:rsid w:val="00D137CE"/>
    <w:rsid w:val="00D13804"/>
    <w:rsid w:val="00D13A12"/>
    <w:rsid w:val="00D13B54"/>
    <w:rsid w:val="00D143D6"/>
    <w:rsid w:val="00D15025"/>
    <w:rsid w:val="00D15248"/>
    <w:rsid w:val="00D1574C"/>
    <w:rsid w:val="00D15798"/>
    <w:rsid w:val="00D158CC"/>
    <w:rsid w:val="00D15A0F"/>
    <w:rsid w:val="00D15EA5"/>
    <w:rsid w:val="00D15FD1"/>
    <w:rsid w:val="00D16A49"/>
    <w:rsid w:val="00D17349"/>
    <w:rsid w:val="00D17444"/>
    <w:rsid w:val="00D17F10"/>
    <w:rsid w:val="00D20376"/>
    <w:rsid w:val="00D20671"/>
    <w:rsid w:val="00D207AB"/>
    <w:rsid w:val="00D209B7"/>
    <w:rsid w:val="00D20F4E"/>
    <w:rsid w:val="00D215DE"/>
    <w:rsid w:val="00D21666"/>
    <w:rsid w:val="00D21812"/>
    <w:rsid w:val="00D21E6D"/>
    <w:rsid w:val="00D2215C"/>
    <w:rsid w:val="00D22981"/>
    <w:rsid w:val="00D22E4F"/>
    <w:rsid w:val="00D22F46"/>
    <w:rsid w:val="00D2321D"/>
    <w:rsid w:val="00D2329D"/>
    <w:rsid w:val="00D23787"/>
    <w:rsid w:val="00D2427A"/>
    <w:rsid w:val="00D2510C"/>
    <w:rsid w:val="00D2516D"/>
    <w:rsid w:val="00D251FD"/>
    <w:rsid w:val="00D25287"/>
    <w:rsid w:val="00D25913"/>
    <w:rsid w:val="00D2618B"/>
    <w:rsid w:val="00D2640E"/>
    <w:rsid w:val="00D2641C"/>
    <w:rsid w:val="00D26A13"/>
    <w:rsid w:val="00D26CE1"/>
    <w:rsid w:val="00D26D76"/>
    <w:rsid w:val="00D26E53"/>
    <w:rsid w:val="00D271E5"/>
    <w:rsid w:val="00D272B2"/>
    <w:rsid w:val="00D27319"/>
    <w:rsid w:val="00D278C6"/>
    <w:rsid w:val="00D27BF3"/>
    <w:rsid w:val="00D27F58"/>
    <w:rsid w:val="00D30018"/>
    <w:rsid w:val="00D30268"/>
    <w:rsid w:val="00D30F2D"/>
    <w:rsid w:val="00D31D60"/>
    <w:rsid w:val="00D32450"/>
    <w:rsid w:val="00D3283A"/>
    <w:rsid w:val="00D3295B"/>
    <w:rsid w:val="00D32BDA"/>
    <w:rsid w:val="00D32CD4"/>
    <w:rsid w:val="00D32D46"/>
    <w:rsid w:val="00D32E00"/>
    <w:rsid w:val="00D32E93"/>
    <w:rsid w:val="00D33126"/>
    <w:rsid w:val="00D3329C"/>
    <w:rsid w:val="00D333B0"/>
    <w:rsid w:val="00D33449"/>
    <w:rsid w:val="00D33DB7"/>
    <w:rsid w:val="00D33F60"/>
    <w:rsid w:val="00D34379"/>
    <w:rsid w:val="00D3449D"/>
    <w:rsid w:val="00D345BA"/>
    <w:rsid w:val="00D345C3"/>
    <w:rsid w:val="00D3463A"/>
    <w:rsid w:val="00D34724"/>
    <w:rsid w:val="00D35390"/>
    <w:rsid w:val="00D35985"/>
    <w:rsid w:val="00D35BC8"/>
    <w:rsid w:val="00D363C9"/>
    <w:rsid w:val="00D3669C"/>
    <w:rsid w:val="00D36BD2"/>
    <w:rsid w:val="00D378FD"/>
    <w:rsid w:val="00D402CC"/>
    <w:rsid w:val="00D407E4"/>
    <w:rsid w:val="00D409EB"/>
    <w:rsid w:val="00D40A74"/>
    <w:rsid w:val="00D40CC2"/>
    <w:rsid w:val="00D40D70"/>
    <w:rsid w:val="00D41724"/>
    <w:rsid w:val="00D42208"/>
    <w:rsid w:val="00D42462"/>
    <w:rsid w:val="00D429F4"/>
    <w:rsid w:val="00D42BBE"/>
    <w:rsid w:val="00D436D6"/>
    <w:rsid w:val="00D437EF"/>
    <w:rsid w:val="00D43803"/>
    <w:rsid w:val="00D43C75"/>
    <w:rsid w:val="00D43D10"/>
    <w:rsid w:val="00D4409C"/>
    <w:rsid w:val="00D45815"/>
    <w:rsid w:val="00D45E0D"/>
    <w:rsid w:val="00D45FE2"/>
    <w:rsid w:val="00D46335"/>
    <w:rsid w:val="00D4671B"/>
    <w:rsid w:val="00D4710B"/>
    <w:rsid w:val="00D47DF6"/>
    <w:rsid w:val="00D47E5F"/>
    <w:rsid w:val="00D502F9"/>
    <w:rsid w:val="00D50585"/>
    <w:rsid w:val="00D517A7"/>
    <w:rsid w:val="00D5184A"/>
    <w:rsid w:val="00D51E2C"/>
    <w:rsid w:val="00D524D5"/>
    <w:rsid w:val="00D52B87"/>
    <w:rsid w:val="00D52CB8"/>
    <w:rsid w:val="00D531B1"/>
    <w:rsid w:val="00D53546"/>
    <w:rsid w:val="00D538E3"/>
    <w:rsid w:val="00D539F2"/>
    <w:rsid w:val="00D53BEF"/>
    <w:rsid w:val="00D53CFA"/>
    <w:rsid w:val="00D54B2F"/>
    <w:rsid w:val="00D54DD2"/>
    <w:rsid w:val="00D55048"/>
    <w:rsid w:val="00D55470"/>
    <w:rsid w:val="00D55638"/>
    <w:rsid w:val="00D561F6"/>
    <w:rsid w:val="00D56211"/>
    <w:rsid w:val="00D56B9A"/>
    <w:rsid w:val="00D570AD"/>
    <w:rsid w:val="00D570EE"/>
    <w:rsid w:val="00D57128"/>
    <w:rsid w:val="00D576A6"/>
    <w:rsid w:val="00D5772F"/>
    <w:rsid w:val="00D57DDF"/>
    <w:rsid w:val="00D60604"/>
    <w:rsid w:val="00D60623"/>
    <w:rsid w:val="00D60874"/>
    <w:rsid w:val="00D60ACF"/>
    <w:rsid w:val="00D614D8"/>
    <w:rsid w:val="00D617AA"/>
    <w:rsid w:val="00D61FAE"/>
    <w:rsid w:val="00D6253D"/>
    <w:rsid w:val="00D62831"/>
    <w:rsid w:val="00D6289B"/>
    <w:rsid w:val="00D62D08"/>
    <w:rsid w:val="00D62EEE"/>
    <w:rsid w:val="00D63133"/>
    <w:rsid w:val="00D63861"/>
    <w:rsid w:val="00D6390E"/>
    <w:rsid w:val="00D6395C"/>
    <w:rsid w:val="00D63B93"/>
    <w:rsid w:val="00D6471F"/>
    <w:rsid w:val="00D648D2"/>
    <w:rsid w:val="00D64916"/>
    <w:rsid w:val="00D64A9C"/>
    <w:rsid w:val="00D64ADC"/>
    <w:rsid w:val="00D64D50"/>
    <w:rsid w:val="00D654BD"/>
    <w:rsid w:val="00D6553E"/>
    <w:rsid w:val="00D65A8B"/>
    <w:rsid w:val="00D65B15"/>
    <w:rsid w:val="00D65BEB"/>
    <w:rsid w:val="00D6600F"/>
    <w:rsid w:val="00D66134"/>
    <w:rsid w:val="00D66682"/>
    <w:rsid w:val="00D6680B"/>
    <w:rsid w:val="00D66CF0"/>
    <w:rsid w:val="00D66E0C"/>
    <w:rsid w:val="00D716F8"/>
    <w:rsid w:val="00D71731"/>
    <w:rsid w:val="00D719F8"/>
    <w:rsid w:val="00D71CBA"/>
    <w:rsid w:val="00D71DCF"/>
    <w:rsid w:val="00D725F5"/>
    <w:rsid w:val="00D7293C"/>
    <w:rsid w:val="00D72996"/>
    <w:rsid w:val="00D72CD7"/>
    <w:rsid w:val="00D72DAB"/>
    <w:rsid w:val="00D739C2"/>
    <w:rsid w:val="00D73D34"/>
    <w:rsid w:val="00D741BC"/>
    <w:rsid w:val="00D7477B"/>
    <w:rsid w:val="00D7487A"/>
    <w:rsid w:val="00D74AE4"/>
    <w:rsid w:val="00D75316"/>
    <w:rsid w:val="00D7555B"/>
    <w:rsid w:val="00D7569E"/>
    <w:rsid w:val="00D758B9"/>
    <w:rsid w:val="00D75D00"/>
    <w:rsid w:val="00D763C9"/>
    <w:rsid w:val="00D76F8D"/>
    <w:rsid w:val="00D77246"/>
    <w:rsid w:val="00D77436"/>
    <w:rsid w:val="00D778A4"/>
    <w:rsid w:val="00D77CE0"/>
    <w:rsid w:val="00D800CD"/>
    <w:rsid w:val="00D801A0"/>
    <w:rsid w:val="00D8021D"/>
    <w:rsid w:val="00D80279"/>
    <w:rsid w:val="00D8041F"/>
    <w:rsid w:val="00D80881"/>
    <w:rsid w:val="00D80BF8"/>
    <w:rsid w:val="00D80C7B"/>
    <w:rsid w:val="00D8111B"/>
    <w:rsid w:val="00D811CF"/>
    <w:rsid w:val="00D813D4"/>
    <w:rsid w:val="00D81F03"/>
    <w:rsid w:val="00D82E35"/>
    <w:rsid w:val="00D82F2A"/>
    <w:rsid w:val="00D83545"/>
    <w:rsid w:val="00D83736"/>
    <w:rsid w:val="00D8387E"/>
    <w:rsid w:val="00D845F5"/>
    <w:rsid w:val="00D84696"/>
    <w:rsid w:val="00D847FF"/>
    <w:rsid w:val="00D84975"/>
    <w:rsid w:val="00D8532A"/>
    <w:rsid w:val="00D85B09"/>
    <w:rsid w:val="00D85BC4"/>
    <w:rsid w:val="00D86678"/>
    <w:rsid w:val="00D86759"/>
    <w:rsid w:val="00D86E9D"/>
    <w:rsid w:val="00D86FED"/>
    <w:rsid w:val="00D870B7"/>
    <w:rsid w:val="00D8732A"/>
    <w:rsid w:val="00D87471"/>
    <w:rsid w:val="00D87DF9"/>
    <w:rsid w:val="00D87E90"/>
    <w:rsid w:val="00D87F1F"/>
    <w:rsid w:val="00D90245"/>
    <w:rsid w:val="00D90868"/>
    <w:rsid w:val="00D9145B"/>
    <w:rsid w:val="00D91D02"/>
    <w:rsid w:val="00D92167"/>
    <w:rsid w:val="00D92630"/>
    <w:rsid w:val="00D9276B"/>
    <w:rsid w:val="00D9286F"/>
    <w:rsid w:val="00D938C3"/>
    <w:rsid w:val="00D93902"/>
    <w:rsid w:val="00D93F3B"/>
    <w:rsid w:val="00D940F3"/>
    <w:rsid w:val="00D94560"/>
    <w:rsid w:val="00D94B21"/>
    <w:rsid w:val="00D94D40"/>
    <w:rsid w:val="00D94FFF"/>
    <w:rsid w:val="00D95226"/>
    <w:rsid w:val="00D9559C"/>
    <w:rsid w:val="00D9562C"/>
    <w:rsid w:val="00D95ACE"/>
    <w:rsid w:val="00D95BF2"/>
    <w:rsid w:val="00D95EA5"/>
    <w:rsid w:val="00D95EDF"/>
    <w:rsid w:val="00D96B71"/>
    <w:rsid w:val="00D96C40"/>
    <w:rsid w:val="00D96CD3"/>
    <w:rsid w:val="00D9729E"/>
    <w:rsid w:val="00D9747C"/>
    <w:rsid w:val="00D97567"/>
    <w:rsid w:val="00D97779"/>
    <w:rsid w:val="00D97794"/>
    <w:rsid w:val="00D97987"/>
    <w:rsid w:val="00D97AA7"/>
    <w:rsid w:val="00D97B29"/>
    <w:rsid w:val="00D97BBC"/>
    <w:rsid w:val="00D97F67"/>
    <w:rsid w:val="00DA0110"/>
    <w:rsid w:val="00DA0443"/>
    <w:rsid w:val="00DA0665"/>
    <w:rsid w:val="00DA0696"/>
    <w:rsid w:val="00DA0AC9"/>
    <w:rsid w:val="00DA0C39"/>
    <w:rsid w:val="00DA12CE"/>
    <w:rsid w:val="00DA1895"/>
    <w:rsid w:val="00DA1968"/>
    <w:rsid w:val="00DA1980"/>
    <w:rsid w:val="00DA1C72"/>
    <w:rsid w:val="00DA1F8B"/>
    <w:rsid w:val="00DA2030"/>
    <w:rsid w:val="00DA2736"/>
    <w:rsid w:val="00DA3248"/>
    <w:rsid w:val="00DA39AE"/>
    <w:rsid w:val="00DA3ABC"/>
    <w:rsid w:val="00DA3C43"/>
    <w:rsid w:val="00DA49C8"/>
    <w:rsid w:val="00DA5132"/>
    <w:rsid w:val="00DA52E4"/>
    <w:rsid w:val="00DA576A"/>
    <w:rsid w:val="00DA589A"/>
    <w:rsid w:val="00DA5BD5"/>
    <w:rsid w:val="00DA5C32"/>
    <w:rsid w:val="00DA5EFA"/>
    <w:rsid w:val="00DA6204"/>
    <w:rsid w:val="00DA6B1C"/>
    <w:rsid w:val="00DA6F2B"/>
    <w:rsid w:val="00DA7044"/>
    <w:rsid w:val="00DA7190"/>
    <w:rsid w:val="00DA797F"/>
    <w:rsid w:val="00DA7BBD"/>
    <w:rsid w:val="00DA7C57"/>
    <w:rsid w:val="00DA7C85"/>
    <w:rsid w:val="00DB02F7"/>
    <w:rsid w:val="00DB0388"/>
    <w:rsid w:val="00DB0538"/>
    <w:rsid w:val="00DB0B10"/>
    <w:rsid w:val="00DB0EEF"/>
    <w:rsid w:val="00DB1CCB"/>
    <w:rsid w:val="00DB1E1D"/>
    <w:rsid w:val="00DB226E"/>
    <w:rsid w:val="00DB25B6"/>
    <w:rsid w:val="00DB2660"/>
    <w:rsid w:val="00DB2A3E"/>
    <w:rsid w:val="00DB2EDD"/>
    <w:rsid w:val="00DB3C19"/>
    <w:rsid w:val="00DB3D1C"/>
    <w:rsid w:val="00DB3D80"/>
    <w:rsid w:val="00DB41F2"/>
    <w:rsid w:val="00DB4619"/>
    <w:rsid w:val="00DB48B1"/>
    <w:rsid w:val="00DB49B7"/>
    <w:rsid w:val="00DB5046"/>
    <w:rsid w:val="00DB506A"/>
    <w:rsid w:val="00DB5112"/>
    <w:rsid w:val="00DB534F"/>
    <w:rsid w:val="00DB63E7"/>
    <w:rsid w:val="00DB675D"/>
    <w:rsid w:val="00DB67D5"/>
    <w:rsid w:val="00DB67EF"/>
    <w:rsid w:val="00DB709A"/>
    <w:rsid w:val="00DB709E"/>
    <w:rsid w:val="00DB7386"/>
    <w:rsid w:val="00DB7556"/>
    <w:rsid w:val="00DB794F"/>
    <w:rsid w:val="00DB7D08"/>
    <w:rsid w:val="00DC08E1"/>
    <w:rsid w:val="00DC0E00"/>
    <w:rsid w:val="00DC13B6"/>
    <w:rsid w:val="00DC1556"/>
    <w:rsid w:val="00DC1FAB"/>
    <w:rsid w:val="00DC1FEB"/>
    <w:rsid w:val="00DC2337"/>
    <w:rsid w:val="00DC27D1"/>
    <w:rsid w:val="00DC2841"/>
    <w:rsid w:val="00DC2843"/>
    <w:rsid w:val="00DC2ADA"/>
    <w:rsid w:val="00DC2B5D"/>
    <w:rsid w:val="00DC2DAE"/>
    <w:rsid w:val="00DC2DF5"/>
    <w:rsid w:val="00DC3233"/>
    <w:rsid w:val="00DC3793"/>
    <w:rsid w:val="00DC37C4"/>
    <w:rsid w:val="00DC39A7"/>
    <w:rsid w:val="00DC4403"/>
    <w:rsid w:val="00DC44FB"/>
    <w:rsid w:val="00DC4FB6"/>
    <w:rsid w:val="00DC5072"/>
    <w:rsid w:val="00DC52CC"/>
    <w:rsid w:val="00DC540E"/>
    <w:rsid w:val="00DC569B"/>
    <w:rsid w:val="00DC5A6A"/>
    <w:rsid w:val="00DC5BC2"/>
    <w:rsid w:val="00DC5E23"/>
    <w:rsid w:val="00DC5EDF"/>
    <w:rsid w:val="00DC6283"/>
    <w:rsid w:val="00DC6736"/>
    <w:rsid w:val="00DC6B63"/>
    <w:rsid w:val="00DC6C95"/>
    <w:rsid w:val="00DC7307"/>
    <w:rsid w:val="00DC7A6C"/>
    <w:rsid w:val="00DD044B"/>
    <w:rsid w:val="00DD05D1"/>
    <w:rsid w:val="00DD107B"/>
    <w:rsid w:val="00DD18CA"/>
    <w:rsid w:val="00DD19F5"/>
    <w:rsid w:val="00DD1DBD"/>
    <w:rsid w:val="00DD1F68"/>
    <w:rsid w:val="00DD2C2C"/>
    <w:rsid w:val="00DD2C71"/>
    <w:rsid w:val="00DD2DAA"/>
    <w:rsid w:val="00DD31DF"/>
    <w:rsid w:val="00DD35AF"/>
    <w:rsid w:val="00DD3B94"/>
    <w:rsid w:val="00DD3E52"/>
    <w:rsid w:val="00DD3FEB"/>
    <w:rsid w:val="00DD47B6"/>
    <w:rsid w:val="00DD4952"/>
    <w:rsid w:val="00DD4BE1"/>
    <w:rsid w:val="00DD53FC"/>
    <w:rsid w:val="00DD5F21"/>
    <w:rsid w:val="00DD6100"/>
    <w:rsid w:val="00DD6E56"/>
    <w:rsid w:val="00DD7311"/>
    <w:rsid w:val="00DD74BB"/>
    <w:rsid w:val="00DD791E"/>
    <w:rsid w:val="00DD7D99"/>
    <w:rsid w:val="00DD7FB2"/>
    <w:rsid w:val="00DE04B5"/>
    <w:rsid w:val="00DE0931"/>
    <w:rsid w:val="00DE0BD4"/>
    <w:rsid w:val="00DE0C2C"/>
    <w:rsid w:val="00DE0F3F"/>
    <w:rsid w:val="00DE123D"/>
    <w:rsid w:val="00DE15B4"/>
    <w:rsid w:val="00DE1A78"/>
    <w:rsid w:val="00DE2ACB"/>
    <w:rsid w:val="00DE33D8"/>
    <w:rsid w:val="00DE3403"/>
    <w:rsid w:val="00DE3576"/>
    <w:rsid w:val="00DE3C95"/>
    <w:rsid w:val="00DE3E27"/>
    <w:rsid w:val="00DE4070"/>
    <w:rsid w:val="00DE44C8"/>
    <w:rsid w:val="00DE4CB0"/>
    <w:rsid w:val="00DE5112"/>
    <w:rsid w:val="00DE52AC"/>
    <w:rsid w:val="00DE5CE2"/>
    <w:rsid w:val="00DE5EEB"/>
    <w:rsid w:val="00DE6380"/>
    <w:rsid w:val="00DE657F"/>
    <w:rsid w:val="00DE6A15"/>
    <w:rsid w:val="00DE6B48"/>
    <w:rsid w:val="00DE734F"/>
    <w:rsid w:val="00DF020C"/>
    <w:rsid w:val="00DF0883"/>
    <w:rsid w:val="00DF0A0D"/>
    <w:rsid w:val="00DF0E92"/>
    <w:rsid w:val="00DF1083"/>
    <w:rsid w:val="00DF1865"/>
    <w:rsid w:val="00DF1CF7"/>
    <w:rsid w:val="00DF1E45"/>
    <w:rsid w:val="00DF1EC7"/>
    <w:rsid w:val="00DF1EE7"/>
    <w:rsid w:val="00DF1F92"/>
    <w:rsid w:val="00DF23FB"/>
    <w:rsid w:val="00DF2537"/>
    <w:rsid w:val="00DF2654"/>
    <w:rsid w:val="00DF313A"/>
    <w:rsid w:val="00DF3196"/>
    <w:rsid w:val="00DF3716"/>
    <w:rsid w:val="00DF37BF"/>
    <w:rsid w:val="00DF38A4"/>
    <w:rsid w:val="00DF39C3"/>
    <w:rsid w:val="00DF3CCC"/>
    <w:rsid w:val="00DF3DD0"/>
    <w:rsid w:val="00DF3EDC"/>
    <w:rsid w:val="00DF404C"/>
    <w:rsid w:val="00DF495D"/>
    <w:rsid w:val="00DF4F52"/>
    <w:rsid w:val="00DF50FF"/>
    <w:rsid w:val="00DF56C4"/>
    <w:rsid w:val="00DF58AE"/>
    <w:rsid w:val="00DF5913"/>
    <w:rsid w:val="00DF5D8D"/>
    <w:rsid w:val="00DF6397"/>
    <w:rsid w:val="00DF67B7"/>
    <w:rsid w:val="00DF6D3F"/>
    <w:rsid w:val="00DF6DF5"/>
    <w:rsid w:val="00DF6FB1"/>
    <w:rsid w:val="00DF6FB9"/>
    <w:rsid w:val="00DF720B"/>
    <w:rsid w:val="00DF735D"/>
    <w:rsid w:val="00DF77B2"/>
    <w:rsid w:val="00E000F1"/>
    <w:rsid w:val="00E001A4"/>
    <w:rsid w:val="00E002AA"/>
    <w:rsid w:val="00E009CB"/>
    <w:rsid w:val="00E00BDA"/>
    <w:rsid w:val="00E00BFF"/>
    <w:rsid w:val="00E00D3E"/>
    <w:rsid w:val="00E010B9"/>
    <w:rsid w:val="00E0174E"/>
    <w:rsid w:val="00E020B7"/>
    <w:rsid w:val="00E029A7"/>
    <w:rsid w:val="00E02DD0"/>
    <w:rsid w:val="00E0334E"/>
    <w:rsid w:val="00E03447"/>
    <w:rsid w:val="00E038CC"/>
    <w:rsid w:val="00E03FE1"/>
    <w:rsid w:val="00E0492E"/>
    <w:rsid w:val="00E04BF5"/>
    <w:rsid w:val="00E04C4E"/>
    <w:rsid w:val="00E04D60"/>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07CE7"/>
    <w:rsid w:val="00E1007F"/>
    <w:rsid w:val="00E1016D"/>
    <w:rsid w:val="00E102D6"/>
    <w:rsid w:val="00E10DD1"/>
    <w:rsid w:val="00E10F6E"/>
    <w:rsid w:val="00E1117F"/>
    <w:rsid w:val="00E11291"/>
    <w:rsid w:val="00E1129E"/>
    <w:rsid w:val="00E11416"/>
    <w:rsid w:val="00E11662"/>
    <w:rsid w:val="00E118C7"/>
    <w:rsid w:val="00E11CC1"/>
    <w:rsid w:val="00E11CD4"/>
    <w:rsid w:val="00E12775"/>
    <w:rsid w:val="00E12937"/>
    <w:rsid w:val="00E12987"/>
    <w:rsid w:val="00E1378A"/>
    <w:rsid w:val="00E13A68"/>
    <w:rsid w:val="00E13E43"/>
    <w:rsid w:val="00E13EED"/>
    <w:rsid w:val="00E1472A"/>
    <w:rsid w:val="00E14BC9"/>
    <w:rsid w:val="00E14DEA"/>
    <w:rsid w:val="00E14E35"/>
    <w:rsid w:val="00E14F50"/>
    <w:rsid w:val="00E152A2"/>
    <w:rsid w:val="00E15D51"/>
    <w:rsid w:val="00E16314"/>
    <w:rsid w:val="00E16321"/>
    <w:rsid w:val="00E168F0"/>
    <w:rsid w:val="00E17176"/>
    <w:rsid w:val="00E177BC"/>
    <w:rsid w:val="00E2016C"/>
    <w:rsid w:val="00E20745"/>
    <w:rsid w:val="00E20F7D"/>
    <w:rsid w:val="00E21202"/>
    <w:rsid w:val="00E21E66"/>
    <w:rsid w:val="00E22302"/>
    <w:rsid w:val="00E228E2"/>
    <w:rsid w:val="00E2352F"/>
    <w:rsid w:val="00E235CD"/>
    <w:rsid w:val="00E2369F"/>
    <w:rsid w:val="00E23AE7"/>
    <w:rsid w:val="00E23AF1"/>
    <w:rsid w:val="00E24CF0"/>
    <w:rsid w:val="00E24D28"/>
    <w:rsid w:val="00E24DB4"/>
    <w:rsid w:val="00E254C4"/>
    <w:rsid w:val="00E25B75"/>
    <w:rsid w:val="00E261C2"/>
    <w:rsid w:val="00E26215"/>
    <w:rsid w:val="00E2624C"/>
    <w:rsid w:val="00E26401"/>
    <w:rsid w:val="00E27914"/>
    <w:rsid w:val="00E27994"/>
    <w:rsid w:val="00E279C6"/>
    <w:rsid w:val="00E27E05"/>
    <w:rsid w:val="00E3143D"/>
    <w:rsid w:val="00E31516"/>
    <w:rsid w:val="00E316D8"/>
    <w:rsid w:val="00E3183B"/>
    <w:rsid w:val="00E31C2B"/>
    <w:rsid w:val="00E31F77"/>
    <w:rsid w:val="00E320EE"/>
    <w:rsid w:val="00E32E84"/>
    <w:rsid w:val="00E32FB1"/>
    <w:rsid w:val="00E331AE"/>
    <w:rsid w:val="00E33E05"/>
    <w:rsid w:val="00E33E6A"/>
    <w:rsid w:val="00E3435D"/>
    <w:rsid w:val="00E34789"/>
    <w:rsid w:val="00E34E3A"/>
    <w:rsid w:val="00E35061"/>
    <w:rsid w:val="00E3577F"/>
    <w:rsid w:val="00E35BAD"/>
    <w:rsid w:val="00E36130"/>
    <w:rsid w:val="00E36368"/>
    <w:rsid w:val="00E36A79"/>
    <w:rsid w:val="00E36AEA"/>
    <w:rsid w:val="00E36C40"/>
    <w:rsid w:val="00E37284"/>
    <w:rsid w:val="00E3781F"/>
    <w:rsid w:val="00E37853"/>
    <w:rsid w:val="00E37BF1"/>
    <w:rsid w:val="00E37D35"/>
    <w:rsid w:val="00E40750"/>
    <w:rsid w:val="00E41993"/>
    <w:rsid w:val="00E41A07"/>
    <w:rsid w:val="00E41EDE"/>
    <w:rsid w:val="00E4201F"/>
    <w:rsid w:val="00E4274D"/>
    <w:rsid w:val="00E42B3F"/>
    <w:rsid w:val="00E43067"/>
    <w:rsid w:val="00E4336A"/>
    <w:rsid w:val="00E4347B"/>
    <w:rsid w:val="00E434E5"/>
    <w:rsid w:val="00E43CC1"/>
    <w:rsid w:val="00E4412D"/>
    <w:rsid w:val="00E443B3"/>
    <w:rsid w:val="00E44443"/>
    <w:rsid w:val="00E444F5"/>
    <w:rsid w:val="00E44586"/>
    <w:rsid w:val="00E447EA"/>
    <w:rsid w:val="00E44D87"/>
    <w:rsid w:val="00E44F49"/>
    <w:rsid w:val="00E455CE"/>
    <w:rsid w:val="00E45866"/>
    <w:rsid w:val="00E45DDA"/>
    <w:rsid w:val="00E45E79"/>
    <w:rsid w:val="00E45FB1"/>
    <w:rsid w:val="00E4675C"/>
    <w:rsid w:val="00E468EB"/>
    <w:rsid w:val="00E46F8B"/>
    <w:rsid w:val="00E470F3"/>
    <w:rsid w:val="00E47100"/>
    <w:rsid w:val="00E4770F"/>
    <w:rsid w:val="00E4790E"/>
    <w:rsid w:val="00E47A77"/>
    <w:rsid w:val="00E47EB6"/>
    <w:rsid w:val="00E50382"/>
    <w:rsid w:val="00E50E19"/>
    <w:rsid w:val="00E512A2"/>
    <w:rsid w:val="00E514E3"/>
    <w:rsid w:val="00E516F9"/>
    <w:rsid w:val="00E51AF9"/>
    <w:rsid w:val="00E5234E"/>
    <w:rsid w:val="00E52BCB"/>
    <w:rsid w:val="00E53ADF"/>
    <w:rsid w:val="00E53BCD"/>
    <w:rsid w:val="00E5409A"/>
    <w:rsid w:val="00E546AB"/>
    <w:rsid w:val="00E54D85"/>
    <w:rsid w:val="00E5501C"/>
    <w:rsid w:val="00E56B40"/>
    <w:rsid w:val="00E56CE6"/>
    <w:rsid w:val="00E5717B"/>
    <w:rsid w:val="00E572C8"/>
    <w:rsid w:val="00E578D4"/>
    <w:rsid w:val="00E578E2"/>
    <w:rsid w:val="00E5799B"/>
    <w:rsid w:val="00E6017A"/>
    <w:rsid w:val="00E604F1"/>
    <w:rsid w:val="00E60556"/>
    <w:rsid w:val="00E60F93"/>
    <w:rsid w:val="00E61AEC"/>
    <w:rsid w:val="00E61BA9"/>
    <w:rsid w:val="00E61BCF"/>
    <w:rsid w:val="00E624DF"/>
    <w:rsid w:val="00E62624"/>
    <w:rsid w:val="00E6305B"/>
    <w:rsid w:val="00E6388F"/>
    <w:rsid w:val="00E63D14"/>
    <w:rsid w:val="00E643FC"/>
    <w:rsid w:val="00E64905"/>
    <w:rsid w:val="00E64A11"/>
    <w:rsid w:val="00E64CC9"/>
    <w:rsid w:val="00E64D2A"/>
    <w:rsid w:val="00E64DCE"/>
    <w:rsid w:val="00E64E46"/>
    <w:rsid w:val="00E65031"/>
    <w:rsid w:val="00E65171"/>
    <w:rsid w:val="00E654A3"/>
    <w:rsid w:val="00E65977"/>
    <w:rsid w:val="00E65D1E"/>
    <w:rsid w:val="00E661D4"/>
    <w:rsid w:val="00E661E7"/>
    <w:rsid w:val="00E66A4B"/>
    <w:rsid w:val="00E66DDE"/>
    <w:rsid w:val="00E66F30"/>
    <w:rsid w:val="00E670F9"/>
    <w:rsid w:val="00E671AC"/>
    <w:rsid w:val="00E676E1"/>
    <w:rsid w:val="00E7013C"/>
    <w:rsid w:val="00E704CD"/>
    <w:rsid w:val="00E711FC"/>
    <w:rsid w:val="00E71837"/>
    <w:rsid w:val="00E72E67"/>
    <w:rsid w:val="00E72FAF"/>
    <w:rsid w:val="00E7400C"/>
    <w:rsid w:val="00E74352"/>
    <w:rsid w:val="00E745E9"/>
    <w:rsid w:val="00E74644"/>
    <w:rsid w:val="00E749E2"/>
    <w:rsid w:val="00E74BDB"/>
    <w:rsid w:val="00E74E1E"/>
    <w:rsid w:val="00E74E26"/>
    <w:rsid w:val="00E75213"/>
    <w:rsid w:val="00E75522"/>
    <w:rsid w:val="00E75582"/>
    <w:rsid w:val="00E75952"/>
    <w:rsid w:val="00E75955"/>
    <w:rsid w:val="00E75969"/>
    <w:rsid w:val="00E76492"/>
    <w:rsid w:val="00E76630"/>
    <w:rsid w:val="00E7685C"/>
    <w:rsid w:val="00E76BB5"/>
    <w:rsid w:val="00E76D85"/>
    <w:rsid w:val="00E7705E"/>
    <w:rsid w:val="00E77272"/>
    <w:rsid w:val="00E77329"/>
    <w:rsid w:val="00E77892"/>
    <w:rsid w:val="00E804C2"/>
    <w:rsid w:val="00E80B65"/>
    <w:rsid w:val="00E81611"/>
    <w:rsid w:val="00E81EA2"/>
    <w:rsid w:val="00E822E8"/>
    <w:rsid w:val="00E82548"/>
    <w:rsid w:val="00E8280C"/>
    <w:rsid w:val="00E82A2A"/>
    <w:rsid w:val="00E82FC5"/>
    <w:rsid w:val="00E83330"/>
    <w:rsid w:val="00E8338B"/>
    <w:rsid w:val="00E837D0"/>
    <w:rsid w:val="00E8384D"/>
    <w:rsid w:val="00E84093"/>
    <w:rsid w:val="00E84C2A"/>
    <w:rsid w:val="00E84DC4"/>
    <w:rsid w:val="00E85926"/>
    <w:rsid w:val="00E85C51"/>
    <w:rsid w:val="00E8627F"/>
    <w:rsid w:val="00E86502"/>
    <w:rsid w:val="00E86BBB"/>
    <w:rsid w:val="00E873A2"/>
    <w:rsid w:val="00E877E6"/>
    <w:rsid w:val="00E879DA"/>
    <w:rsid w:val="00E87AC4"/>
    <w:rsid w:val="00E904FC"/>
    <w:rsid w:val="00E909D6"/>
    <w:rsid w:val="00E91353"/>
    <w:rsid w:val="00E915C8"/>
    <w:rsid w:val="00E917C4"/>
    <w:rsid w:val="00E91E54"/>
    <w:rsid w:val="00E91F3D"/>
    <w:rsid w:val="00E91F54"/>
    <w:rsid w:val="00E92C80"/>
    <w:rsid w:val="00E92FBE"/>
    <w:rsid w:val="00E933D4"/>
    <w:rsid w:val="00E93454"/>
    <w:rsid w:val="00E93BB9"/>
    <w:rsid w:val="00E93CDD"/>
    <w:rsid w:val="00E94402"/>
    <w:rsid w:val="00E94CE2"/>
    <w:rsid w:val="00E951D6"/>
    <w:rsid w:val="00E955AC"/>
    <w:rsid w:val="00E957D8"/>
    <w:rsid w:val="00E95CA1"/>
    <w:rsid w:val="00E95F2E"/>
    <w:rsid w:val="00E9640A"/>
    <w:rsid w:val="00E96ACF"/>
    <w:rsid w:val="00E96AFA"/>
    <w:rsid w:val="00E96B66"/>
    <w:rsid w:val="00E96F9D"/>
    <w:rsid w:val="00E9706A"/>
    <w:rsid w:val="00E972BD"/>
    <w:rsid w:val="00E97B47"/>
    <w:rsid w:val="00EA0030"/>
    <w:rsid w:val="00EA0387"/>
    <w:rsid w:val="00EA0461"/>
    <w:rsid w:val="00EA0725"/>
    <w:rsid w:val="00EA09CB"/>
    <w:rsid w:val="00EA0A0B"/>
    <w:rsid w:val="00EA0BEE"/>
    <w:rsid w:val="00EA0C45"/>
    <w:rsid w:val="00EA101C"/>
    <w:rsid w:val="00EA109C"/>
    <w:rsid w:val="00EA116F"/>
    <w:rsid w:val="00EA1366"/>
    <w:rsid w:val="00EA13A6"/>
    <w:rsid w:val="00EA1FF3"/>
    <w:rsid w:val="00EA2115"/>
    <w:rsid w:val="00EA23C2"/>
    <w:rsid w:val="00EA2529"/>
    <w:rsid w:val="00EA27DB"/>
    <w:rsid w:val="00EA329B"/>
    <w:rsid w:val="00EA3B00"/>
    <w:rsid w:val="00EA3D3F"/>
    <w:rsid w:val="00EA408D"/>
    <w:rsid w:val="00EA4777"/>
    <w:rsid w:val="00EA4939"/>
    <w:rsid w:val="00EA5284"/>
    <w:rsid w:val="00EA5892"/>
    <w:rsid w:val="00EA5D5B"/>
    <w:rsid w:val="00EA619F"/>
    <w:rsid w:val="00EA63DF"/>
    <w:rsid w:val="00EA6B6D"/>
    <w:rsid w:val="00EA7166"/>
    <w:rsid w:val="00EA7642"/>
    <w:rsid w:val="00EA76B2"/>
    <w:rsid w:val="00EB0C85"/>
    <w:rsid w:val="00EB149F"/>
    <w:rsid w:val="00EB15A2"/>
    <w:rsid w:val="00EB1929"/>
    <w:rsid w:val="00EB1C36"/>
    <w:rsid w:val="00EB1F8D"/>
    <w:rsid w:val="00EB2037"/>
    <w:rsid w:val="00EB2519"/>
    <w:rsid w:val="00EB2B4C"/>
    <w:rsid w:val="00EB2C1D"/>
    <w:rsid w:val="00EB33AE"/>
    <w:rsid w:val="00EB39B5"/>
    <w:rsid w:val="00EB3A04"/>
    <w:rsid w:val="00EB3DB6"/>
    <w:rsid w:val="00EB3EFE"/>
    <w:rsid w:val="00EB4146"/>
    <w:rsid w:val="00EB46A3"/>
    <w:rsid w:val="00EB46B4"/>
    <w:rsid w:val="00EB475D"/>
    <w:rsid w:val="00EB4A75"/>
    <w:rsid w:val="00EB55A7"/>
    <w:rsid w:val="00EB591A"/>
    <w:rsid w:val="00EB5A3D"/>
    <w:rsid w:val="00EB611E"/>
    <w:rsid w:val="00EB63F9"/>
    <w:rsid w:val="00EB691A"/>
    <w:rsid w:val="00EB70BD"/>
    <w:rsid w:val="00EB72BC"/>
    <w:rsid w:val="00EB733C"/>
    <w:rsid w:val="00EB7629"/>
    <w:rsid w:val="00EB77A7"/>
    <w:rsid w:val="00EB7B1C"/>
    <w:rsid w:val="00EB7BBE"/>
    <w:rsid w:val="00EB7EF0"/>
    <w:rsid w:val="00EB7EF1"/>
    <w:rsid w:val="00EC033D"/>
    <w:rsid w:val="00EC06E9"/>
    <w:rsid w:val="00EC092D"/>
    <w:rsid w:val="00EC096C"/>
    <w:rsid w:val="00EC1F1E"/>
    <w:rsid w:val="00EC2414"/>
    <w:rsid w:val="00EC245D"/>
    <w:rsid w:val="00EC288D"/>
    <w:rsid w:val="00EC2893"/>
    <w:rsid w:val="00EC29D1"/>
    <w:rsid w:val="00EC2B7F"/>
    <w:rsid w:val="00EC2BE0"/>
    <w:rsid w:val="00EC32EA"/>
    <w:rsid w:val="00EC33D9"/>
    <w:rsid w:val="00EC3411"/>
    <w:rsid w:val="00EC36FE"/>
    <w:rsid w:val="00EC3964"/>
    <w:rsid w:val="00EC3CF8"/>
    <w:rsid w:val="00EC3D62"/>
    <w:rsid w:val="00EC4027"/>
    <w:rsid w:val="00EC4055"/>
    <w:rsid w:val="00EC439D"/>
    <w:rsid w:val="00EC46FB"/>
    <w:rsid w:val="00EC488D"/>
    <w:rsid w:val="00EC49A0"/>
    <w:rsid w:val="00EC591E"/>
    <w:rsid w:val="00EC594C"/>
    <w:rsid w:val="00EC5F73"/>
    <w:rsid w:val="00EC6106"/>
    <w:rsid w:val="00EC614F"/>
    <w:rsid w:val="00EC61E0"/>
    <w:rsid w:val="00EC662D"/>
    <w:rsid w:val="00EC6AE0"/>
    <w:rsid w:val="00EC6CDA"/>
    <w:rsid w:val="00EC6E3B"/>
    <w:rsid w:val="00EC7389"/>
    <w:rsid w:val="00EC795D"/>
    <w:rsid w:val="00EC7A1F"/>
    <w:rsid w:val="00EC7B57"/>
    <w:rsid w:val="00ED050D"/>
    <w:rsid w:val="00ED087A"/>
    <w:rsid w:val="00ED0920"/>
    <w:rsid w:val="00ED0929"/>
    <w:rsid w:val="00ED0D67"/>
    <w:rsid w:val="00ED1523"/>
    <w:rsid w:val="00ED22E0"/>
    <w:rsid w:val="00ED2CC8"/>
    <w:rsid w:val="00ED326C"/>
    <w:rsid w:val="00ED33A1"/>
    <w:rsid w:val="00ED35FA"/>
    <w:rsid w:val="00ED3666"/>
    <w:rsid w:val="00ED3A45"/>
    <w:rsid w:val="00ED3AB4"/>
    <w:rsid w:val="00ED3DDB"/>
    <w:rsid w:val="00ED4CF4"/>
    <w:rsid w:val="00ED513F"/>
    <w:rsid w:val="00ED538A"/>
    <w:rsid w:val="00ED56EB"/>
    <w:rsid w:val="00ED599F"/>
    <w:rsid w:val="00ED5B17"/>
    <w:rsid w:val="00ED5F94"/>
    <w:rsid w:val="00ED6179"/>
    <w:rsid w:val="00ED6AFD"/>
    <w:rsid w:val="00ED6CBF"/>
    <w:rsid w:val="00ED763D"/>
    <w:rsid w:val="00ED76B2"/>
    <w:rsid w:val="00ED76B6"/>
    <w:rsid w:val="00ED7B8A"/>
    <w:rsid w:val="00EE06A0"/>
    <w:rsid w:val="00EE082F"/>
    <w:rsid w:val="00EE0DDF"/>
    <w:rsid w:val="00EE0F73"/>
    <w:rsid w:val="00EE11D2"/>
    <w:rsid w:val="00EE13EC"/>
    <w:rsid w:val="00EE1449"/>
    <w:rsid w:val="00EE1697"/>
    <w:rsid w:val="00EE1758"/>
    <w:rsid w:val="00EE1BF3"/>
    <w:rsid w:val="00EE1DC8"/>
    <w:rsid w:val="00EE300D"/>
    <w:rsid w:val="00EE3456"/>
    <w:rsid w:val="00EE365E"/>
    <w:rsid w:val="00EE3842"/>
    <w:rsid w:val="00EE47B3"/>
    <w:rsid w:val="00EE4A73"/>
    <w:rsid w:val="00EE4D70"/>
    <w:rsid w:val="00EE4EBA"/>
    <w:rsid w:val="00EE4FD6"/>
    <w:rsid w:val="00EE4FF5"/>
    <w:rsid w:val="00EE521D"/>
    <w:rsid w:val="00EE57DB"/>
    <w:rsid w:val="00EE59CC"/>
    <w:rsid w:val="00EE6450"/>
    <w:rsid w:val="00EE6632"/>
    <w:rsid w:val="00EE749C"/>
    <w:rsid w:val="00EE75D4"/>
    <w:rsid w:val="00EE7CF5"/>
    <w:rsid w:val="00EE7E53"/>
    <w:rsid w:val="00EF05F4"/>
    <w:rsid w:val="00EF0823"/>
    <w:rsid w:val="00EF0CB7"/>
    <w:rsid w:val="00EF10C6"/>
    <w:rsid w:val="00EF140E"/>
    <w:rsid w:val="00EF1B03"/>
    <w:rsid w:val="00EF1B08"/>
    <w:rsid w:val="00EF1BF4"/>
    <w:rsid w:val="00EF1BFE"/>
    <w:rsid w:val="00EF1F40"/>
    <w:rsid w:val="00EF2922"/>
    <w:rsid w:val="00EF2C83"/>
    <w:rsid w:val="00EF2DB4"/>
    <w:rsid w:val="00EF2E32"/>
    <w:rsid w:val="00EF2F56"/>
    <w:rsid w:val="00EF32AC"/>
    <w:rsid w:val="00EF350D"/>
    <w:rsid w:val="00EF37F8"/>
    <w:rsid w:val="00EF3815"/>
    <w:rsid w:val="00EF383D"/>
    <w:rsid w:val="00EF3855"/>
    <w:rsid w:val="00EF3AA0"/>
    <w:rsid w:val="00EF4351"/>
    <w:rsid w:val="00EF4386"/>
    <w:rsid w:val="00EF4C5B"/>
    <w:rsid w:val="00EF4E32"/>
    <w:rsid w:val="00EF521E"/>
    <w:rsid w:val="00EF5937"/>
    <w:rsid w:val="00EF5BC1"/>
    <w:rsid w:val="00EF5FA1"/>
    <w:rsid w:val="00EF635B"/>
    <w:rsid w:val="00EF639F"/>
    <w:rsid w:val="00EF6780"/>
    <w:rsid w:val="00EF679B"/>
    <w:rsid w:val="00EF7197"/>
    <w:rsid w:val="00EF7543"/>
    <w:rsid w:val="00EF7932"/>
    <w:rsid w:val="00EF7CFD"/>
    <w:rsid w:val="00EF7E6E"/>
    <w:rsid w:val="00F00345"/>
    <w:rsid w:val="00F0073D"/>
    <w:rsid w:val="00F00C18"/>
    <w:rsid w:val="00F00C2C"/>
    <w:rsid w:val="00F015CC"/>
    <w:rsid w:val="00F01603"/>
    <w:rsid w:val="00F01943"/>
    <w:rsid w:val="00F01C62"/>
    <w:rsid w:val="00F02520"/>
    <w:rsid w:val="00F03016"/>
    <w:rsid w:val="00F044B4"/>
    <w:rsid w:val="00F047E8"/>
    <w:rsid w:val="00F048AE"/>
    <w:rsid w:val="00F04EF2"/>
    <w:rsid w:val="00F051AB"/>
    <w:rsid w:val="00F05631"/>
    <w:rsid w:val="00F05899"/>
    <w:rsid w:val="00F05929"/>
    <w:rsid w:val="00F0617F"/>
    <w:rsid w:val="00F064D6"/>
    <w:rsid w:val="00F0680F"/>
    <w:rsid w:val="00F0769A"/>
    <w:rsid w:val="00F076E7"/>
    <w:rsid w:val="00F07C7A"/>
    <w:rsid w:val="00F07FCB"/>
    <w:rsid w:val="00F1010F"/>
    <w:rsid w:val="00F106C7"/>
    <w:rsid w:val="00F10911"/>
    <w:rsid w:val="00F109F8"/>
    <w:rsid w:val="00F10A0C"/>
    <w:rsid w:val="00F10D66"/>
    <w:rsid w:val="00F116D6"/>
    <w:rsid w:val="00F116FC"/>
    <w:rsid w:val="00F117C2"/>
    <w:rsid w:val="00F11BAD"/>
    <w:rsid w:val="00F11C57"/>
    <w:rsid w:val="00F121AE"/>
    <w:rsid w:val="00F12536"/>
    <w:rsid w:val="00F12BFC"/>
    <w:rsid w:val="00F12CCF"/>
    <w:rsid w:val="00F12D62"/>
    <w:rsid w:val="00F12F3A"/>
    <w:rsid w:val="00F132FA"/>
    <w:rsid w:val="00F133FD"/>
    <w:rsid w:val="00F135CD"/>
    <w:rsid w:val="00F13794"/>
    <w:rsid w:val="00F142C3"/>
    <w:rsid w:val="00F1472E"/>
    <w:rsid w:val="00F14B21"/>
    <w:rsid w:val="00F14EA6"/>
    <w:rsid w:val="00F14ED7"/>
    <w:rsid w:val="00F14F09"/>
    <w:rsid w:val="00F1589C"/>
    <w:rsid w:val="00F15DFC"/>
    <w:rsid w:val="00F15ED3"/>
    <w:rsid w:val="00F15F62"/>
    <w:rsid w:val="00F161C4"/>
    <w:rsid w:val="00F1678E"/>
    <w:rsid w:val="00F16871"/>
    <w:rsid w:val="00F16E67"/>
    <w:rsid w:val="00F17078"/>
    <w:rsid w:val="00F17081"/>
    <w:rsid w:val="00F17568"/>
    <w:rsid w:val="00F175AC"/>
    <w:rsid w:val="00F1785B"/>
    <w:rsid w:val="00F178C4"/>
    <w:rsid w:val="00F20476"/>
    <w:rsid w:val="00F20D23"/>
    <w:rsid w:val="00F212BC"/>
    <w:rsid w:val="00F2150D"/>
    <w:rsid w:val="00F21701"/>
    <w:rsid w:val="00F220F0"/>
    <w:rsid w:val="00F22B6D"/>
    <w:rsid w:val="00F22FAF"/>
    <w:rsid w:val="00F2342D"/>
    <w:rsid w:val="00F2351E"/>
    <w:rsid w:val="00F23906"/>
    <w:rsid w:val="00F239E2"/>
    <w:rsid w:val="00F243E5"/>
    <w:rsid w:val="00F244FA"/>
    <w:rsid w:val="00F24774"/>
    <w:rsid w:val="00F250E5"/>
    <w:rsid w:val="00F255FB"/>
    <w:rsid w:val="00F258D4"/>
    <w:rsid w:val="00F25D4F"/>
    <w:rsid w:val="00F262E6"/>
    <w:rsid w:val="00F263F0"/>
    <w:rsid w:val="00F267FB"/>
    <w:rsid w:val="00F26897"/>
    <w:rsid w:val="00F26E2C"/>
    <w:rsid w:val="00F26E98"/>
    <w:rsid w:val="00F27532"/>
    <w:rsid w:val="00F30735"/>
    <w:rsid w:val="00F30819"/>
    <w:rsid w:val="00F31315"/>
    <w:rsid w:val="00F31664"/>
    <w:rsid w:val="00F31719"/>
    <w:rsid w:val="00F31CD7"/>
    <w:rsid w:val="00F32D4C"/>
    <w:rsid w:val="00F33144"/>
    <w:rsid w:val="00F33301"/>
    <w:rsid w:val="00F3336D"/>
    <w:rsid w:val="00F33891"/>
    <w:rsid w:val="00F340C4"/>
    <w:rsid w:val="00F344A4"/>
    <w:rsid w:val="00F34BD3"/>
    <w:rsid w:val="00F35133"/>
    <w:rsid w:val="00F35301"/>
    <w:rsid w:val="00F3542B"/>
    <w:rsid w:val="00F354C4"/>
    <w:rsid w:val="00F3573D"/>
    <w:rsid w:val="00F359B0"/>
    <w:rsid w:val="00F35AF9"/>
    <w:rsid w:val="00F36343"/>
    <w:rsid w:val="00F3676B"/>
    <w:rsid w:val="00F36EA1"/>
    <w:rsid w:val="00F3722E"/>
    <w:rsid w:val="00F37AB7"/>
    <w:rsid w:val="00F37BFA"/>
    <w:rsid w:val="00F401D3"/>
    <w:rsid w:val="00F40326"/>
    <w:rsid w:val="00F40528"/>
    <w:rsid w:val="00F4126C"/>
    <w:rsid w:val="00F41513"/>
    <w:rsid w:val="00F41AE7"/>
    <w:rsid w:val="00F42031"/>
    <w:rsid w:val="00F4231D"/>
    <w:rsid w:val="00F42509"/>
    <w:rsid w:val="00F42555"/>
    <w:rsid w:val="00F4294A"/>
    <w:rsid w:val="00F42EE4"/>
    <w:rsid w:val="00F42EE8"/>
    <w:rsid w:val="00F43A58"/>
    <w:rsid w:val="00F43B46"/>
    <w:rsid w:val="00F44123"/>
    <w:rsid w:val="00F443A2"/>
    <w:rsid w:val="00F44565"/>
    <w:rsid w:val="00F44710"/>
    <w:rsid w:val="00F450B4"/>
    <w:rsid w:val="00F45760"/>
    <w:rsid w:val="00F45C0A"/>
    <w:rsid w:val="00F45C2B"/>
    <w:rsid w:val="00F462E1"/>
    <w:rsid w:val="00F46408"/>
    <w:rsid w:val="00F46454"/>
    <w:rsid w:val="00F465AB"/>
    <w:rsid w:val="00F4672C"/>
    <w:rsid w:val="00F469D4"/>
    <w:rsid w:val="00F469E8"/>
    <w:rsid w:val="00F4709C"/>
    <w:rsid w:val="00F47A38"/>
    <w:rsid w:val="00F47CC6"/>
    <w:rsid w:val="00F47F34"/>
    <w:rsid w:val="00F50257"/>
    <w:rsid w:val="00F508DD"/>
    <w:rsid w:val="00F50CC1"/>
    <w:rsid w:val="00F51B4B"/>
    <w:rsid w:val="00F5238B"/>
    <w:rsid w:val="00F52808"/>
    <w:rsid w:val="00F5281F"/>
    <w:rsid w:val="00F5347B"/>
    <w:rsid w:val="00F534F0"/>
    <w:rsid w:val="00F5360C"/>
    <w:rsid w:val="00F536CB"/>
    <w:rsid w:val="00F53AB5"/>
    <w:rsid w:val="00F53F40"/>
    <w:rsid w:val="00F542CE"/>
    <w:rsid w:val="00F548A9"/>
    <w:rsid w:val="00F549BC"/>
    <w:rsid w:val="00F54A26"/>
    <w:rsid w:val="00F555C1"/>
    <w:rsid w:val="00F555F1"/>
    <w:rsid w:val="00F55993"/>
    <w:rsid w:val="00F565B0"/>
    <w:rsid w:val="00F567A3"/>
    <w:rsid w:val="00F56920"/>
    <w:rsid w:val="00F56C33"/>
    <w:rsid w:val="00F56D8A"/>
    <w:rsid w:val="00F57D76"/>
    <w:rsid w:val="00F57ECE"/>
    <w:rsid w:val="00F600CB"/>
    <w:rsid w:val="00F602AC"/>
    <w:rsid w:val="00F60717"/>
    <w:rsid w:val="00F60E7E"/>
    <w:rsid w:val="00F61065"/>
    <w:rsid w:val="00F6107F"/>
    <w:rsid w:val="00F6167D"/>
    <w:rsid w:val="00F617E3"/>
    <w:rsid w:val="00F61C62"/>
    <w:rsid w:val="00F625B2"/>
    <w:rsid w:val="00F628EA"/>
    <w:rsid w:val="00F62CF9"/>
    <w:rsid w:val="00F62F9F"/>
    <w:rsid w:val="00F636BD"/>
    <w:rsid w:val="00F6444D"/>
    <w:rsid w:val="00F64985"/>
    <w:rsid w:val="00F64A9B"/>
    <w:rsid w:val="00F64B24"/>
    <w:rsid w:val="00F64B49"/>
    <w:rsid w:val="00F65323"/>
    <w:rsid w:val="00F65DFA"/>
    <w:rsid w:val="00F6600E"/>
    <w:rsid w:val="00F66149"/>
    <w:rsid w:val="00F665DD"/>
    <w:rsid w:val="00F66CF5"/>
    <w:rsid w:val="00F66F55"/>
    <w:rsid w:val="00F66FC8"/>
    <w:rsid w:val="00F67038"/>
    <w:rsid w:val="00F6716D"/>
    <w:rsid w:val="00F673B1"/>
    <w:rsid w:val="00F67649"/>
    <w:rsid w:val="00F677ED"/>
    <w:rsid w:val="00F67E29"/>
    <w:rsid w:val="00F67FA3"/>
    <w:rsid w:val="00F7002B"/>
    <w:rsid w:val="00F7059A"/>
    <w:rsid w:val="00F70684"/>
    <w:rsid w:val="00F7095F"/>
    <w:rsid w:val="00F70D45"/>
    <w:rsid w:val="00F70E49"/>
    <w:rsid w:val="00F711BF"/>
    <w:rsid w:val="00F711CD"/>
    <w:rsid w:val="00F7124C"/>
    <w:rsid w:val="00F712EA"/>
    <w:rsid w:val="00F713AA"/>
    <w:rsid w:val="00F71AB3"/>
    <w:rsid w:val="00F71AE8"/>
    <w:rsid w:val="00F71C51"/>
    <w:rsid w:val="00F7207B"/>
    <w:rsid w:val="00F720DA"/>
    <w:rsid w:val="00F7242A"/>
    <w:rsid w:val="00F72BF1"/>
    <w:rsid w:val="00F730C1"/>
    <w:rsid w:val="00F73378"/>
    <w:rsid w:val="00F73777"/>
    <w:rsid w:val="00F737A9"/>
    <w:rsid w:val="00F7398E"/>
    <w:rsid w:val="00F740B7"/>
    <w:rsid w:val="00F740E3"/>
    <w:rsid w:val="00F74366"/>
    <w:rsid w:val="00F74D81"/>
    <w:rsid w:val="00F7500E"/>
    <w:rsid w:val="00F75A5E"/>
    <w:rsid w:val="00F75A91"/>
    <w:rsid w:val="00F7619D"/>
    <w:rsid w:val="00F7650F"/>
    <w:rsid w:val="00F76A30"/>
    <w:rsid w:val="00F76A3F"/>
    <w:rsid w:val="00F76DD6"/>
    <w:rsid w:val="00F774E1"/>
    <w:rsid w:val="00F7767E"/>
    <w:rsid w:val="00F77A30"/>
    <w:rsid w:val="00F77AA5"/>
    <w:rsid w:val="00F81099"/>
    <w:rsid w:val="00F81406"/>
    <w:rsid w:val="00F81917"/>
    <w:rsid w:val="00F81998"/>
    <w:rsid w:val="00F81B26"/>
    <w:rsid w:val="00F81C49"/>
    <w:rsid w:val="00F81C81"/>
    <w:rsid w:val="00F82025"/>
    <w:rsid w:val="00F8220F"/>
    <w:rsid w:val="00F822C5"/>
    <w:rsid w:val="00F822D6"/>
    <w:rsid w:val="00F824E0"/>
    <w:rsid w:val="00F82631"/>
    <w:rsid w:val="00F82AFD"/>
    <w:rsid w:val="00F82B84"/>
    <w:rsid w:val="00F82FA8"/>
    <w:rsid w:val="00F834F4"/>
    <w:rsid w:val="00F83668"/>
    <w:rsid w:val="00F836F3"/>
    <w:rsid w:val="00F83AF1"/>
    <w:rsid w:val="00F83BB6"/>
    <w:rsid w:val="00F83E66"/>
    <w:rsid w:val="00F83FD9"/>
    <w:rsid w:val="00F846AE"/>
    <w:rsid w:val="00F84D40"/>
    <w:rsid w:val="00F850F4"/>
    <w:rsid w:val="00F851EF"/>
    <w:rsid w:val="00F85BEE"/>
    <w:rsid w:val="00F85CB7"/>
    <w:rsid w:val="00F85DA4"/>
    <w:rsid w:val="00F85F94"/>
    <w:rsid w:val="00F86448"/>
    <w:rsid w:val="00F870D7"/>
    <w:rsid w:val="00F874AD"/>
    <w:rsid w:val="00F8787C"/>
    <w:rsid w:val="00F901E3"/>
    <w:rsid w:val="00F9156A"/>
    <w:rsid w:val="00F9224D"/>
    <w:rsid w:val="00F92490"/>
    <w:rsid w:val="00F92604"/>
    <w:rsid w:val="00F929BC"/>
    <w:rsid w:val="00F92C3F"/>
    <w:rsid w:val="00F92F98"/>
    <w:rsid w:val="00F930A6"/>
    <w:rsid w:val="00F9333C"/>
    <w:rsid w:val="00F93948"/>
    <w:rsid w:val="00F93D1E"/>
    <w:rsid w:val="00F94004"/>
    <w:rsid w:val="00F944FC"/>
    <w:rsid w:val="00F94805"/>
    <w:rsid w:val="00F9492D"/>
    <w:rsid w:val="00F9513B"/>
    <w:rsid w:val="00F9531F"/>
    <w:rsid w:val="00F954F4"/>
    <w:rsid w:val="00F955D0"/>
    <w:rsid w:val="00F9598D"/>
    <w:rsid w:val="00F95C7E"/>
    <w:rsid w:val="00F96043"/>
    <w:rsid w:val="00F960F4"/>
    <w:rsid w:val="00F9624B"/>
    <w:rsid w:val="00F966D2"/>
    <w:rsid w:val="00F96C8D"/>
    <w:rsid w:val="00F96DC1"/>
    <w:rsid w:val="00F97365"/>
    <w:rsid w:val="00F97674"/>
    <w:rsid w:val="00F979C1"/>
    <w:rsid w:val="00F97B52"/>
    <w:rsid w:val="00F97EF2"/>
    <w:rsid w:val="00F97FBB"/>
    <w:rsid w:val="00FA0162"/>
    <w:rsid w:val="00FA02BD"/>
    <w:rsid w:val="00FA08BE"/>
    <w:rsid w:val="00FA0BE2"/>
    <w:rsid w:val="00FA0FF5"/>
    <w:rsid w:val="00FA10C8"/>
    <w:rsid w:val="00FA1978"/>
    <w:rsid w:val="00FA1AD8"/>
    <w:rsid w:val="00FA2148"/>
    <w:rsid w:val="00FA29B1"/>
    <w:rsid w:val="00FA2A58"/>
    <w:rsid w:val="00FA2C3C"/>
    <w:rsid w:val="00FA2C43"/>
    <w:rsid w:val="00FA3335"/>
    <w:rsid w:val="00FA373F"/>
    <w:rsid w:val="00FA3CB7"/>
    <w:rsid w:val="00FA3EB8"/>
    <w:rsid w:val="00FA3F60"/>
    <w:rsid w:val="00FA4029"/>
    <w:rsid w:val="00FA4605"/>
    <w:rsid w:val="00FA466B"/>
    <w:rsid w:val="00FA4CDE"/>
    <w:rsid w:val="00FA4E7E"/>
    <w:rsid w:val="00FA4F87"/>
    <w:rsid w:val="00FA52E1"/>
    <w:rsid w:val="00FA55BB"/>
    <w:rsid w:val="00FA5ADB"/>
    <w:rsid w:val="00FA6246"/>
    <w:rsid w:val="00FA6699"/>
    <w:rsid w:val="00FA6C8A"/>
    <w:rsid w:val="00FA6EA5"/>
    <w:rsid w:val="00FA701F"/>
    <w:rsid w:val="00FA72C2"/>
    <w:rsid w:val="00FA7886"/>
    <w:rsid w:val="00FB0378"/>
    <w:rsid w:val="00FB052F"/>
    <w:rsid w:val="00FB054C"/>
    <w:rsid w:val="00FB0D9F"/>
    <w:rsid w:val="00FB1C88"/>
    <w:rsid w:val="00FB211E"/>
    <w:rsid w:val="00FB2155"/>
    <w:rsid w:val="00FB2E35"/>
    <w:rsid w:val="00FB3157"/>
    <w:rsid w:val="00FB37D8"/>
    <w:rsid w:val="00FB37FF"/>
    <w:rsid w:val="00FB3ACB"/>
    <w:rsid w:val="00FB3FD2"/>
    <w:rsid w:val="00FB41C7"/>
    <w:rsid w:val="00FB495D"/>
    <w:rsid w:val="00FB4B75"/>
    <w:rsid w:val="00FB5084"/>
    <w:rsid w:val="00FB52E5"/>
    <w:rsid w:val="00FB5502"/>
    <w:rsid w:val="00FB595F"/>
    <w:rsid w:val="00FB5CC3"/>
    <w:rsid w:val="00FB6326"/>
    <w:rsid w:val="00FB6569"/>
    <w:rsid w:val="00FB67E8"/>
    <w:rsid w:val="00FB6867"/>
    <w:rsid w:val="00FB6CC5"/>
    <w:rsid w:val="00FB7028"/>
    <w:rsid w:val="00FB7131"/>
    <w:rsid w:val="00FB722F"/>
    <w:rsid w:val="00FB7293"/>
    <w:rsid w:val="00FB7307"/>
    <w:rsid w:val="00FB7315"/>
    <w:rsid w:val="00FB76A8"/>
    <w:rsid w:val="00FB795F"/>
    <w:rsid w:val="00FB7ADE"/>
    <w:rsid w:val="00FB7FFD"/>
    <w:rsid w:val="00FC003B"/>
    <w:rsid w:val="00FC0130"/>
    <w:rsid w:val="00FC0BAA"/>
    <w:rsid w:val="00FC1115"/>
    <w:rsid w:val="00FC1650"/>
    <w:rsid w:val="00FC1EC1"/>
    <w:rsid w:val="00FC2050"/>
    <w:rsid w:val="00FC213C"/>
    <w:rsid w:val="00FC2D68"/>
    <w:rsid w:val="00FC3F31"/>
    <w:rsid w:val="00FC4224"/>
    <w:rsid w:val="00FC434E"/>
    <w:rsid w:val="00FC4583"/>
    <w:rsid w:val="00FC4592"/>
    <w:rsid w:val="00FC4B33"/>
    <w:rsid w:val="00FC5A9A"/>
    <w:rsid w:val="00FC5E10"/>
    <w:rsid w:val="00FC5E33"/>
    <w:rsid w:val="00FC605B"/>
    <w:rsid w:val="00FC656A"/>
    <w:rsid w:val="00FC65E9"/>
    <w:rsid w:val="00FC66A8"/>
    <w:rsid w:val="00FC78A1"/>
    <w:rsid w:val="00FC7A2C"/>
    <w:rsid w:val="00FC7E20"/>
    <w:rsid w:val="00FD01A7"/>
    <w:rsid w:val="00FD0722"/>
    <w:rsid w:val="00FD0BCD"/>
    <w:rsid w:val="00FD1288"/>
    <w:rsid w:val="00FD1F76"/>
    <w:rsid w:val="00FD2169"/>
    <w:rsid w:val="00FD2666"/>
    <w:rsid w:val="00FD2C3F"/>
    <w:rsid w:val="00FD30A3"/>
    <w:rsid w:val="00FD30C6"/>
    <w:rsid w:val="00FD32C6"/>
    <w:rsid w:val="00FD3706"/>
    <w:rsid w:val="00FD38E2"/>
    <w:rsid w:val="00FD395A"/>
    <w:rsid w:val="00FD4385"/>
    <w:rsid w:val="00FD4869"/>
    <w:rsid w:val="00FD4CF8"/>
    <w:rsid w:val="00FD4D53"/>
    <w:rsid w:val="00FD52A0"/>
    <w:rsid w:val="00FD583D"/>
    <w:rsid w:val="00FD5DF7"/>
    <w:rsid w:val="00FD6A00"/>
    <w:rsid w:val="00FD6AD9"/>
    <w:rsid w:val="00FD6F7E"/>
    <w:rsid w:val="00FD6FF2"/>
    <w:rsid w:val="00FD7017"/>
    <w:rsid w:val="00FD7088"/>
    <w:rsid w:val="00FD724D"/>
    <w:rsid w:val="00FD77DC"/>
    <w:rsid w:val="00FD7C8D"/>
    <w:rsid w:val="00FD7F5B"/>
    <w:rsid w:val="00FE0304"/>
    <w:rsid w:val="00FE0309"/>
    <w:rsid w:val="00FE0399"/>
    <w:rsid w:val="00FE155C"/>
    <w:rsid w:val="00FE158A"/>
    <w:rsid w:val="00FE19EE"/>
    <w:rsid w:val="00FE19F9"/>
    <w:rsid w:val="00FE1F96"/>
    <w:rsid w:val="00FE21C1"/>
    <w:rsid w:val="00FE28E4"/>
    <w:rsid w:val="00FE2AE1"/>
    <w:rsid w:val="00FE2D0D"/>
    <w:rsid w:val="00FE2F05"/>
    <w:rsid w:val="00FE3363"/>
    <w:rsid w:val="00FE34F4"/>
    <w:rsid w:val="00FE43D2"/>
    <w:rsid w:val="00FE4707"/>
    <w:rsid w:val="00FE4739"/>
    <w:rsid w:val="00FE4BA0"/>
    <w:rsid w:val="00FE4FAA"/>
    <w:rsid w:val="00FE5651"/>
    <w:rsid w:val="00FE5915"/>
    <w:rsid w:val="00FE67E3"/>
    <w:rsid w:val="00FE6A61"/>
    <w:rsid w:val="00FE73AC"/>
    <w:rsid w:val="00FE7515"/>
    <w:rsid w:val="00FE7768"/>
    <w:rsid w:val="00FE7B05"/>
    <w:rsid w:val="00FF002A"/>
    <w:rsid w:val="00FF017F"/>
    <w:rsid w:val="00FF01B7"/>
    <w:rsid w:val="00FF0356"/>
    <w:rsid w:val="00FF040A"/>
    <w:rsid w:val="00FF09C3"/>
    <w:rsid w:val="00FF0B8C"/>
    <w:rsid w:val="00FF0BA9"/>
    <w:rsid w:val="00FF0CC1"/>
    <w:rsid w:val="00FF0E0E"/>
    <w:rsid w:val="00FF1407"/>
    <w:rsid w:val="00FF1677"/>
    <w:rsid w:val="00FF1BDB"/>
    <w:rsid w:val="00FF2AB5"/>
    <w:rsid w:val="00FF2E49"/>
    <w:rsid w:val="00FF2FB3"/>
    <w:rsid w:val="00FF350E"/>
    <w:rsid w:val="00FF3963"/>
    <w:rsid w:val="00FF3AFF"/>
    <w:rsid w:val="00FF3E6C"/>
    <w:rsid w:val="00FF41F9"/>
    <w:rsid w:val="00FF4206"/>
    <w:rsid w:val="00FF42F2"/>
    <w:rsid w:val="00FF4389"/>
    <w:rsid w:val="00FF4667"/>
    <w:rsid w:val="00FF4C2D"/>
    <w:rsid w:val="00FF4CCB"/>
    <w:rsid w:val="00FF4D91"/>
    <w:rsid w:val="00FF4EC5"/>
    <w:rsid w:val="00FF50CF"/>
    <w:rsid w:val="00FF532B"/>
    <w:rsid w:val="00FF5438"/>
    <w:rsid w:val="00FF579E"/>
    <w:rsid w:val="00FF5F61"/>
    <w:rsid w:val="00FF65D5"/>
    <w:rsid w:val="00FF66D0"/>
    <w:rsid w:val="00FF69C9"/>
    <w:rsid w:val="00FF6A35"/>
    <w:rsid w:val="00FF6CAE"/>
    <w:rsid w:val="00FF6D35"/>
    <w:rsid w:val="00FF6D3E"/>
    <w:rsid w:val="00FF6E87"/>
    <w:rsid w:val="00FF6FE9"/>
    <w:rsid w:val="00FF702B"/>
    <w:rsid w:val="00FF737E"/>
    <w:rsid w:val="00FF7803"/>
    <w:rsid w:val="00FF7D96"/>
    <w:rsid w:val="05EE8835"/>
    <w:rsid w:val="068B7165"/>
    <w:rsid w:val="092D9A86"/>
    <w:rsid w:val="0BE72165"/>
    <w:rsid w:val="0DEC16B9"/>
    <w:rsid w:val="1419A956"/>
    <w:rsid w:val="15428A57"/>
    <w:rsid w:val="157F0F6A"/>
    <w:rsid w:val="180E6D5A"/>
    <w:rsid w:val="1C1A6A3E"/>
    <w:rsid w:val="1C6236D8"/>
    <w:rsid w:val="209E3CBD"/>
    <w:rsid w:val="2147BB7D"/>
    <w:rsid w:val="2296AA9B"/>
    <w:rsid w:val="22EE1E61"/>
    <w:rsid w:val="240ADD3E"/>
    <w:rsid w:val="28B4A40B"/>
    <w:rsid w:val="28DD7655"/>
    <w:rsid w:val="290BA062"/>
    <w:rsid w:val="2952FBC7"/>
    <w:rsid w:val="2A684E2C"/>
    <w:rsid w:val="2CE7F906"/>
    <w:rsid w:val="2F9B83CE"/>
    <w:rsid w:val="316CFD87"/>
    <w:rsid w:val="34E68F98"/>
    <w:rsid w:val="3B0A0A32"/>
    <w:rsid w:val="3D0C80BA"/>
    <w:rsid w:val="410C447E"/>
    <w:rsid w:val="4BC66242"/>
    <w:rsid w:val="4BF16CB9"/>
    <w:rsid w:val="4DB51133"/>
    <w:rsid w:val="4DD32566"/>
    <w:rsid w:val="50057869"/>
    <w:rsid w:val="503A6534"/>
    <w:rsid w:val="576454CD"/>
    <w:rsid w:val="59EB087F"/>
    <w:rsid w:val="5EF9AD26"/>
    <w:rsid w:val="5F7661F4"/>
    <w:rsid w:val="63A73297"/>
    <w:rsid w:val="63E0C3F2"/>
    <w:rsid w:val="65473239"/>
    <w:rsid w:val="655F9D01"/>
    <w:rsid w:val="659FADC7"/>
    <w:rsid w:val="65EF2638"/>
    <w:rsid w:val="663F2FC7"/>
    <w:rsid w:val="6BB85A9A"/>
    <w:rsid w:val="6D465C46"/>
    <w:rsid w:val="70C516D7"/>
    <w:rsid w:val="75D7EF35"/>
    <w:rsid w:val="772692AD"/>
    <w:rsid w:val="79D230FF"/>
    <w:rsid w:val="7DC8C37E"/>
    <w:rsid w:val="7EC5CF55"/>
    <w:rsid w:val="7FD1F8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85762"/>
  <w15:docId w15:val="{DCDCAF9C-69D2-413A-A8B7-0BC3BDA1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9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7D2"/>
  </w:style>
  <w:style w:type="paragraph" w:styleId="Heading1">
    <w:name w:val="heading 1"/>
    <w:basedOn w:val="Normal"/>
    <w:next w:val="BodyText"/>
    <w:link w:val="Heading1Char"/>
    <w:qFormat/>
    <w:rsid w:val="0079482A"/>
    <w:pPr>
      <w:keepNext/>
      <w:numPr>
        <w:numId w:val="14"/>
      </w:numPr>
      <w:spacing w:before="360" w:after="240" w:line="230" w:lineRule="atLeast"/>
      <w:outlineLvl w:val="0"/>
    </w:pPr>
    <w:rPr>
      <w:rFonts w:asciiTheme="majorHAnsi" w:eastAsiaTheme="majorEastAsia" w:hAnsiTheme="majorHAnsi" w:cstheme="majorBidi"/>
      <w:bCs/>
      <w:color w:val="201547" w:themeColor="text2"/>
      <w:spacing w:val="-4"/>
      <w:sz w:val="40"/>
      <w:szCs w:val="40"/>
    </w:rPr>
  </w:style>
  <w:style w:type="paragraph" w:styleId="Heading2">
    <w:name w:val="heading 2"/>
    <w:basedOn w:val="Normal"/>
    <w:next w:val="BodyText"/>
    <w:link w:val="Heading2Char"/>
    <w:qFormat/>
    <w:rsid w:val="00B62C78"/>
    <w:pPr>
      <w:keepNext/>
      <w:keepLines/>
      <w:numPr>
        <w:ilvl w:val="1"/>
        <w:numId w:val="14"/>
      </w:numPr>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B62C78"/>
    <w:pPr>
      <w:keepNext/>
      <w:keepLines/>
      <w:numPr>
        <w:ilvl w:val="2"/>
        <w:numId w:val="14"/>
      </w:numPr>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B62C78"/>
    <w:pPr>
      <w:numPr>
        <w:ilvl w:val="3"/>
        <w:numId w:val="14"/>
      </w:numPr>
      <w:spacing w:before="200"/>
      <w:outlineLvl w:val="3"/>
    </w:pPr>
    <w:rPr>
      <w:b/>
      <w:bCs/>
      <w:color w:val="201547" w:themeColor="text2"/>
      <w:sz w:val="24"/>
      <w:szCs w:val="24"/>
    </w:rPr>
  </w:style>
  <w:style w:type="paragraph" w:styleId="Heading5">
    <w:name w:val="heading 5"/>
    <w:basedOn w:val="Normal"/>
    <w:next w:val="BodyText"/>
    <w:link w:val="Heading5Char"/>
    <w:qFormat/>
    <w:rsid w:val="00B62C78"/>
    <w:pPr>
      <w:keepNext/>
      <w:keepLines/>
      <w:numPr>
        <w:ilvl w:val="4"/>
        <w:numId w:val="14"/>
      </w:numPr>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qFormat/>
    <w:rsid w:val="00462258"/>
    <w:pPr>
      <w:keepNext/>
      <w:keepLines/>
      <w:numPr>
        <w:ilvl w:val="5"/>
        <w:numId w:val="14"/>
      </w:numPr>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numPr>
        <w:ilvl w:val="6"/>
        <w:numId w:val="14"/>
      </w:numPr>
      <w:spacing w:before="0" w:after="0" w:line="230" w:lineRule="atLeast"/>
      <w:outlineLvl w:val="6"/>
    </w:pPr>
    <w:rPr>
      <w:rFonts w:eastAsiaTheme="majorEastAsia" w:cstheme="majorBidi"/>
      <w:iCs/>
      <w:color w:val="201547" w:themeColor="text2"/>
    </w:rPr>
  </w:style>
  <w:style w:type="paragraph" w:styleId="Heading8">
    <w:name w:val="heading 8"/>
    <w:aliases w:val="Appendix Title"/>
    <w:basedOn w:val="Normal"/>
    <w:next w:val="BodyText"/>
    <w:link w:val="Heading8Char"/>
    <w:uiPriority w:val="1"/>
    <w:rsid w:val="0058629F"/>
    <w:pPr>
      <w:keepNext/>
      <w:keepLines/>
      <w:pageBreakBefore/>
      <w:numPr>
        <w:ilvl w:val="7"/>
        <w:numId w:val="14"/>
      </w:numPr>
      <w:tabs>
        <w:tab w:val="right" w:pos="9639"/>
      </w:tabs>
      <w:spacing w:after="320"/>
      <w:outlineLvl w:val="7"/>
    </w:pPr>
    <w:rPr>
      <w:rFonts w:asciiTheme="majorHAnsi" w:eastAsiaTheme="majorEastAsia" w:hAnsiTheme="majorHAnsi" w:cs="Arial"/>
      <w:caps/>
      <w:sz w:val="36"/>
      <w:lang w:eastAsia="en-US"/>
    </w:rPr>
  </w:style>
  <w:style w:type="paragraph" w:styleId="Heading9">
    <w:name w:val="heading 9"/>
    <w:aliases w:val="Appendix Heading 1"/>
    <w:basedOn w:val="Normal"/>
    <w:next w:val="BodyText"/>
    <w:link w:val="Heading9Char"/>
    <w:uiPriority w:val="1"/>
    <w:qFormat/>
    <w:rsid w:val="000809F5"/>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47A21"/>
    <w:pPr>
      <w:jc w:val="both"/>
    </w:pPr>
  </w:style>
  <w:style w:type="character" w:customStyle="1" w:styleId="BodyTextChar">
    <w:name w:val="Body Text Char"/>
    <w:basedOn w:val="DefaultParagraphFont"/>
    <w:link w:val="BodyText"/>
    <w:rsid w:val="00747A21"/>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rsid w:val="00077BDB"/>
    <w:pPr>
      <w:spacing w:before="0" w:after="0" w:line="200" w:lineRule="atLeast"/>
    </w:pPr>
    <w:rPr>
      <w:bCs/>
      <w:sz w:val="16"/>
    </w:rPr>
  </w:style>
  <w:style w:type="character" w:customStyle="1" w:styleId="FooterChar">
    <w:name w:val="Footer Char"/>
    <w:basedOn w:val="DefaultParagraphFont"/>
    <w:link w:val="Footer"/>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79482A"/>
    <w:rPr>
      <w:rFonts w:asciiTheme="majorHAnsi" w:eastAsiaTheme="majorEastAsia" w:hAnsiTheme="majorHAnsi" w:cstheme="majorBidi"/>
      <w:bCs/>
      <w:color w:val="201547" w:themeColor="text2"/>
      <w:spacing w:val="-4"/>
      <w:sz w:val="40"/>
      <w:szCs w:val="40"/>
    </w:rPr>
  </w:style>
  <w:style w:type="character" w:customStyle="1" w:styleId="Heading2Char">
    <w:name w:val="Heading 2 Char"/>
    <w:basedOn w:val="DefaultParagraphFont"/>
    <w:link w:val="Heading2"/>
    <w:rsid w:val="00B62C78"/>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B62C78"/>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B62C78"/>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aliases w:val="Appendix Title Char"/>
    <w:basedOn w:val="DefaultParagraphFont"/>
    <w:link w:val="Heading8"/>
    <w:uiPriority w:val="1"/>
    <w:rsid w:val="000809F5"/>
    <w:rPr>
      <w:rFonts w:asciiTheme="majorHAnsi" w:eastAsiaTheme="majorEastAsia" w:hAnsiTheme="majorHAnsi" w:cs="Arial"/>
      <w:caps/>
      <w:sz w:val="36"/>
      <w:lang w:eastAsia="en-US"/>
    </w:rPr>
  </w:style>
  <w:style w:type="character" w:customStyle="1" w:styleId="Heading9Char">
    <w:name w:val="Heading 9 Char"/>
    <w:aliases w:val="Appendix Heading 1 Char"/>
    <w:basedOn w:val="DefaultParagraphFont"/>
    <w:link w:val="Heading9"/>
    <w:uiPriority w:val="1"/>
    <w:rsid w:val="000809F5"/>
  </w:style>
  <w:style w:type="numbering" w:customStyle="1" w:styleId="Headings">
    <w:name w:val="Headings"/>
    <w:uiPriority w:val="99"/>
    <w:rsid w:val="0058629F"/>
    <w:pPr>
      <w:numPr>
        <w:numId w:val="2"/>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rsid w:val="0058629F"/>
    <w:rPr>
      <w:color w:val="7030A0"/>
      <w:u w:val="single"/>
    </w:rPr>
  </w:style>
  <w:style w:type="paragraph" w:styleId="ListBullet">
    <w:name w:val="List Bullet"/>
    <w:basedOn w:val="BodyText"/>
    <w:qFormat/>
    <w:rsid w:val="00231B63"/>
    <w:pPr>
      <w:numPr>
        <w:numId w:val="6"/>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7"/>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5"/>
      </w:numPr>
    </w:pPr>
  </w:style>
  <w:style w:type="paragraph" w:styleId="Title">
    <w:name w:val="Title"/>
    <w:basedOn w:val="Normal"/>
    <w:next w:val="Normal"/>
    <w:link w:val="TitleChar"/>
    <w:uiPriority w:val="99"/>
    <w:rsid w:val="00576577"/>
    <w:pPr>
      <w:spacing w:before="0" w:after="0" w:line="240" w:lineRule="auto"/>
    </w:pPr>
    <w:rPr>
      <w:rFonts w:asciiTheme="majorHAnsi" w:hAnsiTheme="majorHAnsi"/>
      <w:b/>
      <w:color w:val="201547" w:themeColor="text2"/>
      <w:sz w:val="41"/>
    </w:rPr>
  </w:style>
  <w:style w:type="character" w:customStyle="1" w:styleId="TitleChar">
    <w:name w:val="Title Char"/>
    <w:basedOn w:val="DefaultParagraphFont"/>
    <w:link w:val="Title"/>
    <w:uiPriority w:val="99"/>
    <w:rsid w:val="00576577"/>
    <w:rPr>
      <w:rFonts w:asciiTheme="majorHAnsi" w:hAnsiTheme="majorHAnsi"/>
      <w:b/>
      <w:color w:val="201547" w:themeColor="text2"/>
      <w:sz w:val="41"/>
    </w:rPr>
  </w:style>
  <w:style w:type="paragraph" w:styleId="TOC5">
    <w:name w:val="toc 5"/>
    <w:basedOn w:val="Normal"/>
    <w:next w:val="Normal"/>
    <w:autoRedefine/>
    <w:uiPriority w:val="39"/>
    <w:rsid w:val="00F7242A"/>
    <w:pPr>
      <w:tabs>
        <w:tab w:val="right" w:pos="9582"/>
      </w:tabs>
      <w:spacing w:before="240" w:after="60"/>
      <w:ind w:right="851"/>
    </w:pPr>
    <w:rPr>
      <w:rFonts w:cs="Arial"/>
      <w:b/>
      <w:color w:val="201547" w:themeColor="text2"/>
      <w:sz w:val="24"/>
    </w:rPr>
  </w:style>
  <w:style w:type="paragraph" w:styleId="TOC6">
    <w:name w:val="toc 6"/>
    <w:basedOn w:val="Normal"/>
    <w:next w:val="Normal"/>
    <w:autoRedefine/>
    <w:rsid w:val="00F7242A"/>
    <w:pPr>
      <w:spacing w:before="0" w:after="100"/>
      <w:ind w:left="1000"/>
    </w:pPr>
    <w:rPr>
      <w:rFonts w:cs="Arial"/>
      <w:color w:val="232222" w:themeColor="text1"/>
    </w:rPr>
  </w:style>
  <w:style w:type="paragraph" w:styleId="TOC7">
    <w:name w:val="toc 7"/>
    <w:basedOn w:val="Normal"/>
    <w:next w:val="Normal"/>
    <w:autoRedefine/>
    <w:rsid w:val="00F7242A"/>
    <w:pPr>
      <w:spacing w:before="0" w:after="100"/>
      <w:ind w:left="1200"/>
    </w:pPr>
    <w:rPr>
      <w:rFonts w:cs="Arial"/>
      <w:color w:val="232222" w:themeColor="text1"/>
    </w:rPr>
  </w:style>
  <w:style w:type="paragraph" w:styleId="TOC8">
    <w:name w:val="toc 8"/>
    <w:basedOn w:val="Normal"/>
    <w:next w:val="Normal"/>
    <w:autoRedefine/>
    <w:uiPriority w:val="39"/>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rsid w:val="00C503CB"/>
    <w:pPr>
      <w:spacing w:before="0" w:after="0"/>
      <w:jc w:val="right"/>
    </w:pPr>
    <w:rPr>
      <w:sz w:val="24"/>
    </w:rPr>
  </w:style>
  <w:style w:type="character" w:customStyle="1" w:styleId="DateChar">
    <w:name w:val="Date Char"/>
    <w:basedOn w:val="DefaultParagraphFont"/>
    <w:link w:val="Date"/>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B62C78"/>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462258"/>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3"/>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semiHidden/>
    <w:unhideWhenUsed/>
    <w:rsid w:val="0058629F"/>
    <w:rPr>
      <w:sz w:val="16"/>
      <w:szCs w:val="16"/>
    </w:rPr>
  </w:style>
  <w:style w:type="paragraph" w:styleId="CommentText">
    <w:name w:val="annotation text"/>
    <w:basedOn w:val="Normal"/>
    <w:link w:val="CommentTextChar"/>
    <w:unhideWhenUsed/>
    <w:rsid w:val="0058629F"/>
  </w:style>
  <w:style w:type="character" w:customStyle="1" w:styleId="CommentTextChar">
    <w:name w:val="Comment Text Char"/>
    <w:basedOn w:val="DefaultParagraphFont"/>
    <w:link w:val="CommentText"/>
    <w:rsid w:val="0058629F"/>
  </w:style>
  <w:style w:type="paragraph" w:styleId="CommentSubject">
    <w:name w:val="annotation subject"/>
    <w:basedOn w:val="CommentText"/>
    <w:next w:val="CommentText"/>
    <w:link w:val="CommentSubjectChar"/>
    <w:semiHidden/>
    <w:unhideWhenUsed/>
    <w:rsid w:val="0058629F"/>
    <w:rPr>
      <w:b/>
      <w:bCs/>
    </w:rPr>
  </w:style>
  <w:style w:type="character" w:customStyle="1" w:styleId="CommentSubjectChar">
    <w:name w:val="Comment Subject Char"/>
    <w:basedOn w:val="CommentTextChar"/>
    <w:link w:val="CommentSubject"/>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qFormat/>
    <w:rsid w:val="00D12263"/>
    <w:pPr>
      <w:keepLines/>
      <w:tabs>
        <w:tab w:val="left" w:pos="340"/>
      </w:tabs>
      <w:spacing w:before="0" w:after="60" w:line="180" w:lineRule="atLeast"/>
      <w:ind w:left="340" w:hanging="340"/>
    </w:pPr>
    <w:rPr>
      <w:sz w:val="16"/>
    </w:rPr>
  </w:style>
  <w:style w:type="character" w:styleId="FootnoteReference">
    <w:name w:val="footnote reference"/>
    <w:aliases w:val="(NECG) Footnote Reference"/>
    <w:basedOn w:val="DefaultParagraphFont"/>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C2E3FF" w:themeFill="accent1" w:themeFillTint="33"/>
    </w:tcPr>
    <w:tblStylePr w:type="firstRow">
      <w:rPr>
        <w:b/>
        <w:bCs/>
      </w:rPr>
      <w:tblPr/>
      <w:tcPr>
        <w:shd w:val="clear" w:color="auto" w:fill="85C8FF" w:themeFill="accent1" w:themeFillTint="66"/>
      </w:tcPr>
    </w:tblStylePr>
    <w:tblStylePr w:type="lastRow">
      <w:rPr>
        <w:b/>
        <w:bCs/>
        <w:color w:val="232222" w:themeColor="text1"/>
      </w:rPr>
      <w:tblPr/>
      <w:tcPr>
        <w:shd w:val="clear" w:color="auto" w:fill="85C8FF" w:themeFill="accent1" w:themeFillTint="66"/>
      </w:tcPr>
    </w:tblStylePr>
    <w:tblStylePr w:type="firstCol">
      <w:rPr>
        <w:color w:val="FFFFFF" w:themeColor="background1"/>
      </w:rPr>
      <w:tblPr/>
      <w:tcPr>
        <w:shd w:val="clear" w:color="auto" w:fill="00559A" w:themeFill="accent1" w:themeFillShade="BF"/>
      </w:tcPr>
    </w:tblStylePr>
    <w:tblStylePr w:type="lastCol">
      <w:rPr>
        <w:color w:val="FFFFFF" w:themeColor="background1"/>
      </w:rPr>
      <w:tblPr/>
      <w:tcPr>
        <w:shd w:val="clear" w:color="auto" w:fill="00559A" w:themeFill="accent1" w:themeFillShade="BF"/>
      </w:tcPr>
    </w:tblStylePr>
    <w:tblStylePr w:type="band1Vert">
      <w:tblPr/>
      <w:tcPr>
        <w:shd w:val="clear" w:color="auto" w:fill="67BBFF" w:themeFill="accent1" w:themeFillTint="7F"/>
      </w:tcPr>
    </w:tblStylePr>
    <w:tblStylePr w:type="band1Horz">
      <w:tblPr/>
      <w:tcPr>
        <w:shd w:val="clear" w:color="auto" w:fill="67BB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FE2C7" w:themeFill="accent2" w:themeFillTint="33"/>
    </w:tcPr>
    <w:tblStylePr w:type="firstRow">
      <w:rPr>
        <w:b/>
        <w:bCs/>
      </w:rPr>
      <w:tblPr/>
      <w:tcPr>
        <w:shd w:val="clear" w:color="auto" w:fill="FFC690" w:themeFill="accent2" w:themeFillTint="66"/>
      </w:tcPr>
    </w:tblStylePr>
    <w:tblStylePr w:type="lastRow">
      <w:rPr>
        <w:b/>
        <w:bCs/>
        <w:color w:val="232222" w:themeColor="text1"/>
      </w:rPr>
      <w:tblPr/>
      <w:tcPr>
        <w:shd w:val="clear" w:color="auto" w:fill="FFC690" w:themeFill="accent2" w:themeFillTint="66"/>
      </w:tcPr>
    </w:tblStylePr>
    <w:tblStylePr w:type="firstCol">
      <w:rPr>
        <w:color w:val="FFFFFF" w:themeColor="background1"/>
      </w:rPr>
      <w:tblPr/>
      <w:tcPr>
        <w:shd w:val="clear" w:color="auto" w:fill="AF5500" w:themeFill="accent2" w:themeFillShade="BF"/>
      </w:tcPr>
    </w:tblStylePr>
    <w:tblStylePr w:type="lastCol">
      <w:rPr>
        <w:color w:val="FFFFFF" w:themeColor="background1"/>
      </w:rPr>
      <w:tblPr/>
      <w:tcPr>
        <w:shd w:val="clear" w:color="auto" w:fill="AF5500" w:themeFill="accent2" w:themeFillShade="BF"/>
      </w:tcPr>
    </w:tblStylePr>
    <w:tblStylePr w:type="band1Vert">
      <w:tblPr/>
      <w:tcPr>
        <w:shd w:val="clear" w:color="auto" w:fill="FFB875" w:themeFill="accent2" w:themeFillTint="7F"/>
      </w:tcPr>
    </w:tblStylePr>
    <w:tblStylePr w:type="band1Horz">
      <w:tblPr/>
      <w:tcPr>
        <w:shd w:val="clear" w:color="auto" w:fill="FFB875"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DF9" w:themeFill="accent5" w:themeFillTint="33"/>
    </w:tcPr>
    <w:tblStylePr w:type="firstRow">
      <w:rPr>
        <w:b/>
        <w:bCs/>
      </w:rPr>
      <w:tblPr/>
      <w:tcPr>
        <w:shd w:val="clear" w:color="auto" w:fill="C1DCF3" w:themeFill="accent5" w:themeFillTint="66"/>
      </w:tcPr>
    </w:tblStylePr>
    <w:tblStylePr w:type="lastRow">
      <w:rPr>
        <w:b/>
        <w:bCs/>
        <w:color w:val="232222" w:themeColor="text1"/>
      </w:rPr>
      <w:tblPr/>
      <w:tcPr>
        <w:shd w:val="clear" w:color="auto" w:fill="C1DCF3" w:themeFill="accent5" w:themeFillTint="66"/>
      </w:tcPr>
    </w:tblStylePr>
    <w:tblStylePr w:type="firstCol">
      <w:rPr>
        <w:color w:val="FFFFFF" w:themeColor="background1"/>
      </w:rPr>
      <w:tblPr/>
      <w:tcPr>
        <w:shd w:val="clear" w:color="auto" w:fill="2782CE" w:themeFill="accent5" w:themeFillShade="BF"/>
      </w:tcPr>
    </w:tblStylePr>
    <w:tblStylePr w:type="lastCol">
      <w:rPr>
        <w:color w:val="FFFFFF" w:themeColor="background1"/>
      </w:rPr>
      <w:tblPr/>
      <w:tcPr>
        <w:shd w:val="clear" w:color="auto" w:fill="2782CE" w:themeFill="accent5" w:themeFillShade="BF"/>
      </w:tcPr>
    </w:tblStylePr>
    <w:tblStylePr w:type="band1Vert">
      <w:tblPr/>
      <w:tcPr>
        <w:shd w:val="clear" w:color="auto" w:fill="B2D4F0" w:themeFill="accent5" w:themeFillTint="7F"/>
      </w:tcPr>
    </w:tblStylePr>
    <w:tblStylePr w:type="band1Horz">
      <w:tblPr/>
      <w:tcPr>
        <w:shd w:val="clear" w:color="auto" w:fill="B2D4F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CEEE0" w:themeFill="accent6" w:themeFillTint="33"/>
    </w:tcPr>
    <w:tblStylePr w:type="firstRow">
      <w:rPr>
        <w:b/>
        <w:bCs/>
      </w:rPr>
      <w:tblPr/>
      <w:tcPr>
        <w:shd w:val="clear" w:color="auto" w:fill="F9DDC1" w:themeFill="accent6" w:themeFillTint="66"/>
      </w:tcPr>
    </w:tblStylePr>
    <w:tblStylePr w:type="lastRow">
      <w:rPr>
        <w:b/>
        <w:bCs/>
        <w:color w:val="232222" w:themeColor="text1"/>
      </w:rPr>
      <w:tblPr/>
      <w:tcPr>
        <w:shd w:val="clear" w:color="auto" w:fill="F9DDC1" w:themeFill="accent6" w:themeFillTint="66"/>
      </w:tcPr>
    </w:tblStylePr>
    <w:tblStylePr w:type="firstCol">
      <w:rPr>
        <w:color w:val="FFFFFF" w:themeColor="background1"/>
      </w:rPr>
      <w:tblPr/>
      <w:tcPr>
        <w:shd w:val="clear" w:color="auto" w:fill="EB7E16" w:themeFill="accent6" w:themeFillShade="BF"/>
      </w:tcPr>
    </w:tblStylePr>
    <w:tblStylePr w:type="lastCol">
      <w:rPr>
        <w:color w:val="FFFFFF" w:themeColor="background1"/>
      </w:rPr>
      <w:tblPr/>
      <w:tcPr>
        <w:shd w:val="clear" w:color="auto" w:fill="EB7E16" w:themeFill="accent6" w:themeFillShade="BF"/>
      </w:tcPr>
    </w:tblStylePr>
    <w:tblStylePr w:type="band1Vert">
      <w:tblPr/>
      <w:tcPr>
        <w:shd w:val="clear" w:color="auto" w:fill="F8D4B2" w:themeFill="accent6" w:themeFillTint="7F"/>
      </w:tcPr>
    </w:tblStylePr>
    <w:tblStylePr w:type="band1Horz">
      <w:tblPr/>
      <w:tcPr>
        <w:shd w:val="clear" w:color="auto" w:fill="F8D4B2"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E1F1FF" w:themeFill="accent1"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1" w:themeFillTint="3F"/>
      </w:tcPr>
    </w:tblStylePr>
    <w:tblStylePr w:type="band1Horz">
      <w:tblPr/>
      <w:tcPr>
        <w:shd w:val="clear" w:color="auto" w:fill="C2E3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FF0E3" w:themeFill="accent2"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A" w:themeFill="accent2" w:themeFillTint="3F"/>
      </w:tcPr>
    </w:tblStylePr>
    <w:tblStylePr w:type="band1Horz">
      <w:tblPr/>
      <w:tcPr>
        <w:shd w:val="clear" w:color="auto" w:fill="FFE2C7"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6FC" w:themeFill="accent5" w:themeFillTint="19"/>
    </w:tcPr>
    <w:tblStylePr w:type="firstRow">
      <w:rPr>
        <w:b/>
        <w:bCs/>
        <w:color w:val="FFFFFF" w:themeColor="background1"/>
      </w:rPr>
      <w:tblPr/>
      <w:tcPr>
        <w:tcBorders>
          <w:bottom w:val="single" w:sz="12" w:space="0" w:color="FFFFFF" w:themeColor="background1"/>
        </w:tcBorders>
        <w:shd w:val="clear" w:color="auto" w:fill="EC8726" w:themeFill="accent6" w:themeFillShade="CC"/>
      </w:tcPr>
    </w:tblStylePr>
    <w:tblStylePr w:type="lastRow">
      <w:rPr>
        <w:b/>
        <w:bCs/>
        <w:color w:val="EC8726"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9F7" w:themeFill="accent5" w:themeFillTint="3F"/>
      </w:tcPr>
    </w:tblStylePr>
    <w:tblStylePr w:type="band1Horz">
      <w:tblPr/>
      <w:tcPr>
        <w:shd w:val="clear" w:color="auto" w:fill="E0EDF9"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DF6EF" w:themeFill="accent6" w:themeFillTint="19"/>
    </w:tcPr>
    <w:tblStylePr w:type="firstRow">
      <w:rPr>
        <w:b/>
        <w:bCs/>
        <w:color w:val="FFFFFF" w:themeColor="background1"/>
      </w:rPr>
      <w:tblPr/>
      <w:tcPr>
        <w:tcBorders>
          <w:bottom w:val="single" w:sz="12" w:space="0" w:color="FFFFFF" w:themeColor="background1"/>
        </w:tcBorders>
        <w:shd w:val="clear" w:color="auto" w:fill="2E8AD7" w:themeFill="accent5" w:themeFillShade="CC"/>
      </w:tcPr>
    </w:tblStylePr>
    <w:tblStylePr w:type="lastRow">
      <w:rPr>
        <w:b/>
        <w:bCs/>
        <w:color w:val="2E8AD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9D8" w:themeFill="accent6" w:themeFillTint="3F"/>
      </w:tcPr>
    </w:tblStylePr>
    <w:tblStylePr w:type="band1Horz">
      <w:tblPr/>
      <w:tcPr>
        <w:shd w:val="clear" w:color="auto" w:fill="FCEEE0"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EA7200"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EA7200" w:themeColor="accent2"/>
        <w:left w:val="single" w:sz="4" w:space="0" w:color="0072CE" w:themeColor="accent1"/>
        <w:bottom w:val="single" w:sz="4" w:space="0" w:color="0072CE" w:themeColor="accent1"/>
        <w:right w:val="single" w:sz="4" w:space="0" w:color="0072CE" w:themeColor="accent1"/>
        <w:insideH w:val="single" w:sz="4" w:space="0" w:color="FFFFFF" w:themeColor="background1"/>
        <w:insideV w:val="single" w:sz="4" w:space="0" w:color="FFFFFF" w:themeColor="background1"/>
      </w:tblBorders>
    </w:tblPr>
    <w:tcPr>
      <w:shd w:val="clear" w:color="auto" w:fill="E1F1FF" w:themeFill="accent1"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1" w:themeFillShade="99"/>
      </w:tcPr>
    </w:tblStylePr>
    <w:tblStylePr w:type="firstCol">
      <w:rPr>
        <w:color w:val="FFFFFF" w:themeColor="background1"/>
      </w:rPr>
      <w:tblPr/>
      <w:tcPr>
        <w:tcBorders>
          <w:top w:val="nil"/>
          <w:left w:val="nil"/>
          <w:bottom w:val="nil"/>
          <w:right w:val="nil"/>
          <w:insideH w:val="single" w:sz="4" w:space="0" w:color="00447B" w:themeColor="accent1" w:themeShade="99"/>
          <w:insideV w:val="nil"/>
        </w:tcBorders>
        <w:shd w:val="clear" w:color="auto" w:fill="00447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1" w:themeFillShade="99"/>
      </w:tcPr>
    </w:tblStylePr>
    <w:tblStylePr w:type="band1Vert">
      <w:tblPr/>
      <w:tcPr>
        <w:shd w:val="clear" w:color="auto" w:fill="85C8FF" w:themeFill="accent1" w:themeFillTint="66"/>
      </w:tcPr>
    </w:tblStylePr>
    <w:tblStylePr w:type="band1Horz">
      <w:tblPr/>
      <w:tcPr>
        <w:shd w:val="clear" w:color="auto" w:fill="67BB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EA7200" w:themeColor="accent2"/>
        <w:left w:val="single" w:sz="4" w:space="0" w:color="EA7200" w:themeColor="accent2"/>
        <w:bottom w:val="single" w:sz="4" w:space="0" w:color="EA7200" w:themeColor="accent2"/>
        <w:right w:val="single" w:sz="4" w:space="0" w:color="EA7200" w:themeColor="accent2"/>
        <w:insideH w:val="single" w:sz="4" w:space="0" w:color="FFFFFF" w:themeColor="background1"/>
        <w:insideV w:val="single" w:sz="4" w:space="0" w:color="FFFFFF" w:themeColor="background1"/>
      </w:tblBorders>
    </w:tblPr>
    <w:tcPr>
      <w:shd w:val="clear" w:color="auto" w:fill="FFF0E3" w:themeFill="accent2"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400" w:themeFill="accent2" w:themeFillShade="99"/>
      </w:tcPr>
    </w:tblStylePr>
    <w:tblStylePr w:type="firstCol">
      <w:rPr>
        <w:color w:val="FFFFFF" w:themeColor="background1"/>
      </w:rPr>
      <w:tblPr/>
      <w:tcPr>
        <w:tcBorders>
          <w:top w:val="nil"/>
          <w:left w:val="nil"/>
          <w:bottom w:val="nil"/>
          <w:right w:val="nil"/>
          <w:insideH w:val="single" w:sz="4" w:space="0" w:color="8C4400" w:themeColor="accent2" w:themeShade="99"/>
          <w:insideV w:val="nil"/>
        </w:tcBorders>
        <w:shd w:val="clear" w:color="auto" w:fill="8C4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C4400" w:themeFill="accent2" w:themeFillShade="99"/>
      </w:tcPr>
    </w:tblStylePr>
    <w:tblStylePr w:type="band1Vert">
      <w:tblPr/>
      <w:tcPr>
        <w:shd w:val="clear" w:color="auto" w:fill="FFC690" w:themeFill="accent2" w:themeFillTint="66"/>
      </w:tcPr>
    </w:tblStylePr>
    <w:tblStylePr w:type="band1Horz">
      <w:tblPr/>
      <w:tcPr>
        <w:shd w:val="clear" w:color="auto" w:fill="FFB875"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F2AB66" w:themeColor="accent6"/>
        <w:left w:val="single" w:sz="4" w:space="0" w:color="66AAE2" w:themeColor="accent5"/>
        <w:bottom w:val="single" w:sz="4" w:space="0" w:color="66AAE2" w:themeColor="accent5"/>
        <w:right w:val="single" w:sz="4" w:space="0" w:color="66AAE2" w:themeColor="accent5"/>
        <w:insideH w:val="single" w:sz="4" w:space="0" w:color="FFFFFF" w:themeColor="background1"/>
        <w:insideV w:val="single" w:sz="4" w:space="0" w:color="FFFFFF" w:themeColor="background1"/>
      </w:tblBorders>
    </w:tblPr>
    <w:tcPr>
      <w:shd w:val="clear" w:color="auto" w:fill="EFF6FC" w:themeFill="accent5" w:themeFillTint="19"/>
    </w:tcPr>
    <w:tblStylePr w:type="firstRow">
      <w:rPr>
        <w:b/>
        <w:bCs/>
      </w:rPr>
      <w:tblPr/>
      <w:tcPr>
        <w:tcBorders>
          <w:top w:val="nil"/>
          <w:left w:val="nil"/>
          <w:bottom w:val="single" w:sz="24" w:space="0" w:color="F2AB6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68A5" w:themeFill="accent5" w:themeFillShade="99"/>
      </w:tcPr>
    </w:tblStylePr>
    <w:tblStylePr w:type="firstCol">
      <w:rPr>
        <w:color w:val="FFFFFF" w:themeColor="background1"/>
      </w:rPr>
      <w:tblPr/>
      <w:tcPr>
        <w:tcBorders>
          <w:top w:val="nil"/>
          <w:left w:val="nil"/>
          <w:bottom w:val="nil"/>
          <w:right w:val="nil"/>
          <w:insideH w:val="single" w:sz="4" w:space="0" w:color="1F68A5" w:themeColor="accent5" w:themeShade="99"/>
          <w:insideV w:val="nil"/>
        </w:tcBorders>
        <w:shd w:val="clear" w:color="auto" w:fill="1F68A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F68A5" w:themeFill="accent5" w:themeFillShade="99"/>
      </w:tcPr>
    </w:tblStylePr>
    <w:tblStylePr w:type="band1Vert">
      <w:tblPr/>
      <w:tcPr>
        <w:shd w:val="clear" w:color="auto" w:fill="C1DCF3" w:themeFill="accent5" w:themeFillTint="66"/>
      </w:tcPr>
    </w:tblStylePr>
    <w:tblStylePr w:type="band1Horz">
      <w:tblPr/>
      <w:tcPr>
        <w:shd w:val="clear" w:color="auto" w:fill="B2D4F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AAE2" w:themeColor="accent5"/>
        <w:left w:val="single" w:sz="4" w:space="0" w:color="F2AB66" w:themeColor="accent6"/>
        <w:bottom w:val="single" w:sz="4" w:space="0" w:color="F2AB66" w:themeColor="accent6"/>
        <w:right w:val="single" w:sz="4" w:space="0" w:color="F2AB66" w:themeColor="accent6"/>
        <w:insideH w:val="single" w:sz="4" w:space="0" w:color="FFFFFF" w:themeColor="background1"/>
        <w:insideV w:val="single" w:sz="4" w:space="0" w:color="FFFFFF" w:themeColor="background1"/>
      </w:tblBorders>
    </w:tblPr>
    <w:tcPr>
      <w:shd w:val="clear" w:color="auto" w:fill="FDF6EF" w:themeFill="accent6" w:themeFillTint="19"/>
    </w:tcPr>
    <w:tblStylePr w:type="firstRow">
      <w:rPr>
        <w:b/>
        <w:bCs/>
      </w:rPr>
      <w:tblPr/>
      <w:tcPr>
        <w:tcBorders>
          <w:top w:val="nil"/>
          <w:left w:val="nil"/>
          <w:bottom w:val="single" w:sz="24" w:space="0" w:color="66AAE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E6510" w:themeFill="accent6" w:themeFillShade="99"/>
      </w:tcPr>
    </w:tblStylePr>
    <w:tblStylePr w:type="firstCol">
      <w:rPr>
        <w:color w:val="FFFFFF" w:themeColor="background1"/>
      </w:rPr>
      <w:tblPr/>
      <w:tcPr>
        <w:tcBorders>
          <w:top w:val="nil"/>
          <w:left w:val="nil"/>
          <w:bottom w:val="nil"/>
          <w:right w:val="nil"/>
          <w:insideH w:val="single" w:sz="4" w:space="0" w:color="BE6510" w:themeColor="accent6" w:themeShade="99"/>
          <w:insideV w:val="nil"/>
        </w:tcBorders>
        <w:shd w:val="clear" w:color="auto" w:fill="BE651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E6510" w:themeFill="accent6" w:themeFillShade="99"/>
      </w:tcPr>
    </w:tblStylePr>
    <w:tblStylePr w:type="band1Vert">
      <w:tblPr/>
      <w:tcPr>
        <w:shd w:val="clear" w:color="auto" w:fill="F9DDC1" w:themeFill="accent6" w:themeFillTint="66"/>
      </w:tcPr>
    </w:tblStylePr>
    <w:tblStylePr w:type="band1Horz">
      <w:tblPr/>
      <w:tcPr>
        <w:shd w:val="clear" w:color="auto" w:fill="F8D4B2"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72C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1" w:themeFillShade="BF"/>
      </w:tcPr>
    </w:tblStylePr>
    <w:tblStylePr w:type="band1Vert">
      <w:tblPr/>
      <w:tcPr>
        <w:tcBorders>
          <w:top w:val="nil"/>
          <w:left w:val="nil"/>
          <w:bottom w:val="nil"/>
          <w:right w:val="nil"/>
          <w:insideH w:val="nil"/>
          <w:insideV w:val="nil"/>
        </w:tcBorders>
        <w:shd w:val="clear" w:color="auto" w:fill="00559A" w:themeFill="accent1" w:themeFillShade="BF"/>
      </w:tcPr>
    </w:tblStylePr>
    <w:tblStylePr w:type="band1Horz">
      <w:tblPr/>
      <w:tcPr>
        <w:tcBorders>
          <w:top w:val="nil"/>
          <w:left w:val="nil"/>
          <w:bottom w:val="nil"/>
          <w:right w:val="nil"/>
          <w:insideH w:val="nil"/>
          <w:insideV w:val="nil"/>
        </w:tcBorders>
        <w:shd w:val="clear" w:color="auto" w:fill="00559A"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EA72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7438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5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5500" w:themeFill="accent2" w:themeFillShade="BF"/>
      </w:tcPr>
    </w:tblStylePr>
    <w:tblStylePr w:type="band1Vert">
      <w:tblPr/>
      <w:tcPr>
        <w:tcBorders>
          <w:top w:val="nil"/>
          <w:left w:val="nil"/>
          <w:bottom w:val="nil"/>
          <w:right w:val="nil"/>
          <w:insideH w:val="nil"/>
          <w:insideV w:val="nil"/>
        </w:tcBorders>
        <w:shd w:val="clear" w:color="auto" w:fill="AF5500" w:themeFill="accent2" w:themeFillShade="BF"/>
      </w:tcPr>
    </w:tblStylePr>
    <w:tblStylePr w:type="band1Horz">
      <w:tblPr/>
      <w:tcPr>
        <w:tcBorders>
          <w:top w:val="nil"/>
          <w:left w:val="nil"/>
          <w:bottom w:val="nil"/>
          <w:right w:val="nil"/>
          <w:insideH w:val="nil"/>
          <w:insideV w:val="nil"/>
        </w:tcBorders>
        <w:shd w:val="clear" w:color="auto" w:fill="AF5500"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AAE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A568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782C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782CE" w:themeFill="accent5" w:themeFillShade="BF"/>
      </w:tcPr>
    </w:tblStylePr>
    <w:tblStylePr w:type="band1Vert">
      <w:tblPr/>
      <w:tcPr>
        <w:tcBorders>
          <w:top w:val="nil"/>
          <w:left w:val="nil"/>
          <w:bottom w:val="nil"/>
          <w:right w:val="nil"/>
          <w:insideH w:val="nil"/>
          <w:insideV w:val="nil"/>
        </w:tcBorders>
        <w:shd w:val="clear" w:color="auto" w:fill="2782CE" w:themeFill="accent5" w:themeFillShade="BF"/>
      </w:tcPr>
    </w:tblStylePr>
    <w:tblStylePr w:type="band1Horz">
      <w:tblPr/>
      <w:tcPr>
        <w:tcBorders>
          <w:top w:val="nil"/>
          <w:left w:val="nil"/>
          <w:bottom w:val="nil"/>
          <w:right w:val="nil"/>
          <w:insideH w:val="nil"/>
          <w:insideV w:val="nil"/>
        </w:tcBorders>
        <w:shd w:val="clear" w:color="auto" w:fill="2782CE"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F2AB6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9D540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B7E1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B7E16" w:themeFill="accent6" w:themeFillShade="BF"/>
      </w:tcPr>
    </w:tblStylePr>
    <w:tblStylePr w:type="band1Vert">
      <w:tblPr/>
      <w:tcPr>
        <w:tcBorders>
          <w:top w:val="nil"/>
          <w:left w:val="nil"/>
          <w:bottom w:val="nil"/>
          <w:right w:val="nil"/>
          <w:insideH w:val="nil"/>
          <w:insideV w:val="nil"/>
        </w:tcBorders>
        <w:shd w:val="clear" w:color="auto" w:fill="EB7E16" w:themeFill="accent6" w:themeFillShade="BF"/>
      </w:tcPr>
    </w:tblStylePr>
    <w:tblStylePr w:type="band1Horz">
      <w:tblPr/>
      <w:tcPr>
        <w:tcBorders>
          <w:top w:val="nil"/>
          <w:left w:val="nil"/>
          <w:bottom w:val="nil"/>
          <w:right w:val="nil"/>
          <w:insideH w:val="nil"/>
          <w:insideV w:val="nil"/>
        </w:tcBorders>
        <w:shd w:val="clear" w:color="auto" w:fill="EB7E16"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FFC690" w:themeColor="accent2" w:themeTint="66"/>
        <w:left w:val="single" w:sz="4" w:space="0" w:color="FFC690" w:themeColor="accent2" w:themeTint="66"/>
        <w:bottom w:val="single" w:sz="4" w:space="0" w:color="FFC690" w:themeColor="accent2" w:themeTint="66"/>
        <w:right w:val="single" w:sz="4" w:space="0" w:color="FFC690" w:themeColor="accent2" w:themeTint="66"/>
        <w:insideH w:val="single" w:sz="4" w:space="0" w:color="FFC690" w:themeColor="accent2" w:themeTint="66"/>
        <w:insideV w:val="single" w:sz="4" w:space="0" w:color="FFC690" w:themeColor="accent2" w:themeTint="66"/>
      </w:tblBorders>
    </w:tblPr>
    <w:tblStylePr w:type="firstRow">
      <w:rPr>
        <w:b/>
        <w:bCs/>
      </w:rPr>
      <w:tblPr/>
      <w:tcPr>
        <w:tcBorders>
          <w:bottom w:val="single" w:sz="12" w:space="0" w:color="FFA959" w:themeColor="accent2" w:themeTint="99"/>
        </w:tcBorders>
      </w:tcPr>
    </w:tblStylePr>
    <w:tblStylePr w:type="lastRow">
      <w:rPr>
        <w:b/>
        <w:bCs/>
      </w:rPr>
      <w:tblPr/>
      <w:tcPr>
        <w:tcBorders>
          <w:top w:val="double" w:sz="2" w:space="0" w:color="FFA95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CF3" w:themeColor="accent5" w:themeTint="66"/>
        <w:left w:val="single" w:sz="4" w:space="0" w:color="C1DCF3" w:themeColor="accent5" w:themeTint="66"/>
        <w:bottom w:val="single" w:sz="4" w:space="0" w:color="C1DCF3" w:themeColor="accent5" w:themeTint="66"/>
        <w:right w:val="single" w:sz="4" w:space="0" w:color="C1DCF3" w:themeColor="accent5" w:themeTint="66"/>
        <w:insideH w:val="single" w:sz="4" w:space="0" w:color="C1DCF3" w:themeColor="accent5" w:themeTint="66"/>
        <w:insideV w:val="single" w:sz="4" w:space="0" w:color="C1DCF3" w:themeColor="accent5" w:themeTint="66"/>
      </w:tblBorders>
    </w:tblPr>
    <w:tblStylePr w:type="firstRow">
      <w:rPr>
        <w:b/>
        <w:bCs/>
      </w:rPr>
      <w:tblPr/>
      <w:tcPr>
        <w:tcBorders>
          <w:bottom w:val="single" w:sz="12" w:space="0" w:color="A3CBED" w:themeColor="accent5" w:themeTint="99"/>
        </w:tcBorders>
      </w:tcPr>
    </w:tblStylePr>
    <w:tblStylePr w:type="lastRow">
      <w:rPr>
        <w:b/>
        <w:bCs/>
      </w:rPr>
      <w:tblPr/>
      <w:tcPr>
        <w:tcBorders>
          <w:top w:val="double" w:sz="2" w:space="0" w:color="A3CBE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F9DDC1" w:themeColor="accent6" w:themeTint="66"/>
        <w:left w:val="single" w:sz="4" w:space="0" w:color="F9DDC1" w:themeColor="accent6" w:themeTint="66"/>
        <w:bottom w:val="single" w:sz="4" w:space="0" w:color="F9DDC1" w:themeColor="accent6" w:themeTint="66"/>
        <w:right w:val="single" w:sz="4" w:space="0" w:color="F9DDC1" w:themeColor="accent6" w:themeTint="66"/>
        <w:insideH w:val="single" w:sz="4" w:space="0" w:color="F9DDC1" w:themeColor="accent6" w:themeTint="66"/>
        <w:insideV w:val="single" w:sz="4" w:space="0" w:color="F9DDC1" w:themeColor="accent6" w:themeTint="66"/>
      </w:tblBorders>
    </w:tblPr>
    <w:tblStylePr w:type="firstRow">
      <w:rPr>
        <w:b/>
        <w:bCs/>
      </w:rPr>
      <w:tblPr/>
      <w:tcPr>
        <w:tcBorders>
          <w:bottom w:val="single" w:sz="12" w:space="0" w:color="F7CCA3" w:themeColor="accent6" w:themeTint="99"/>
        </w:tcBorders>
      </w:tcPr>
    </w:tblStylePr>
    <w:tblStylePr w:type="lastRow">
      <w:rPr>
        <w:b/>
        <w:bCs/>
      </w:rPr>
      <w:tblPr/>
      <w:tcPr>
        <w:tcBorders>
          <w:top w:val="double" w:sz="2" w:space="0" w:color="F7CCA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48ADFF" w:themeColor="accent1" w:themeTint="99"/>
        <w:bottom w:val="single" w:sz="2" w:space="0" w:color="48ADFF" w:themeColor="accent1" w:themeTint="99"/>
        <w:insideH w:val="single" w:sz="2" w:space="0" w:color="48ADFF" w:themeColor="accent1" w:themeTint="99"/>
        <w:insideV w:val="single" w:sz="2" w:space="0" w:color="48ADFF" w:themeColor="accent1" w:themeTint="99"/>
      </w:tblBorders>
    </w:tblPr>
    <w:tblStylePr w:type="firstRow">
      <w:rPr>
        <w:b/>
        <w:bCs/>
      </w:rPr>
      <w:tblPr/>
      <w:tcPr>
        <w:tcBorders>
          <w:top w:val="nil"/>
          <w:bottom w:val="single" w:sz="12" w:space="0" w:color="48ADFF" w:themeColor="accent1" w:themeTint="99"/>
          <w:insideH w:val="nil"/>
          <w:insideV w:val="nil"/>
        </w:tcBorders>
        <w:shd w:val="clear" w:color="auto" w:fill="FFFFFF" w:themeFill="background1"/>
      </w:tcPr>
    </w:tblStylePr>
    <w:tblStylePr w:type="lastRow">
      <w:rPr>
        <w:b/>
        <w:bCs/>
      </w:rPr>
      <w:tblPr/>
      <w:tcPr>
        <w:tcBorders>
          <w:top w:val="double" w:sz="2" w:space="0" w:color="48A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FFA959" w:themeColor="accent2" w:themeTint="99"/>
        <w:bottom w:val="single" w:sz="2" w:space="0" w:color="FFA959" w:themeColor="accent2" w:themeTint="99"/>
        <w:insideH w:val="single" w:sz="2" w:space="0" w:color="FFA959" w:themeColor="accent2" w:themeTint="99"/>
        <w:insideV w:val="single" w:sz="2" w:space="0" w:color="FFA959" w:themeColor="accent2" w:themeTint="99"/>
      </w:tblBorders>
    </w:tblPr>
    <w:tblStylePr w:type="firstRow">
      <w:rPr>
        <w:b/>
        <w:bCs/>
      </w:rPr>
      <w:tblPr/>
      <w:tcPr>
        <w:tcBorders>
          <w:top w:val="nil"/>
          <w:bottom w:val="single" w:sz="12" w:space="0" w:color="FFA959" w:themeColor="accent2" w:themeTint="99"/>
          <w:insideH w:val="nil"/>
          <w:insideV w:val="nil"/>
        </w:tcBorders>
        <w:shd w:val="clear" w:color="auto" w:fill="FFFFFF" w:themeFill="background1"/>
      </w:tcPr>
    </w:tblStylePr>
    <w:tblStylePr w:type="lastRow">
      <w:rPr>
        <w:b/>
        <w:bCs/>
      </w:rPr>
      <w:tblPr/>
      <w:tcPr>
        <w:tcBorders>
          <w:top w:val="double" w:sz="2" w:space="0" w:color="FFA95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CBED" w:themeColor="accent5" w:themeTint="99"/>
        <w:bottom w:val="single" w:sz="2" w:space="0" w:color="A3CBED" w:themeColor="accent5" w:themeTint="99"/>
        <w:insideH w:val="single" w:sz="2" w:space="0" w:color="A3CBED" w:themeColor="accent5" w:themeTint="99"/>
        <w:insideV w:val="single" w:sz="2" w:space="0" w:color="A3CBED" w:themeColor="accent5" w:themeTint="99"/>
      </w:tblBorders>
    </w:tblPr>
    <w:tblStylePr w:type="firstRow">
      <w:rPr>
        <w:b/>
        <w:bCs/>
      </w:rPr>
      <w:tblPr/>
      <w:tcPr>
        <w:tcBorders>
          <w:top w:val="nil"/>
          <w:bottom w:val="single" w:sz="12" w:space="0" w:color="A3CBED" w:themeColor="accent5" w:themeTint="99"/>
          <w:insideH w:val="nil"/>
          <w:insideV w:val="nil"/>
        </w:tcBorders>
        <w:shd w:val="clear" w:color="auto" w:fill="FFFFFF" w:themeFill="background1"/>
      </w:tcPr>
    </w:tblStylePr>
    <w:tblStylePr w:type="lastRow">
      <w:rPr>
        <w:b/>
        <w:bCs/>
      </w:rPr>
      <w:tblPr/>
      <w:tcPr>
        <w:tcBorders>
          <w:top w:val="double" w:sz="2" w:space="0" w:color="A3CBE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F7CCA3" w:themeColor="accent6" w:themeTint="99"/>
        <w:bottom w:val="single" w:sz="2" w:space="0" w:color="F7CCA3" w:themeColor="accent6" w:themeTint="99"/>
        <w:insideH w:val="single" w:sz="2" w:space="0" w:color="F7CCA3" w:themeColor="accent6" w:themeTint="99"/>
        <w:insideV w:val="single" w:sz="2" w:space="0" w:color="F7CCA3" w:themeColor="accent6" w:themeTint="99"/>
      </w:tblBorders>
    </w:tblPr>
    <w:tblStylePr w:type="firstRow">
      <w:rPr>
        <w:b/>
        <w:bCs/>
      </w:rPr>
      <w:tblPr/>
      <w:tcPr>
        <w:tcBorders>
          <w:top w:val="nil"/>
          <w:bottom w:val="single" w:sz="12" w:space="0" w:color="F7CCA3" w:themeColor="accent6" w:themeTint="99"/>
          <w:insideH w:val="nil"/>
          <w:insideV w:val="nil"/>
        </w:tcBorders>
        <w:shd w:val="clear" w:color="auto" w:fill="FFFFFF" w:themeFill="background1"/>
      </w:tcPr>
    </w:tblStylePr>
    <w:tblStylePr w:type="lastRow">
      <w:rPr>
        <w:b/>
        <w:bCs/>
      </w:rPr>
      <w:tblPr/>
      <w:tcPr>
        <w:tcBorders>
          <w:top w:val="double" w:sz="2" w:space="0" w:color="F7CCA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bottom w:val="single" w:sz="4" w:space="0" w:color="48ADFF" w:themeColor="accent1" w:themeTint="99"/>
        </w:tcBorders>
      </w:tcPr>
    </w:tblStylePr>
    <w:tblStylePr w:type="nwCell">
      <w:tblPr/>
      <w:tcPr>
        <w:tcBorders>
          <w:bottom w:val="single" w:sz="4" w:space="0" w:color="48ADFF" w:themeColor="accent1" w:themeTint="99"/>
        </w:tcBorders>
      </w:tcPr>
    </w:tblStylePr>
    <w:tblStylePr w:type="seCell">
      <w:tblPr/>
      <w:tcPr>
        <w:tcBorders>
          <w:top w:val="single" w:sz="4" w:space="0" w:color="48ADFF" w:themeColor="accent1" w:themeTint="99"/>
        </w:tcBorders>
      </w:tcPr>
    </w:tblStylePr>
    <w:tblStylePr w:type="swCell">
      <w:tblPr/>
      <w:tcPr>
        <w:tcBorders>
          <w:top w:val="single" w:sz="4" w:space="0" w:color="48AD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bottom w:val="single" w:sz="4" w:space="0" w:color="FFA959" w:themeColor="accent2" w:themeTint="99"/>
        </w:tcBorders>
      </w:tcPr>
    </w:tblStylePr>
    <w:tblStylePr w:type="nwCell">
      <w:tblPr/>
      <w:tcPr>
        <w:tcBorders>
          <w:bottom w:val="single" w:sz="4" w:space="0" w:color="FFA959" w:themeColor="accent2" w:themeTint="99"/>
        </w:tcBorders>
      </w:tcPr>
    </w:tblStylePr>
    <w:tblStylePr w:type="seCell">
      <w:tblPr/>
      <w:tcPr>
        <w:tcBorders>
          <w:top w:val="single" w:sz="4" w:space="0" w:color="FFA959" w:themeColor="accent2" w:themeTint="99"/>
        </w:tcBorders>
      </w:tcPr>
    </w:tblStylePr>
    <w:tblStylePr w:type="swCell">
      <w:tblPr/>
      <w:tcPr>
        <w:tcBorders>
          <w:top w:val="single" w:sz="4" w:space="0" w:color="FFA959"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bottom w:val="single" w:sz="4" w:space="0" w:color="A3CBED" w:themeColor="accent5" w:themeTint="99"/>
        </w:tcBorders>
      </w:tcPr>
    </w:tblStylePr>
    <w:tblStylePr w:type="nwCell">
      <w:tblPr/>
      <w:tcPr>
        <w:tcBorders>
          <w:bottom w:val="single" w:sz="4" w:space="0" w:color="A3CBED" w:themeColor="accent5" w:themeTint="99"/>
        </w:tcBorders>
      </w:tcPr>
    </w:tblStylePr>
    <w:tblStylePr w:type="seCell">
      <w:tblPr/>
      <w:tcPr>
        <w:tcBorders>
          <w:top w:val="single" w:sz="4" w:space="0" w:color="A3CBED" w:themeColor="accent5" w:themeTint="99"/>
        </w:tcBorders>
      </w:tcPr>
    </w:tblStylePr>
    <w:tblStylePr w:type="swCell">
      <w:tblPr/>
      <w:tcPr>
        <w:tcBorders>
          <w:top w:val="single" w:sz="4" w:space="0" w:color="A3CBED"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bottom w:val="single" w:sz="4" w:space="0" w:color="F7CCA3" w:themeColor="accent6" w:themeTint="99"/>
        </w:tcBorders>
      </w:tcPr>
    </w:tblStylePr>
    <w:tblStylePr w:type="nwCell">
      <w:tblPr/>
      <w:tcPr>
        <w:tcBorders>
          <w:bottom w:val="single" w:sz="4" w:space="0" w:color="F7CCA3" w:themeColor="accent6" w:themeTint="99"/>
        </w:tcBorders>
      </w:tcPr>
    </w:tblStylePr>
    <w:tblStylePr w:type="seCell">
      <w:tblPr/>
      <w:tcPr>
        <w:tcBorders>
          <w:top w:val="single" w:sz="4" w:space="0" w:color="F7CCA3" w:themeColor="accent6" w:themeTint="99"/>
        </w:tcBorders>
      </w:tcPr>
    </w:tblStylePr>
    <w:tblStylePr w:type="swCell">
      <w:tblPr/>
      <w:tcPr>
        <w:tcBorders>
          <w:top w:val="single" w:sz="4" w:space="0" w:color="F7CCA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insideV w:val="nil"/>
        </w:tcBorders>
        <w:shd w:val="clear" w:color="auto" w:fill="0072CE" w:themeFill="accent1"/>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color w:val="FFFFFF" w:themeColor="background1"/>
      </w:rPr>
      <w:tblPr/>
      <w:tcPr>
        <w:tcBorders>
          <w:top w:val="single" w:sz="4" w:space="0" w:color="EA7200" w:themeColor="accent2"/>
          <w:left w:val="single" w:sz="4" w:space="0" w:color="EA7200" w:themeColor="accent2"/>
          <w:bottom w:val="single" w:sz="4" w:space="0" w:color="EA7200" w:themeColor="accent2"/>
          <w:right w:val="single" w:sz="4" w:space="0" w:color="EA7200" w:themeColor="accent2"/>
          <w:insideH w:val="nil"/>
          <w:insideV w:val="nil"/>
        </w:tcBorders>
        <w:shd w:val="clear" w:color="auto" w:fill="EA7200" w:themeFill="accent2"/>
      </w:tcPr>
    </w:tblStylePr>
    <w:tblStylePr w:type="lastRow">
      <w:rPr>
        <w:b/>
        <w:bCs/>
      </w:rPr>
      <w:tblPr/>
      <w:tcPr>
        <w:tcBorders>
          <w:top w:val="double" w:sz="4" w:space="0" w:color="EA7200" w:themeColor="accent2"/>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color w:val="FFFFFF" w:themeColor="background1"/>
      </w:rPr>
      <w:tblPr/>
      <w:tcPr>
        <w:tcBorders>
          <w:top w:val="single" w:sz="4" w:space="0" w:color="66AAE2" w:themeColor="accent5"/>
          <w:left w:val="single" w:sz="4" w:space="0" w:color="66AAE2" w:themeColor="accent5"/>
          <w:bottom w:val="single" w:sz="4" w:space="0" w:color="66AAE2" w:themeColor="accent5"/>
          <w:right w:val="single" w:sz="4" w:space="0" w:color="66AAE2" w:themeColor="accent5"/>
          <w:insideH w:val="nil"/>
          <w:insideV w:val="nil"/>
        </w:tcBorders>
        <w:shd w:val="clear" w:color="auto" w:fill="66AAE2" w:themeFill="accent5"/>
      </w:tcPr>
    </w:tblStylePr>
    <w:tblStylePr w:type="lastRow">
      <w:rPr>
        <w:b/>
        <w:bCs/>
      </w:rPr>
      <w:tblPr/>
      <w:tcPr>
        <w:tcBorders>
          <w:top w:val="double" w:sz="4" w:space="0" w:color="66AAE2" w:themeColor="accent5"/>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color w:val="FFFFFF" w:themeColor="background1"/>
      </w:rPr>
      <w:tblPr/>
      <w:tcPr>
        <w:tcBorders>
          <w:top w:val="single" w:sz="4" w:space="0" w:color="F2AB66" w:themeColor="accent6"/>
          <w:left w:val="single" w:sz="4" w:space="0" w:color="F2AB66" w:themeColor="accent6"/>
          <w:bottom w:val="single" w:sz="4" w:space="0" w:color="F2AB66" w:themeColor="accent6"/>
          <w:right w:val="single" w:sz="4" w:space="0" w:color="F2AB66" w:themeColor="accent6"/>
          <w:insideH w:val="nil"/>
          <w:insideV w:val="nil"/>
        </w:tcBorders>
        <w:shd w:val="clear" w:color="auto" w:fill="F2AB66" w:themeFill="accent6"/>
      </w:tcPr>
    </w:tblStylePr>
    <w:tblStylePr w:type="lastRow">
      <w:rPr>
        <w:b/>
        <w:bCs/>
      </w:rPr>
      <w:tblPr/>
      <w:tcPr>
        <w:tcBorders>
          <w:top w:val="double" w:sz="4" w:space="0" w:color="F2AB66" w:themeColor="accent6"/>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C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C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C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CE" w:themeFill="accent1"/>
      </w:tcPr>
    </w:tblStylePr>
    <w:tblStylePr w:type="band1Vert">
      <w:tblPr/>
      <w:tcPr>
        <w:shd w:val="clear" w:color="auto" w:fill="85C8FF" w:themeFill="accent1" w:themeFillTint="66"/>
      </w:tcPr>
    </w:tblStylePr>
    <w:tblStylePr w:type="band1Horz">
      <w:tblPr/>
      <w:tcPr>
        <w:shd w:val="clear" w:color="auto" w:fill="85C8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2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2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2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200" w:themeFill="accent2"/>
      </w:tcPr>
    </w:tblStylePr>
    <w:tblStylePr w:type="band1Vert">
      <w:tblPr/>
      <w:tcPr>
        <w:shd w:val="clear" w:color="auto" w:fill="FFC690" w:themeFill="accent2" w:themeFillTint="66"/>
      </w:tcPr>
    </w:tblStylePr>
    <w:tblStylePr w:type="band1Horz">
      <w:tblPr/>
      <w:tcPr>
        <w:shd w:val="clear" w:color="auto" w:fill="FFC690"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D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AAE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AAE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AAE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AAE2" w:themeFill="accent5"/>
      </w:tcPr>
    </w:tblStylePr>
    <w:tblStylePr w:type="band1Vert">
      <w:tblPr/>
      <w:tcPr>
        <w:shd w:val="clear" w:color="auto" w:fill="C1DCF3" w:themeFill="accent5" w:themeFillTint="66"/>
      </w:tcPr>
    </w:tblStylePr>
    <w:tblStylePr w:type="band1Horz">
      <w:tblPr/>
      <w:tcPr>
        <w:shd w:val="clear" w:color="auto" w:fill="C1DCF3"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AB6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AB6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AB6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AB66" w:themeFill="accent6"/>
      </w:tcPr>
    </w:tblStylePr>
    <w:tblStylePr w:type="band1Vert">
      <w:tblPr/>
      <w:tcPr>
        <w:shd w:val="clear" w:color="auto" w:fill="F9DDC1" w:themeFill="accent6" w:themeFillTint="66"/>
      </w:tcPr>
    </w:tblStylePr>
    <w:tblStylePr w:type="band1Horz">
      <w:tblPr/>
      <w:tcPr>
        <w:shd w:val="clear" w:color="auto" w:fill="F9DDC1"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559A" w:themeColor="accent1" w:themeShade="BF"/>
    </w:r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6Colorful-Accent2">
    <w:name w:val="Grid Table 6 Colorful Accent 2"/>
    <w:basedOn w:val="TableNormal"/>
    <w:uiPriority w:val="51"/>
    <w:semiHidden/>
    <w:rsid w:val="0058629F"/>
    <w:rPr>
      <w:color w:val="AF5500" w:themeColor="accent2" w:themeShade="BF"/>
    </w:rPr>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bottom w:val="single" w:sz="12" w:space="0" w:color="FFA959" w:themeColor="accent2" w:themeTint="99"/>
        </w:tcBorders>
      </w:tcPr>
    </w:tblStylePr>
    <w:tblStylePr w:type="lastRow">
      <w:rPr>
        <w:b/>
        <w:bCs/>
      </w:rPr>
      <w:tblPr/>
      <w:tcPr>
        <w:tcBorders>
          <w:top w:val="doub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2782CE" w:themeColor="accent5" w:themeShade="BF"/>
    </w:rPr>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bottom w:val="single" w:sz="12" w:space="0" w:color="A3CBED" w:themeColor="accent5" w:themeTint="99"/>
        </w:tcBorders>
      </w:tcPr>
    </w:tblStylePr>
    <w:tblStylePr w:type="lastRow">
      <w:rPr>
        <w:b/>
        <w:bCs/>
      </w:rPr>
      <w:tblPr/>
      <w:tcPr>
        <w:tcBorders>
          <w:top w:val="doub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6Colorful-Accent6">
    <w:name w:val="Grid Table 6 Colorful Accent 6"/>
    <w:basedOn w:val="TableNormal"/>
    <w:uiPriority w:val="51"/>
    <w:semiHidden/>
    <w:rsid w:val="0058629F"/>
    <w:rPr>
      <w:color w:val="EB7E16" w:themeColor="accent6" w:themeShade="BF"/>
    </w:rPr>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bottom w:val="single" w:sz="12" w:space="0" w:color="F7CCA3" w:themeColor="accent6" w:themeTint="99"/>
        </w:tcBorders>
      </w:tcPr>
    </w:tblStylePr>
    <w:tblStylePr w:type="lastRow">
      <w:rPr>
        <w:b/>
        <w:bCs/>
      </w:rPr>
      <w:tblPr/>
      <w:tcPr>
        <w:tcBorders>
          <w:top w:val="doub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559A" w:themeColor="accent1" w:themeShade="BF"/>
    </w:r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bottom w:val="single" w:sz="4" w:space="0" w:color="48ADFF" w:themeColor="accent1" w:themeTint="99"/>
        </w:tcBorders>
      </w:tcPr>
    </w:tblStylePr>
    <w:tblStylePr w:type="nwCell">
      <w:tblPr/>
      <w:tcPr>
        <w:tcBorders>
          <w:bottom w:val="single" w:sz="4" w:space="0" w:color="48ADFF" w:themeColor="accent1" w:themeTint="99"/>
        </w:tcBorders>
      </w:tcPr>
    </w:tblStylePr>
    <w:tblStylePr w:type="seCell">
      <w:tblPr/>
      <w:tcPr>
        <w:tcBorders>
          <w:top w:val="single" w:sz="4" w:space="0" w:color="48ADFF" w:themeColor="accent1" w:themeTint="99"/>
        </w:tcBorders>
      </w:tcPr>
    </w:tblStylePr>
    <w:tblStylePr w:type="swCell">
      <w:tblPr/>
      <w:tcPr>
        <w:tcBorders>
          <w:top w:val="single" w:sz="4" w:space="0" w:color="48ADFF" w:themeColor="accent1" w:themeTint="99"/>
        </w:tcBorders>
      </w:tcPr>
    </w:tblStylePr>
  </w:style>
  <w:style w:type="table" w:styleId="GridTable7Colorful-Accent2">
    <w:name w:val="Grid Table 7 Colorful Accent 2"/>
    <w:basedOn w:val="TableNormal"/>
    <w:uiPriority w:val="52"/>
    <w:semiHidden/>
    <w:rsid w:val="0058629F"/>
    <w:rPr>
      <w:color w:val="AF5500" w:themeColor="accent2" w:themeShade="BF"/>
    </w:rPr>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bottom w:val="single" w:sz="4" w:space="0" w:color="FFA959" w:themeColor="accent2" w:themeTint="99"/>
        </w:tcBorders>
      </w:tcPr>
    </w:tblStylePr>
    <w:tblStylePr w:type="nwCell">
      <w:tblPr/>
      <w:tcPr>
        <w:tcBorders>
          <w:bottom w:val="single" w:sz="4" w:space="0" w:color="FFA959" w:themeColor="accent2" w:themeTint="99"/>
        </w:tcBorders>
      </w:tcPr>
    </w:tblStylePr>
    <w:tblStylePr w:type="seCell">
      <w:tblPr/>
      <w:tcPr>
        <w:tcBorders>
          <w:top w:val="single" w:sz="4" w:space="0" w:color="FFA959" w:themeColor="accent2" w:themeTint="99"/>
        </w:tcBorders>
      </w:tcPr>
    </w:tblStylePr>
    <w:tblStylePr w:type="swCell">
      <w:tblPr/>
      <w:tcPr>
        <w:tcBorders>
          <w:top w:val="single" w:sz="4" w:space="0" w:color="FFA959"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2782CE" w:themeColor="accent5" w:themeShade="BF"/>
    </w:rPr>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bottom w:val="single" w:sz="4" w:space="0" w:color="A3CBED" w:themeColor="accent5" w:themeTint="99"/>
        </w:tcBorders>
      </w:tcPr>
    </w:tblStylePr>
    <w:tblStylePr w:type="nwCell">
      <w:tblPr/>
      <w:tcPr>
        <w:tcBorders>
          <w:bottom w:val="single" w:sz="4" w:space="0" w:color="A3CBED" w:themeColor="accent5" w:themeTint="99"/>
        </w:tcBorders>
      </w:tcPr>
    </w:tblStylePr>
    <w:tblStylePr w:type="seCell">
      <w:tblPr/>
      <w:tcPr>
        <w:tcBorders>
          <w:top w:val="single" w:sz="4" w:space="0" w:color="A3CBED" w:themeColor="accent5" w:themeTint="99"/>
        </w:tcBorders>
      </w:tcPr>
    </w:tblStylePr>
    <w:tblStylePr w:type="swCell">
      <w:tblPr/>
      <w:tcPr>
        <w:tcBorders>
          <w:top w:val="single" w:sz="4" w:space="0" w:color="A3CBED" w:themeColor="accent5" w:themeTint="99"/>
        </w:tcBorders>
      </w:tcPr>
    </w:tblStylePr>
  </w:style>
  <w:style w:type="table" w:styleId="GridTable7Colorful-Accent6">
    <w:name w:val="Grid Table 7 Colorful Accent 6"/>
    <w:basedOn w:val="TableNormal"/>
    <w:uiPriority w:val="52"/>
    <w:semiHidden/>
    <w:rsid w:val="0058629F"/>
    <w:rPr>
      <w:color w:val="EB7E16" w:themeColor="accent6" w:themeShade="BF"/>
    </w:rPr>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bottom w:val="single" w:sz="4" w:space="0" w:color="F7CCA3" w:themeColor="accent6" w:themeTint="99"/>
        </w:tcBorders>
      </w:tcPr>
    </w:tblStylePr>
    <w:tblStylePr w:type="nwCell">
      <w:tblPr/>
      <w:tcPr>
        <w:tcBorders>
          <w:bottom w:val="single" w:sz="4" w:space="0" w:color="F7CCA3" w:themeColor="accent6" w:themeTint="99"/>
        </w:tcBorders>
      </w:tcPr>
    </w:tblStylePr>
    <w:tblStylePr w:type="seCell">
      <w:tblPr/>
      <w:tcPr>
        <w:tcBorders>
          <w:top w:val="single" w:sz="4" w:space="0" w:color="F7CCA3" w:themeColor="accent6" w:themeTint="99"/>
        </w:tcBorders>
      </w:tcPr>
    </w:tblStylePr>
    <w:tblStylePr w:type="swCell">
      <w:tblPr/>
      <w:tcPr>
        <w:tcBorders>
          <w:top w:val="single" w:sz="4" w:space="0" w:color="F7CCA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insideH w:val="single" w:sz="8" w:space="0" w:color="0072CE" w:themeColor="accent1"/>
        <w:insideV w:val="single" w:sz="8" w:space="0" w:color="0072C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1"/>
          <w:left w:val="single" w:sz="8" w:space="0" w:color="0072CE" w:themeColor="accent1"/>
          <w:bottom w:val="single" w:sz="18" w:space="0" w:color="0072CE" w:themeColor="accent1"/>
          <w:right w:val="single" w:sz="8" w:space="0" w:color="0072CE" w:themeColor="accent1"/>
          <w:insideH w:val="nil"/>
          <w:insideV w:val="single" w:sz="8" w:space="0" w:color="0072C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insideH w:val="nil"/>
          <w:insideV w:val="single" w:sz="8" w:space="0" w:color="0072C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shd w:val="clear" w:color="auto" w:fill="B3DDFF" w:themeFill="accent1" w:themeFillTint="3F"/>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insideV w:val="single" w:sz="8" w:space="0" w:color="0072CE" w:themeColor="accent1"/>
        </w:tcBorders>
        <w:shd w:val="clear" w:color="auto" w:fill="B3DDFF" w:themeFill="accent1" w:themeFillTint="3F"/>
      </w:tcPr>
    </w:tblStylePr>
    <w:tblStylePr w:type="band2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insideV w:val="single" w:sz="8" w:space="0" w:color="0072CE"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insideH w:val="single" w:sz="8" w:space="0" w:color="EA7200" w:themeColor="accent2"/>
        <w:insideV w:val="single" w:sz="8" w:space="0" w:color="EA72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200" w:themeColor="accent2"/>
          <w:left w:val="single" w:sz="8" w:space="0" w:color="EA7200" w:themeColor="accent2"/>
          <w:bottom w:val="single" w:sz="18" w:space="0" w:color="EA7200" w:themeColor="accent2"/>
          <w:right w:val="single" w:sz="8" w:space="0" w:color="EA7200" w:themeColor="accent2"/>
          <w:insideH w:val="nil"/>
          <w:insideV w:val="single" w:sz="8" w:space="0" w:color="EA72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200" w:themeColor="accent2"/>
          <w:left w:val="single" w:sz="8" w:space="0" w:color="EA7200" w:themeColor="accent2"/>
          <w:bottom w:val="single" w:sz="8" w:space="0" w:color="EA7200" w:themeColor="accent2"/>
          <w:right w:val="single" w:sz="8" w:space="0" w:color="EA7200" w:themeColor="accent2"/>
          <w:insideH w:val="nil"/>
          <w:insideV w:val="single" w:sz="8" w:space="0" w:color="EA72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tblStylePr w:type="band1Vert">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shd w:val="clear" w:color="auto" w:fill="FFDBBA" w:themeFill="accent2" w:themeFillTint="3F"/>
      </w:tcPr>
    </w:tblStylePr>
    <w:tblStylePr w:type="band1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insideV w:val="single" w:sz="8" w:space="0" w:color="EA7200" w:themeColor="accent2"/>
        </w:tcBorders>
        <w:shd w:val="clear" w:color="auto" w:fill="FFDBBA" w:themeFill="accent2" w:themeFillTint="3F"/>
      </w:tcPr>
    </w:tblStylePr>
    <w:tblStylePr w:type="band2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insideV w:val="single" w:sz="8" w:space="0" w:color="EA7200"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insideH w:val="single" w:sz="8" w:space="0" w:color="66AAE2" w:themeColor="accent5"/>
        <w:insideV w:val="single" w:sz="8" w:space="0" w:color="66AAE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AAE2" w:themeColor="accent5"/>
          <w:left w:val="single" w:sz="8" w:space="0" w:color="66AAE2" w:themeColor="accent5"/>
          <w:bottom w:val="single" w:sz="18" w:space="0" w:color="66AAE2" w:themeColor="accent5"/>
          <w:right w:val="single" w:sz="8" w:space="0" w:color="66AAE2" w:themeColor="accent5"/>
          <w:insideH w:val="nil"/>
          <w:insideV w:val="single" w:sz="8" w:space="0" w:color="66AAE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AAE2" w:themeColor="accent5"/>
          <w:left w:val="single" w:sz="8" w:space="0" w:color="66AAE2" w:themeColor="accent5"/>
          <w:bottom w:val="single" w:sz="8" w:space="0" w:color="66AAE2" w:themeColor="accent5"/>
          <w:right w:val="single" w:sz="8" w:space="0" w:color="66AAE2" w:themeColor="accent5"/>
          <w:insideH w:val="nil"/>
          <w:insideV w:val="single" w:sz="8" w:space="0" w:color="66AAE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tblStylePr w:type="band1Vert">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shd w:val="clear" w:color="auto" w:fill="D9E9F7" w:themeFill="accent5" w:themeFillTint="3F"/>
      </w:tcPr>
    </w:tblStylePr>
    <w:tblStylePr w:type="band1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insideV w:val="single" w:sz="8" w:space="0" w:color="66AAE2" w:themeColor="accent5"/>
        </w:tcBorders>
        <w:shd w:val="clear" w:color="auto" w:fill="D9E9F7" w:themeFill="accent5" w:themeFillTint="3F"/>
      </w:tcPr>
    </w:tblStylePr>
    <w:tblStylePr w:type="band2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insideV w:val="single" w:sz="8" w:space="0" w:color="66AAE2"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insideH w:val="single" w:sz="8" w:space="0" w:color="F2AB66" w:themeColor="accent6"/>
        <w:insideV w:val="single" w:sz="8" w:space="0" w:color="F2AB6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AB66" w:themeColor="accent6"/>
          <w:left w:val="single" w:sz="8" w:space="0" w:color="F2AB66" w:themeColor="accent6"/>
          <w:bottom w:val="single" w:sz="18" w:space="0" w:color="F2AB66" w:themeColor="accent6"/>
          <w:right w:val="single" w:sz="8" w:space="0" w:color="F2AB66" w:themeColor="accent6"/>
          <w:insideH w:val="nil"/>
          <w:insideV w:val="single" w:sz="8" w:space="0" w:color="F2AB6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AB66" w:themeColor="accent6"/>
          <w:left w:val="single" w:sz="8" w:space="0" w:color="F2AB66" w:themeColor="accent6"/>
          <w:bottom w:val="single" w:sz="8" w:space="0" w:color="F2AB66" w:themeColor="accent6"/>
          <w:right w:val="single" w:sz="8" w:space="0" w:color="F2AB66" w:themeColor="accent6"/>
          <w:insideH w:val="nil"/>
          <w:insideV w:val="single" w:sz="8" w:space="0" w:color="F2AB6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tblStylePr w:type="band1Vert">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shd w:val="clear" w:color="auto" w:fill="FBE9D8" w:themeFill="accent6" w:themeFillTint="3F"/>
      </w:tcPr>
    </w:tblStylePr>
    <w:tblStylePr w:type="band1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insideV w:val="single" w:sz="8" w:space="0" w:color="F2AB66" w:themeColor="accent6"/>
        </w:tcBorders>
        <w:shd w:val="clear" w:color="auto" w:fill="FBE9D8" w:themeFill="accent6" w:themeFillTint="3F"/>
      </w:tcPr>
    </w:tblStylePr>
    <w:tblStylePr w:type="band2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insideV w:val="single" w:sz="8" w:space="0" w:color="F2AB66"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tblBorders>
    </w:tblPr>
    <w:tblStylePr w:type="firstRow">
      <w:pPr>
        <w:spacing w:before="0" w:after="0" w:line="240" w:lineRule="auto"/>
      </w:pPr>
      <w:rPr>
        <w:b/>
        <w:bCs/>
        <w:color w:val="FFFFFF" w:themeColor="background1"/>
      </w:rPr>
      <w:tblPr/>
      <w:tcPr>
        <w:shd w:val="clear" w:color="auto" w:fill="EA7200" w:themeFill="accent2"/>
      </w:tcPr>
    </w:tblStylePr>
    <w:tblStylePr w:type="lastRow">
      <w:pPr>
        <w:spacing w:before="0" w:after="0" w:line="240" w:lineRule="auto"/>
      </w:pPr>
      <w:rPr>
        <w:b/>
        <w:bCs/>
      </w:rPr>
      <w:tblPr/>
      <w:tcPr>
        <w:tcBorders>
          <w:top w:val="double" w:sz="6" w:space="0" w:color="EA7200" w:themeColor="accent2"/>
          <w:left w:val="single" w:sz="8" w:space="0" w:color="EA7200" w:themeColor="accent2"/>
          <w:bottom w:val="single" w:sz="8" w:space="0" w:color="EA7200" w:themeColor="accent2"/>
          <w:right w:val="single" w:sz="8" w:space="0" w:color="EA7200" w:themeColor="accent2"/>
        </w:tcBorders>
      </w:tcPr>
    </w:tblStylePr>
    <w:tblStylePr w:type="firstCol">
      <w:rPr>
        <w:b/>
        <w:bCs/>
      </w:rPr>
    </w:tblStylePr>
    <w:tblStylePr w:type="lastCol">
      <w:rPr>
        <w:b/>
        <w:bCs/>
      </w:rPr>
    </w:tblStylePr>
    <w:tblStylePr w:type="band1Vert">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tblStylePr w:type="band1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tblBorders>
    </w:tblPr>
    <w:tblStylePr w:type="firstRow">
      <w:pPr>
        <w:spacing w:before="0" w:after="0" w:line="240" w:lineRule="auto"/>
      </w:pPr>
      <w:rPr>
        <w:b/>
        <w:bCs/>
        <w:color w:val="FFFFFF" w:themeColor="background1"/>
      </w:rPr>
      <w:tblPr/>
      <w:tcPr>
        <w:shd w:val="clear" w:color="auto" w:fill="66AAE2" w:themeFill="accent5"/>
      </w:tcPr>
    </w:tblStylePr>
    <w:tblStylePr w:type="lastRow">
      <w:pPr>
        <w:spacing w:before="0" w:after="0" w:line="240" w:lineRule="auto"/>
      </w:pPr>
      <w:rPr>
        <w:b/>
        <w:bCs/>
      </w:rPr>
      <w:tblPr/>
      <w:tcPr>
        <w:tcBorders>
          <w:top w:val="double" w:sz="6" w:space="0" w:color="66AAE2" w:themeColor="accent5"/>
          <w:left w:val="single" w:sz="8" w:space="0" w:color="66AAE2" w:themeColor="accent5"/>
          <w:bottom w:val="single" w:sz="8" w:space="0" w:color="66AAE2" w:themeColor="accent5"/>
          <w:right w:val="single" w:sz="8" w:space="0" w:color="66AAE2" w:themeColor="accent5"/>
        </w:tcBorders>
      </w:tcPr>
    </w:tblStylePr>
    <w:tblStylePr w:type="firstCol">
      <w:rPr>
        <w:b/>
        <w:bCs/>
      </w:rPr>
    </w:tblStylePr>
    <w:tblStylePr w:type="lastCol">
      <w:rPr>
        <w:b/>
        <w:bCs/>
      </w:rPr>
    </w:tblStylePr>
    <w:tblStylePr w:type="band1Vert">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tblStylePr w:type="band1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tblBorders>
    </w:tblPr>
    <w:tblStylePr w:type="firstRow">
      <w:pPr>
        <w:spacing w:before="0" w:after="0" w:line="240" w:lineRule="auto"/>
      </w:pPr>
      <w:rPr>
        <w:b/>
        <w:bCs/>
        <w:color w:val="FFFFFF" w:themeColor="background1"/>
      </w:rPr>
      <w:tblPr/>
      <w:tcPr>
        <w:shd w:val="clear" w:color="auto" w:fill="F2AB66" w:themeFill="accent6"/>
      </w:tcPr>
    </w:tblStylePr>
    <w:tblStylePr w:type="lastRow">
      <w:pPr>
        <w:spacing w:before="0" w:after="0" w:line="240" w:lineRule="auto"/>
      </w:pPr>
      <w:rPr>
        <w:b/>
        <w:bCs/>
      </w:rPr>
      <w:tblPr/>
      <w:tcPr>
        <w:tcBorders>
          <w:top w:val="double" w:sz="6" w:space="0" w:color="F2AB66" w:themeColor="accent6"/>
          <w:left w:val="single" w:sz="8" w:space="0" w:color="F2AB66" w:themeColor="accent6"/>
          <w:bottom w:val="single" w:sz="8" w:space="0" w:color="F2AB66" w:themeColor="accent6"/>
          <w:right w:val="single" w:sz="8" w:space="0" w:color="F2AB66" w:themeColor="accent6"/>
        </w:tcBorders>
      </w:tcPr>
    </w:tblStylePr>
    <w:tblStylePr w:type="firstCol">
      <w:rPr>
        <w:b/>
        <w:bCs/>
      </w:rPr>
    </w:tblStylePr>
    <w:tblStylePr w:type="lastCol">
      <w:rPr>
        <w:b/>
        <w:bCs/>
      </w:rPr>
    </w:tblStylePr>
    <w:tblStylePr w:type="band1Vert">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tblStylePr w:type="band1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style>
  <w:style w:type="table" w:styleId="LightShading">
    <w:name w:val="Light Shading"/>
    <w:basedOn w:val="TableNormal"/>
    <w:uiPriority w:val="60"/>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559A" w:themeColor="accent1" w:themeShade="BF"/>
    </w:rPr>
    <w:tblPr>
      <w:tblStyleRowBandSize w:val="1"/>
      <w:tblStyleColBandSize w:val="1"/>
      <w:tblBorders>
        <w:top w:val="single" w:sz="8" w:space="0" w:color="0072CE" w:themeColor="accent1"/>
        <w:bottom w:val="single" w:sz="8" w:space="0" w:color="0072CE" w:themeColor="accent1"/>
      </w:tblBorders>
    </w:tblPr>
    <w:tblStylePr w:type="firstRow">
      <w:pPr>
        <w:spacing w:before="0" w:after="0" w:line="240" w:lineRule="auto"/>
      </w:pPr>
      <w:rPr>
        <w:b/>
        <w:bCs/>
      </w:rPr>
      <w:tblPr/>
      <w:tcPr>
        <w:tcBorders>
          <w:top w:val="single" w:sz="8" w:space="0" w:color="0072CE" w:themeColor="accent1"/>
          <w:left w:val="nil"/>
          <w:bottom w:val="single" w:sz="8" w:space="0" w:color="0072CE" w:themeColor="accent1"/>
          <w:right w:val="nil"/>
          <w:insideH w:val="nil"/>
          <w:insideV w:val="nil"/>
        </w:tcBorders>
      </w:tcPr>
    </w:tblStylePr>
    <w:tblStylePr w:type="lastRow">
      <w:pPr>
        <w:spacing w:before="0" w:after="0" w:line="240" w:lineRule="auto"/>
      </w:pPr>
      <w:rPr>
        <w:b/>
        <w:bCs/>
      </w:rPr>
      <w:tblPr/>
      <w:tcPr>
        <w:tcBorders>
          <w:top w:val="single" w:sz="8" w:space="0" w:color="0072CE" w:themeColor="accent1"/>
          <w:left w:val="nil"/>
          <w:bottom w:val="single" w:sz="8" w:space="0" w:color="0072C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1" w:themeFillTint="3F"/>
      </w:tcPr>
    </w:tblStylePr>
    <w:tblStylePr w:type="band1Horz">
      <w:tblPr/>
      <w:tcPr>
        <w:tcBorders>
          <w:left w:val="nil"/>
          <w:right w:val="nil"/>
          <w:insideH w:val="nil"/>
          <w:insideV w:val="nil"/>
        </w:tcBorders>
        <w:shd w:val="clear" w:color="auto" w:fill="B3DDFF" w:themeFill="accent1" w:themeFillTint="3F"/>
      </w:tcPr>
    </w:tblStylePr>
  </w:style>
  <w:style w:type="table" w:styleId="LightShading-Accent2">
    <w:name w:val="Light Shading Accent 2"/>
    <w:basedOn w:val="TableNormal"/>
    <w:uiPriority w:val="60"/>
    <w:semiHidden/>
    <w:rsid w:val="0058629F"/>
    <w:rPr>
      <w:color w:val="AF5500" w:themeColor="accent2" w:themeShade="BF"/>
    </w:rPr>
    <w:tblPr>
      <w:tblStyleRowBandSize w:val="1"/>
      <w:tblStyleColBandSize w:val="1"/>
      <w:tblBorders>
        <w:top w:val="single" w:sz="8" w:space="0" w:color="EA7200" w:themeColor="accent2"/>
        <w:bottom w:val="single" w:sz="8" w:space="0" w:color="EA7200" w:themeColor="accent2"/>
      </w:tblBorders>
    </w:tblPr>
    <w:tblStylePr w:type="firstRow">
      <w:pPr>
        <w:spacing w:before="0" w:after="0" w:line="240" w:lineRule="auto"/>
      </w:pPr>
      <w:rPr>
        <w:b/>
        <w:bCs/>
      </w:rPr>
      <w:tblPr/>
      <w:tcPr>
        <w:tcBorders>
          <w:top w:val="single" w:sz="8" w:space="0" w:color="EA7200" w:themeColor="accent2"/>
          <w:left w:val="nil"/>
          <w:bottom w:val="single" w:sz="8" w:space="0" w:color="EA7200" w:themeColor="accent2"/>
          <w:right w:val="nil"/>
          <w:insideH w:val="nil"/>
          <w:insideV w:val="nil"/>
        </w:tcBorders>
      </w:tcPr>
    </w:tblStylePr>
    <w:tblStylePr w:type="lastRow">
      <w:pPr>
        <w:spacing w:before="0" w:after="0" w:line="240" w:lineRule="auto"/>
      </w:pPr>
      <w:rPr>
        <w:b/>
        <w:bCs/>
      </w:rPr>
      <w:tblPr/>
      <w:tcPr>
        <w:tcBorders>
          <w:top w:val="single" w:sz="8" w:space="0" w:color="EA7200" w:themeColor="accent2"/>
          <w:left w:val="nil"/>
          <w:bottom w:val="single" w:sz="8" w:space="0" w:color="EA72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A" w:themeFill="accent2" w:themeFillTint="3F"/>
      </w:tcPr>
    </w:tblStylePr>
    <w:tblStylePr w:type="band1Horz">
      <w:tblPr/>
      <w:tcPr>
        <w:tcBorders>
          <w:left w:val="nil"/>
          <w:right w:val="nil"/>
          <w:insideH w:val="nil"/>
          <w:insideV w:val="nil"/>
        </w:tcBorders>
        <w:shd w:val="clear" w:color="auto" w:fill="FFDBBA"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2782CE" w:themeColor="accent5" w:themeShade="BF"/>
    </w:rPr>
    <w:tblPr>
      <w:tblStyleRowBandSize w:val="1"/>
      <w:tblStyleColBandSize w:val="1"/>
      <w:tblBorders>
        <w:top w:val="single" w:sz="8" w:space="0" w:color="66AAE2" w:themeColor="accent5"/>
        <w:bottom w:val="single" w:sz="8" w:space="0" w:color="66AAE2" w:themeColor="accent5"/>
      </w:tblBorders>
    </w:tblPr>
    <w:tblStylePr w:type="firstRow">
      <w:pPr>
        <w:spacing w:before="0" w:after="0" w:line="240" w:lineRule="auto"/>
      </w:pPr>
      <w:rPr>
        <w:b/>
        <w:bCs/>
      </w:rPr>
      <w:tblPr/>
      <w:tcPr>
        <w:tcBorders>
          <w:top w:val="single" w:sz="8" w:space="0" w:color="66AAE2" w:themeColor="accent5"/>
          <w:left w:val="nil"/>
          <w:bottom w:val="single" w:sz="8" w:space="0" w:color="66AAE2" w:themeColor="accent5"/>
          <w:right w:val="nil"/>
          <w:insideH w:val="nil"/>
          <w:insideV w:val="nil"/>
        </w:tcBorders>
      </w:tcPr>
    </w:tblStylePr>
    <w:tblStylePr w:type="lastRow">
      <w:pPr>
        <w:spacing w:before="0" w:after="0" w:line="240" w:lineRule="auto"/>
      </w:pPr>
      <w:rPr>
        <w:b/>
        <w:bCs/>
      </w:rPr>
      <w:tblPr/>
      <w:tcPr>
        <w:tcBorders>
          <w:top w:val="single" w:sz="8" w:space="0" w:color="66AAE2" w:themeColor="accent5"/>
          <w:left w:val="nil"/>
          <w:bottom w:val="single" w:sz="8" w:space="0" w:color="66AAE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9F7" w:themeFill="accent5" w:themeFillTint="3F"/>
      </w:tcPr>
    </w:tblStylePr>
    <w:tblStylePr w:type="band1Horz">
      <w:tblPr/>
      <w:tcPr>
        <w:tcBorders>
          <w:left w:val="nil"/>
          <w:right w:val="nil"/>
          <w:insideH w:val="nil"/>
          <w:insideV w:val="nil"/>
        </w:tcBorders>
        <w:shd w:val="clear" w:color="auto" w:fill="D9E9F7" w:themeFill="accent5" w:themeFillTint="3F"/>
      </w:tcPr>
    </w:tblStylePr>
  </w:style>
  <w:style w:type="table" w:styleId="LightShading-Accent6">
    <w:name w:val="Light Shading Accent 6"/>
    <w:basedOn w:val="TableNormal"/>
    <w:uiPriority w:val="60"/>
    <w:semiHidden/>
    <w:rsid w:val="0058629F"/>
    <w:rPr>
      <w:color w:val="EB7E16" w:themeColor="accent6" w:themeShade="BF"/>
    </w:rPr>
    <w:tblPr>
      <w:tblStyleRowBandSize w:val="1"/>
      <w:tblStyleColBandSize w:val="1"/>
      <w:tblBorders>
        <w:top w:val="single" w:sz="8" w:space="0" w:color="F2AB66" w:themeColor="accent6"/>
        <w:bottom w:val="single" w:sz="8" w:space="0" w:color="F2AB66" w:themeColor="accent6"/>
      </w:tblBorders>
    </w:tblPr>
    <w:tblStylePr w:type="firstRow">
      <w:pPr>
        <w:spacing w:before="0" w:after="0" w:line="240" w:lineRule="auto"/>
      </w:pPr>
      <w:rPr>
        <w:b/>
        <w:bCs/>
      </w:rPr>
      <w:tblPr/>
      <w:tcPr>
        <w:tcBorders>
          <w:top w:val="single" w:sz="8" w:space="0" w:color="F2AB66" w:themeColor="accent6"/>
          <w:left w:val="nil"/>
          <w:bottom w:val="single" w:sz="8" w:space="0" w:color="F2AB66" w:themeColor="accent6"/>
          <w:right w:val="nil"/>
          <w:insideH w:val="nil"/>
          <w:insideV w:val="nil"/>
        </w:tcBorders>
      </w:tcPr>
    </w:tblStylePr>
    <w:tblStylePr w:type="lastRow">
      <w:pPr>
        <w:spacing w:before="0" w:after="0" w:line="240" w:lineRule="auto"/>
      </w:pPr>
      <w:rPr>
        <w:b/>
        <w:bCs/>
      </w:rPr>
      <w:tblPr/>
      <w:tcPr>
        <w:tcBorders>
          <w:top w:val="single" w:sz="8" w:space="0" w:color="F2AB66" w:themeColor="accent6"/>
          <w:left w:val="nil"/>
          <w:bottom w:val="single" w:sz="8" w:space="0" w:color="F2AB6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9D8" w:themeFill="accent6" w:themeFillTint="3F"/>
      </w:tcPr>
    </w:tblStylePr>
    <w:tblStylePr w:type="band1Horz">
      <w:tblPr/>
      <w:tcPr>
        <w:tcBorders>
          <w:left w:val="nil"/>
          <w:right w:val="nil"/>
          <w:insideH w:val="nil"/>
          <w:insideV w:val="nil"/>
        </w:tcBorders>
        <w:shd w:val="clear" w:color="auto" w:fill="FBE9D8"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48ADFF" w:themeColor="accent1" w:themeTint="99"/>
        </w:tcBorders>
      </w:tcPr>
    </w:tblStylePr>
    <w:tblStylePr w:type="lastRow">
      <w:rPr>
        <w:b/>
        <w:bCs/>
      </w:rPr>
      <w:tblPr/>
      <w:tcPr>
        <w:tcBorders>
          <w:top w:val="sing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FFA959" w:themeColor="accent2" w:themeTint="99"/>
        </w:tcBorders>
      </w:tcPr>
    </w:tblStylePr>
    <w:tblStylePr w:type="lastRow">
      <w:rPr>
        <w:b/>
        <w:bCs/>
      </w:rPr>
      <w:tblPr/>
      <w:tcPr>
        <w:tcBorders>
          <w:top w:val="sing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CBED" w:themeColor="accent5" w:themeTint="99"/>
        </w:tcBorders>
      </w:tcPr>
    </w:tblStylePr>
    <w:tblStylePr w:type="lastRow">
      <w:rPr>
        <w:b/>
        <w:bCs/>
      </w:rPr>
      <w:tblPr/>
      <w:tcPr>
        <w:tcBorders>
          <w:top w:val="sing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F7CCA3" w:themeColor="accent6" w:themeTint="99"/>
        </w:tcBorders>
      </w:tcPr>
    </w:tblStylePr>
    <w:tblStylePr w:type="lastRow">
      <w:rPr>
        <w:b/>
        <w:bCs/>
      </w:rPr>
      <w:tblPr/>
      <w:tcPr>
        <w:tcBorders>
          <w:top w:val="sing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48ADFF" w:themeColor="accent1" w:themeTint="99"/>
        <w:bottom w:val="single" w:sz="4" w:space="0" w:color="48ADFF" w:themeColor="accent1" w:themeTint="99"/>
        <w:insideH w:val="single" w:sz="4" w:space="0" w:color="48A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FFA959" w:themeColor="accent2" w:themeTint="99"/>
        <w:bottom w:val="single" w:sz="4" w:space="0" w:color="FFA959" w:themeColor="accent2" w:themeTint="99"/>
        <w:insideH w:val="single" w:sz="4" w:space="0" w:color="FFA95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CBED" w:themeColor="accent5" w:themeTint="99"/>
        <w:bottom w:val="single" w:sz="4" w:space="0" w:color="A3CBED" w:themeColor="accent5" w:themeTint="99"/>
        <w:insideH w:val="single" w:sz="4" w:space="0" w:color="A3CBE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F7CCA3" w:themeColor="accent6" w:themeTint="99"/>
        <w:bottom w:val="single" w:sz="4" w:space="0" w:color="F7CCA3" w:themeColor="accent6" w:themeTint="99"/>
        <w:insideH w:val="single" w:sz="4" w:space="0" w:color="F7CCA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EA7200" w:themeColor="accent2"/>
        <w:left w:val="single" w:sz="4" w:space="0" w:color="EA7200" w:themeColor="accent2"/>
        <w:bottom w:val="single" w:sz="4" w:space="0" w:color="EA7200" w:themeColor="accent2"/>
        <w:right w:val="single" w:sz="4" w:space="0" w:color="EA7200" w:themeColor="accent2"/>
      </w:tblBorders>
    </w:tblPr>
    <w:tblStylePr w:type="firstRow">
      <w:rPr>
        <w:b/>
        <w:bCs/>
        <w:color w:val="FFFFFF" w:themeColor="background1"/>
      </w:rPr>
      <w:tblPr/>
      <w:tcPr>
        <w:shd w:val="clear" w:color="auto" w:fill="EA7200" w:themeFill="accent2"/>
      </w:tcPr>
    </w:tblStylePr>
    <w:tblStylePr w:type="lastRow">
      <w:rPr>
        <w:b/>
        <w:bCs/>
      </w:rPr>
      <w:tblPr/>
      <w:tcPr>
        <w:tcBorders>
          <w:top w:val="double" w:sz="4" w:space="0" w:color="EA72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200" w:themeColor="accent2"/>
          <w:right w:val="single" w:sz="4" w:space="0" w:color="EA7200" w:themeColor="accent2"/>
        </w:tcBorders>
      </w:tcPr>
    </w:tblStylePr>
    <w:tblStylePr w:type="band1Horz">
      <w:tblPr/>
      <w:tcPr>
        <w:tcBorders>
          <w:top w:val="single" w:sz="4" w:space="0" w:color="EA7200" w:themeColor="accent2"/>
          <w:bottom w:val="single" w:sz="4" w:space="0" w:color="EA72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200" w:themeColor="accent2"/>
          <w:left w:val="nil"/>
        </w:tcBorders>
      </w:tcPr>
    </w:tblStylePr>
    <w:tblStylePr w:type="swCell">
      <w:tblPr/>
      <w:tcPr>
        <w:tcBorders>
          <w:top w:val="double" w:sz="4" w:space="0" w:color="EA7200"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AAE2" w:themeColor="accent5"/>
        <w:left w:val="single" w:sz="4" w:space="0" w:color="66AAE2" w:themeColor="accent5"/>
        <w:bottom w:val="single" w:sz="4" w:space="0" w:color="66AAE2" w:themeColor="accent5"/>
        <w:right w:val="single" w:sz="4" w:space="0" w:color="66AAE2" w:themeColor="accent5"/>
      </w:tblBorders>
    </w:tblPr>
    <w:tblStylePr w:type="firstRow">
      <w:rPr>
        <w:b/>
        <w:bCs/>
        <w:color w:val="FFFFFF" w:themeColor="background1"/>
      </w:rPr>
      <w:tblPr/>
      <w:tcPr>
        <w:shd w:val="clear" w:color="auto" w:fill="66AAE2" w:themeFill="accent5"/>
      </w:tcPr>
    </w:tblStylePr>
    <w:tblStylePr w:type="lastRow">
      <w:rPr>
        <w:b/>
        <w:bCs/>
      </w:rPr>
      <w:tblPr/>
      <w:tcPr>
        <w:tcBorders>
          <w:top w:val="double" w:sz="4" w:space="0" w:color="66AAE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AAE2" w:themeColor="accent5"/>
          <w:right w:val="single" w:sz="4" w:space="0" w:color="66AAE2" w:themeColor="accent5"/>
        </w:tcBorders>
      </w:tcPr>
    </w:tblStylePr>
    <w:tblStylePr w:type="band1Horz">
      <w:tblPr/>
      <w:tcPr>
        <w:tcBorders>
          <w:top w:val="single" w:sz="4" w:space="0" w:color="66AAE2" w:themeColor="accent5"/>
          <w:bottom w:val="single" w:sz="4" w:space="0" w:color="66AAE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AAE2" w:themeColor="accent5"/>
          <w:left w:val="nil"/>
        </w:tcBorders>
      </w:tcPr>
    </w:tblStylePr>
    <w:tblStylePr w:type="swCell">
      <w:tblPr/>
      <w:tcPr>
        <w:tcBorders>
          <w:top w:val="double" w:sz="4" w:space="0" w:color="66AAE2"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F2AB66" w:themeColor="accent6"/>
        <w:left w:val="single" w:sz="4" w:space="0" w:color="F2AB66" w:themeColor="accent6"/>
        <w:bottom w:val="single" w:sz="4" w:space="0" w:color="F2AB66" w:themeColor="accent6"/>
        <w:right w:val="single" w:sz="4" w:space="0" w:color="F2AB66" w:themeColor="accent6"/>
      </w:tblBorders>
    </w:tblPr>
    <w:tblStylePr w:type="firstRow">
      <w:rPr>
        <w:b/>
        <w:bCs/>
        <w:color w:val="FFFFFF" w:themeColor="background1"/>
      </w:rPr>
      <w:tblPr/>
      <w:tcPr>
        <w:shd w:val="clear" w:color="auto" w:fill="F2AB66" w:themeFill="accent6"/>
      </w:tcPr>
    </w:tblStylePr>
    <w:tblStylePr w:type="lastRow">
      <w:rPr>
        <w:b/>
        <w:bCs/>
      </w:rPr>
      <w:tblPr/>
      <w:tcPr>
        <w:tcBorders>
          <w:top w:val="double" w:sz="4" w:space="0" w:color="F2AB6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AB66" w:themeColor="accent6"/>
          <w:right w:val="single" w:sz="4" w:space="0" w:color="F2AB66" w:themeColor="accent6"/>
        </w:tcBorders>
      </w:tcPr>
    </w:tblStylePr>
    <w:tblStylePr w:type="band1Horz">
      <w:tblPr/>
      <w:tcPr>
        <w:tcBorders>
          <w:top w:val="single" w:sz="4" w:space="0" w:color="F2AB66" w:themeColor="accent6"/>
          <w:bottom w:val="single" w:sz="4" w:space="0" w:color="F2AB6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AB66" w:themeColor="accent6"/>
          <w:left w:val="nil"/>
        </w:tcBorders>
      </w:tcPr>
    </w:tblStylePr>
    <w:tblStylePr w:type="swCell">
      <w:tblPr/>
      <w:tcPr>
        <w:tcBorders>
          <w:top w:val="double" w:sz="4" w:space="0" w:color="F2AB66"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tcBorders>
        <w:shd w:val="clear" w:color="auto" w:fill="0072CE" w:themeFill="accent1"/>
      </w:tcPr>
    </w:tblStylePr>
    <w:tblStylePr w:type="lastRow">
      <w:rPr>
        <w:b/>
        <w:bCs/>
      </w:rPr>
      <w:tblPr/>
      <w:tcPr>
        <w:tcBorders>
          <w:top w:val="doub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tblBorders>
    </w:tblPr>
    <w:tblStylePr w:type="firstRow">
      <w:rPr>
        <w:b/>
        <w:bCs/>
        <w:color w:val="FFFFFF" w:themeColor="background1"/>
      </w:rPr>
      <w:tblPr/>
      <w:tcPr>
        <w:tcBorders>
          <w:top w:val="single" w:sz="4" w:space="0" w:color="EA7200" w:themeColor="accent2"/>
          <w:left w:val="single" w:sz="4" w:space="0" w:color="EA7200" w:themeColor="accent2"/>
          <w:bottom w:val="single" w:sz="4" w:space="0" w:color="EA7200" w:themeColor="accent2"/>
          <w:right w:val="single" w:sz="4" w:space="0" w:color="EA7200" w:themeColor="accent2"/>
          <w:insideH w:val="nil"/>
        </w:tcBorders>
        <w:shd w:val="clear" w:color="auto" w:fill="EA7200" w:themeFill="accent2"/>
      </w:tcPr>
    </w:tblStylePr>
    <w:tblStylePr w:type="lastRow">
      <w:rPr>
        <w:b/>
        <w:bCs/>
      </w:rPr>
      <w:tblPr/>
      <w:tcPr>
        <w:tcBorders>
          <w:top w:val="doub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tblBorders>
    </w:tblPr>
    <w:tblStylePr w:type="firstRow">
      <w:rPr>
        <w:b/>
        <w:bCs/>
        <w:color w:val="FFFFFF" w:themeColor="background1"/>
      </w:rPr>
      <w:tblPr/>
      <w:tcPr>
        <w:tcBorders>
          <w:top w:val="single" w:sz="4" w:space="0" w:color="66AAE2" w:themeColor="accent5"/>
          <w:left w:val="single" w:sz="4" w:space="0" w:color="66AAE2" w:themeColor="accent5"/>
          <w:bottom w:val="single" w:sz="4" w:space="0" w:color="66AAE2" w:themeColor="accent5"/>
          <w:right w:val="single" w:sz="4" w:space="0" w:color="66AAE2" w:themeColor="accent5"/>
          <w:insideH w:val="nil"/>
        </w:tcBorders>
        <w:shd w:val="clear" w:color="auto" w:fill="66AAE2" w:themeFill="accent5"/>
      </w:tcPr>
    </w:tblStylePr>
    <w:tblStylePr w:type="lastRow">
      <w:rPr>
        <w:b/>
        <w:bCs/>
      </w:rPr>
      <w:tblPr/>
      <w:tcPr>
        <w:tcBorders>
          <w:top w:val="doub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tblBorders>
    </w:tblPr>
    <w:tblStylePr w:type="firstRow">
      <w:rPr>
        <w:b/>
        <w:bCs/>
        <w:color w:val="FFFFFF" w:themeColor="background1"/>
      </w:rPr>
      <w:tblPr/>
      <w:tcPr>
        <w:tcBorders>
          <w:top w:val="single" w:sz="4" w:space="0" w:color="F2AB66" w:themeColor="accent6"/>
          <w:left w:val="single" w:sz="4" w:space="0" w:color="F2AB66" w:themeColor="accent6"/>
          <w:bottom w:val="single" w:sz="4" w:space="0" w:color="F2AB66" w:themeColor="accent6"/>
          <w:right w:val="single" w:sz="4" w:space="0" w:color="F2AB66" w:themeColor="accent6"/>
          <w:insideH w:val="nil"/>
        </w:tcBorders>
        <w:shd w:val="clear" w:color="auto" w:fill="F2AB66" w:themeFill="accent6"/>
      </w:tcPr>
    </w:tblStylePr>
    <w:tblStylePr w:type="lastRow">
      <w:rPr>
        <w:b/>
        <w:bCs/>
      </w:rPr>
      <w:tblPr/>
      <w:tcPr>
        <w:tcBorders>
          <w:top w:val="doub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72CE" w:themeColor="accent1"/>
        <w:left w:val="single" w:sz="24" w:space="0" w:color="0072CE" w:themeColor="accent1"/>
        <w:bottom w:val="single" w:sz="24" w:space="0" w:color="0072CE" w:themeColor="accent1"/>
        <w:right w:val="single" w:sz="24" w:space="0" w:color="0072CE" w:themeColor="accent1"/>
      </w:tblBorders>
    </w:tblPr>
    <w:tcPr>
      <w:shd w:val="clear" w:color="auto" w:fill="0072C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EA7200" w:themeColor="accent2"/>
        <w:left w:val="single" w:sz="24" w:space="0" w:color="EA7200" w:themeColor="accent2"/>
        <w:bottom w:val="single" w:sz="24" w:space="0" w:color="EA7200" w:themeColor="accent2"/>
        <w:right w:val="single" w:sz="24" w:space="0" w:color="EA7200" w:themeColor="accent2"/>
      </w:tblBorders>
    </w:tblPr>
    <w:tcPr>
      <w:shd w:val="clear" w:color="auto" w:fill="EA72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AAE2" w:themeColor="accent5"/>
        <w:left w:val="single" w:sz="24" w:space="0" w:color="66AAE2" w:themeColor="accent5"/>
        <w:bottom w:val="single" w:sz="24" w:space="0" w:color="66AAE2" w:themeColor="accent5"/>
        <w:right w:val="single" w:sz="24" w:space="0" w:color="66AAE2" w:themeColor="accent5"/>
      </w:tblBorders>
    </w:tblPr>
    <w:tcPr>
      <w:shd w:val="clear" w:color="auto" w:fill="66AAE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F2AB66" w:themeColor="accent6"/>
        <w:left w:val="single" w:sz="24" w:space="0" w:color="F2AB66" w:themeColor="accent6"/>
        <w:bottom w:val="single" w:sz="24" w:space="0" w:color="F2AB66" w:themeColor="accent6"/>
        <w:right w:val="single" w:sz="24" w:space="0" w:color="F2AB66" w:themeColor="accent6"/>
      </w:tblBorders>
    </w:tblPr>
    <w:tcPr>
      <w:shd w:val="clear" w:color="auto" w:fill="F2AB6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559A" w:themeColor="accent1" w:themeShade="BF"/>
    </w:rPr>
    <w:tblPr>
      <w:tblStyleRowBandSize w:val="1"/>
      <w:tblStyleColBandSize w:val="1"/>
      <w:tblBorders>
        <w:top w:val="single" w:sz="4" w:space="0" w:color="0072CE" w:themeColor="accent1"/>
        <w:bottom w:val="single" w:sz="4" w:space="0" w:color="0072CE" w:themeColor="accent1"/>
      </w:tblBorders>
    </w:tblPr>
    <w:tblStylePr w:type="firstRow">
      <w:rPr>
        <w:b/>
        <w:bCs/>
      </w:rPr>
      <w:tblPr/>
      <w:tcPr>
        <w:tcBorders>
          <w:bottom w:val="single" w:sz="4" w:space="0" w:color="0072CE" w:themeColor="accent1"/>
        </w:tcBorders>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6Colorful-Accent2">
    <w:name w:val="List Table 6 Colorful Accent 2"/>
    <w:basedOn w:val="TableNormal"/>
    <w:uiPriority w:val="51"/>
    <w:semiHidden/>
    <w:rsid w:val="0058629F"/>
    <w:rPr>
      <w:color w:val="AF5500" w:themeColor="accent2" w:themeShade="BF"/>
    </w:rPr>
    <w:tblPr>
      <w:tblStyleRowBandSize w:val="1"/>
      <w:tblStyleColBandSize w:val="1"/>
      <w:tblBorders>
        <w:top w:val="single" w:sz="4" w:space="0" w:color="EA7200" w:themeColor="accent2"/>
        <w:bottom w:val="single" w:sz="4" w:space="0" w:color="EA7200" w:themeColor="accent2"/>
      </w:tblBorders>
    </w:tblPr>
    <w:tblStylePr w:type="firstRow">
      <w:rPr>
        <w:b/>
        <w:bCs/>
      </w:rPr>
      <w:tblPr/>
      <w:tcPr>
        <w:tcBorders>
          <w:bottom w:val="single" w:sz="4" w:space="0" w:color="EA7200" w:themeColor="accent2"/>
        </w:tcBorders>
      </w:tcPr>
    </w:tblStylePr>
    <w:tblStylePr w:type="lastRow">
      <w:rPr>
        <w:b/>
        <w:bCs/>
      </w:rPr>
      <w:tblPr/>
      <w:tcPr>
        <w:tcBorders>
          <w:top w:val="double" w:sz="4" w:space="0" w:color="EA7200" w:themeColor="accent2"/>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2782CE" w:themeColor="accent5" w:themeShade="BF"/>
    </w:rPr>
    <w:tblPr>
      <w:tblStyleRowBandSize w:val="1"/>
      <w:tblStyleColBandSize w:val="1"/>
      <w:tblBorders>
        <w:top w:val="single" w:sz="4" w:space="0" w:color="66AAE2" w:themeColor="accent5"/>
        <w:bottom w:val="single" w:sz="4" w:space="0" w:color="66AAE2" w:themeColor="accent5"/>
      </w:tblBorders>
    </w:tblPr>
    <w:tblStylePr w:type="firstRow">
      <w:rPr>
        <w:b/>
        <w:bCs/>
      </w:rPr>
      <w:tblPr/>
      <w:tcPr>
        <w:tcBorders>
          <w:bottom w:val="single" w:sz="4" w:space="0" w:color="66AAE2" w:themeColor="accent5"/>
        </w:tcBorders>
      </w:tcPr>
    </w:tblStylePr>
    <w:tblStylePr w:type="lastRow">
      <w:rPr>
        <w:b/>
        <w:bCs/>
      </w:rPr>
      <w:tblPr/>
      <w:tcPr>
        <w:tcBorders>
          <w:top w:val="double" w:sz="4" w:space="0" w:color="66AAE2" w:themeColor="accent5"/>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6Colorful-Accent6">
    <w:name w:val="List Table 6 Colorful Accent 6"/>
    <w:basedOn w:val="TableNormal"/>
    <w:uiPriority w:val="51"/>
    <w:semiHidden/>
    <w:rsid w:val="0058629F"/>
    <w:rPr>
      <w:color w:val="EB7E16" w:themeColor="accent6" w:themeShade="BF"/>
    </w:rPr>
    <w:tblPr>
      <w:tblStyleRowBandSize w:val="1"/>
      <w:tblStyleColBandSize w:val="1"/>
      <w:tblBorders>
        <w:top w:val="single" w:sz="4" w:space="0" w:color="F2AB66" w:themeColor="accent6"/>
        <w:bottom w:val="single" w:sz="4" w:space="0" w:color="F2AB66" w:themeColor="accent6"/>
      </w:tblBorders>
    </w:tblPr>
    <w:tblStylePr w:type="firstRow">
      <w:rPr>
        <w:b/>
        <w:bCs/>
      </w:rPr>
      <w:tblPr/>
      <w:tcPr>
        <w:tcBorders>
          <w:bottom w:val="single" w:sz="4" w:space="0" w:color="F2AB66" w:themeColor="accent6"/>
        </w:tcBorders>
      </w:tcPr>
    </w:tblStylePr>
    <w:tblStylePr w:type="lastRow">
      <w:rPr>
        <w:b/>
        <w:bCs/>
      </w:rPr>
      <w:tblPr/>
      <w:tcPr>
        <w:tcBorders>
          <w:top w:val="double" w:sz="4" w:space="0" w:color="F2AB66" w:themeColor="accent6"/>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559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C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C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C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CE" w:themeColor="accent1"/>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AF5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2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2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2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200" w:themeColor="accent2"/>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2782C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AAE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AAE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AAE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AAE2" w:themeColor="accent5"/>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EB7E1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AB6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AB6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AB6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AB66" w:themeColor="accent6"/>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single" w:sz="8" w:space="0" w:color="1B99FF" w:themeColor="accent1" w:themeTint="BF"/>
        <w:insideV w:val="single" w:sz="8" w:space="0" w:color="1B99FF" w:themeColor="accent1" w:themeTint="BF"/>
      </w:tblBorders>
    </w:tblPr>
    <w:tcPr>
      <w:shd w:val="clear" w:color="auto" w:fill="B3DDFF" w:themeFill="accent1" w:themeFillTint="3F"/>
    </w:tcPr>
    <w:tblStylePr w:type="firstRow">
      <w:rPr>
        <w:b/>
        <w:bCs/>
      </w:rPr>
    </w:tblStylePr>
    <w:tblStylePr w:type="lastRow">
      <w:rPr>
        <w:b/>
        <w:bCs/>
      </w:rPr>
      <w:tblPr/>
      <w:tcPr>
        <w:tcBorders>
          <w:top w:val="single" w:sz="18" w:space="0" w:color="1B99FF" w:themeColor="accent1" w:themeTint="BF"/>
        </w:tcBorders>
      </w:tcPr>
    </w:tblStylePr>
    <w:tblStylePr w:type="firstCol">
      <w:rPr>
        <w:b/>
        <w:bCs/>
      </w:rPr>
    </w:tblStylePr>
    <w:tblStylePr w:type="lastCol">
      <w:rPr>
        <w:b/>
        <w:bCs/>
      </w:rPr>
    </w:tblStylePr>
    <w:tblStylePr w:type="band1Vert">
      <w:tblPr/>
      <w:tcPr>
        <w:shd w:val="clear" w:color="auto" w:fill="67BBFF" w:themeFill="accent1" w:themeFillTint="7F"/>
      </w:tcPr>
    </w:tblStylePr>
    <w:tblStylePr w:type="band1Horz">
      <w:tblPr/>
      <w:tcPr>
        <w:shd w:val="clear" w:color="auto" w:fill="67BB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single" w:sz="8" w:space="0" w:color="FF9430" w:themeColor="accent2" w:themeTint="BF"/>
        <w:insideV w:val="single" w:sz="8" w:space="0" w:color="FF9430" w:themeColor="accent2" w:themeTint="BF"/>
      </w:tblBorders>
    </w:tblPr>
    <w:tcPr>
      <w:shd w:val="clear" w:color="auto" w:fill="FFDBBA" w:themeFill="accent2" w:themeFillTint="3F"/>
    </w:tcPr>
    <w:tblStylePr w:type="firstRow">
      <w:rPr>
        <w:b/>
        <w:bCs/>
      </w:rPr>
    </w:tblStylePr>
    <w:tblStylePr w:type="lastRow">
      <w:rPr>
        <w:b/>
        <w:bCs/>
      </w:rPr>
      <w:tblPr/>
      <w:tcPr>
        <w:tcBorders>
          <w:top w:val="single" w:sz="18" w:space="0" w:color="FF9430" w:themeColor="accent2" w:themeTint="BF"/>
        </w:tcBorders>
      </w:tcPr>
    </w:tblStylePr>
    <w:tblStylePr w:type="firstCol">
      <w:rPr>
        <w:b/>
        <w:bCs/>
      </w:rPr>
    </w:tblStylePr>
    <w:tblStylePr w:type="lastCol">
      <w:rPr>
        <w:b/>
        <w:bCs/>
      </w:rPr>
    </w:tblStylePr>
    <w:tblStylePr w:type="band1Vert">
      <w:tblPr/>
      <w:tcPr>
        <w:shd w:val="clear" w:color="auto" w:fill="FFB875" w:themeFill="accent2" w:themeFillTint="7F"/>
      </w:tcPr>
    </w:tblStylePr>
    <w:tblStylePr w:type="band1Horz">
      <w:tblPr/>
      <w:tcPr>
        <w:shd w:val="clear" w:color="auto" w:fill="FFB875"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single" w:sz="8" w:space="0" w:color="8CBFE9" w:themeColor="accent5" w:themeTint="BF"/>
        <w:insideV w:val="single" w:sz="8" w:space="0" w:color="8CBFE9" w:themeColor="accent5" w:themeTint="BF"/>
      </w:tblBorders>
    </w:tblPr>
    <w:tcPr>
      <w:shd w:val="clear" w:color="auto" w:fill="D9E9F7" w:themeFill="accent5" w:themeFillTint="3F"/>
    </w:tcPr>
    <w:tblStylePr w:type="firstRow">
      <w:rPr>
        <w:b/>
        <w:bCs/>
      </w:rPr>
    </w:tblStylePr>
    <w:tblStylePr w:type="lastRow">
      <w:rPr>
        <w:b/>
        <w:bCs/>
      </w:rPr>
      <w:tblPr/>
      <w:tcPr>
        <w:tcBorders>
          <w:top w:val="single" w:sz="18" w:space="0" w:color="8CBFE9" w:themeColor="accent5" w:themeTint="BF"/>
        </w:tcBorders>
      </w:tcPr>
    </w:tblStylePr>
    <w:tblStylePr w:type="firstCol">
      <w:rPr>
        <w:b/>
        <w:bCs/>
      </w:rPr>
    </w:tblStylePr>
    <w:tblStylePr w:type="lastCol">
      <w:rPr>
        <w:b/>
        <w:bCs/>
      </w:rPr>
    </w:tblStylePr>
    <w:tblStylePr w:type="band1Vert">
      <w:tblPr/>
      <w:tcPr>
        <w:shd w:val="clear" w:color="auto" w:fill="B2D4F0" w:themeFill="accent5" w:themeFillTint="7F"/>
      </w:tcPr>
    </w:tblStylePr>
    <w:tblStylePr w:type="band1Horz">
      <w:tblPr/>
      <w:tcPr>
        <w:shd w:val="clear" w:color="auto" w:fill="B2D4F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single" w:sz="8" w:space="0" w:color="F5BF8C" w:themeColor="accent6" w:themeTint="BF"/>
        <w:insideV w:val="single" w:sz="8" w:space="0" w:color="F5BF8C" w:themeColor="accent6" w:themeTint="BF"/>
      </w:tblBorders>
    </w:tblPr>
    <w:tcPr>
      <w:shd w:val="clear" w:color="auto" w:fill="FBE9D8" w:themeFill="accent6" w:themeFillTint="3F"/>
    </w:tcPr>
    <w:tblStylePr w:type="firstRow">
      <w:rPr>
        <w:b/>
        <w:bCs/>
      </w:rPr>
    </w:tblStylePr>
    <w:tblStylePr w:type="lastRow">
      <w:rPr>
        <w:b/>
        <w:bCs/>
      </w:rPr>
      <w:tblPr/>
      <w:tcPr>
        <w:tcBorders>
          <w:top w:val="single" w:sz="18" w:space="0" w:color="F5BF8C" w:themeColor="accent6" w:themeTint="BF"/>
        </w:tcBorders>
      </w:tcPr>
    </w:tblStylePr>
    <w:tblStylePr w:type="firstCol">
      <w:rPr>
        <w:b/>
        <w:bCs/>
      </w:rPr>
    </w:tblStylePr>
    <w:tblStylePr w:type="lastCol">
      <w:rPr>
        <w:b/>
        <w:bCs/>
      </w:rPr>
    </w:tblStylePr>
    <w:tblStylePr w:type="band1Vert">
      <w:tblPr/>
      <w:tcPr>
        <w:shd w:val="clear" w:color="auto" w:fill="F8D4B2" w:themeFill="accent6" w:themeFillTint="7F"/>
      </w:tcPr>
    </w:tblStylePr>
    <w:tblStylePr w:type="band1Horz">
      <w:tblPr/>
      <w:tcPr>
        <w:shd w:val="clear" w:color="auto" w:fill="F8D4B2"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insideH w:val="single" w:sz="8" w:space="0" w:color="0072CE" w:themeColor="accent1"/>
        <w:insideV w:val="single" w:sz="8" w:space="0" w:color="0072CE" w:themeColor="accent1"/>
      </w:tblBorders>
    </w:tblPr>
    <w:tcPr>
      <w:shd w:val="clear" w:color="auto" w:fill="B3DDFF" w:themeFill="accent1" w:themeFillTint="3F"/>
    </w:tcPr>
    <w:tblStylePr w:type="firstRow">
      <w:rPr>
        <w:b/>
        <w:bCs/>
        <w:color w:val="232222" w:themeColor="text1"/>
      </w:rPr>
      <w:tblPr/>
      <w:tcPr>
        <w:shd w:val="clear" w:color="auto" w:fill="E1F1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2E3FF" w:themeFill="accent1" w:themeFillTint="33"/>
      </w:tcPr>
    </w:tblStylePr>
    <w:tblStylePr w:type="band1Vert">
      <w:tblPr/>
      <w:tcPr>
        <w:shd w:val="clear" w:color="auto" w:fill="67BBFF" w:themeFill="accent1" w:themeFillTint="7F"/>
      </w:tcPr>
    </w:tblStylePr>
    <w:tblStylePr w:type="band1Horz">
      <w:tblPr/>
      <w:tcPr>
        <w:tcBorders>
          <w:insideH w:val="single" w:sz="6" w:space="0" w:color="0072CE" w:themeColor="accent1"/>
          <w:insideV w:val="single" w:sz="6" w:space="0" w:color="0072CE" w:themeColor="accent1"/>
        </w:tcBorders>
        <w:shd w:val="clear" w:color="auto" w:fill="67BB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insideH w:val="single" w:sz="8" w:space="0" w:color="EA7200" w:themeColor="accent2"/>
        <w:insideV w:val="single" w:sz="8" w:space="0" w:color="EA7200" w:themeColor="accent2"/>
      </w:tblBorders>
    </w:tblPr>
    <w:tcPr>
      <w:shd w:val="clear" w:color="auto" w:fill="FFDBBA" w:themeFill="accent2" w:themeFillTint="3F"/>
    </w:tcPr>
    <w:tblStylePr w:type="firstRow">
      <w:rPr>
        <w:b/>
        <w:bCs/>
        <w:color w:val="232222" w:themeColor="text1"/>
      </w:rPr>
      <w:tblPr/>
      <w:tcPr>
        <w:shd w:val="clear" w:color="auto" w:fill="FFF0E3"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FE2C7" w:themeFill="accent2" w:themeFillTint="33"/>
      </w:tcPr>
    </w:tblStylePr>
    <w:tblStylePr w:type="band1Vert">
      <w:tblPr/>
      <w:tcPr>
        <w:shd w:val="clear" w:color="auto" w:fill="FFB875" w:themeFill="accent2" w:themeFillTint="7F"/>
      </w:tcPr>
    </w:tblStylePr>
    <w:tblStylePr w:type="band1Horz">
      <w:tblPr/>
      <w:tcPr>
        <w:tcBorders>
          <w:insideH w:val="single" w:sz="6" w:space="0" w:color="EA7200" w:themeColor="accent2"/>
          <w:insideV w:val="single" w:sz="6" w:space="0" w:color="EA7200" w:themeColor="accent2"/>
        </w:tcBorders>
        <w:shd w:val="clear" w:color="auto" w:fill="FFB87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insideH w:val="single" w:sz="8" w:space="0" w:color="66AAE2" w:themeColor="accent5"/>
        <w:insideV w:val="single" w:sz="8" w:space="0" w:color="66AAE2" w:themeColor="accent5"/>
      </w:tblBorders>
    </w:tblPr>
    <w:tcPr>
      <w:shd w:val="clear" w:color="auto" w:fill="D9E9F7" w:themeFill="accent5" w:themeFillTint="3F"/>
    </w:tcPr>
    <w:tblStylePr w:type="firstRow">
      <w:rPr>
        <w:b/>
        <w:bCs/>
        <w:color w:val="232222" w:themeColor="text1"/>
      </w:rPr>
      <w:tblPr/>
      <w:tcPr>
        <w:shd w:val="clear" w:color="auto" w:fill="EFF6FC"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DF9" w:themeFill="accent5" w:themeFillTint="33"/>
      </w:tcPr>
    </w:tblStylePr>
    <w:tblStylePr w:type="band1Vert">
      <w:tblPr/>
      <w:tcPr>
        <w:shd w:val="clear" w:color="auto" w:fill="B2D4F0" w:themeFill="accent5" w:themeFillTint="7F"/>
      </w:tcPr>
    </w:tblStylePr>
    <w:tblStylePr w:type="band1Horz">
      <w:tblPr/>
      <w:tcPr>
        <w:tcBorders>
          <w:insideH w:val="single" w:sz="6" w:space="0" w:color="66AAE2" w:themeColor="accent5"/>
          <w:insideV w:val="single" w:sz="6" w:space="0" w:color="66AAE2" w:themeColor="accent5"/>
        </w:tcBorders>
        <w:shd w:val="clear" w:color="auto" w:fill="B2D4F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insideH w:val="single" w:sz="8" w:space="0" w:color="F2AB66" w:themeColor="accent6"/>
        <w:insideV w:val="single" w:sz="8" w:space="0" w:color="F2AB66" w:themeColor="accent6"/>
      </w:tblBorders>
    </w:tblPr>
    <w:tcPr>
      <w:shd w:val="clear" w:color="auto" w:fill="FBE9D8" w:themeFill="accent6" w:themeFillTint="3F"/>
    </w:tcPr>
    <w:tblStylePr w:type="firstRow">
      <w:rPr>
        <w:b/>
        <w:bCs/>
        <w:color w:val="232222" w:themeColor="text1"/>
      </w:rPr>
      <w:tblPr/>
      <w:tcPr>
        <w:shd w:val="clear" w:color="auto" w:fill="FDF6EF"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CEEE0" w:themeFill="accent6" w:themeFillTint="33"/>
      </w:tcPr>
    </w:tblStylePr>
    <w:tblStylePr w:type="band1Vert">
      <w:tblPr/>
      <w:tcPr>
        <w:shd w:val="clear" w:color="auto" w:fill="F8D4B2" w:themeFill="accent6" w:themeFillTint="7F"/>
      </w:tcPr>
    </w:tblStylePr>
    <w:tblStylePr w:type="band1Horz">
      <w:tblPr/>
      <w:tcPr>
        <w:tcBorders>
          <w:insideH w:val="single" w:sz="6" w:space="0" w:color="F2AB66" w:themeColor="accent6"/>
          <w:insideV w:val="single" w:sz="6" w:space="0" w:color="F2AB66" w:themeColor="accent6"/>
        </w:tcBorders>
        <w:shd w:val="clear" w:color="auto" w:fill="F8D4B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2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2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2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2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5"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9F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AAE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AAE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AAE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AAE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D4F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D4F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9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AB6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AB6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AB6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AB6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4B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4B2"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72CE" w:themeColor="accent1"/>
        <w:bottom w:val="single" w:sz="8" w:space="0" w:color="0072CE" w:themeColor="accent1"/>
      </w:tblBorders>
    </w:tblPr>
    <w:tblStylePr w:type="firstRow">
      <w:rPr>
        <w:rFonts w:asciiTheme="majorHAnsi" w:eastAsiaTheme="majorEastAsia" w:hAnsiTheme="majorHAnsi" w:cstheme="majorBidi"/>
      </w:rPr>
      <w:tblPr/>
      <w:tcPr>
        <w:tcBorders>
          <w:top w:val="nil"/>
          <w:bottom w:val="single" w:sz="8" w:space="0" w:color="0072CE" w:themeColor="accent1"/>
        </w:tcBorders>
      </w:tcPr>
    </w:tblStylePr>
    <w:tblStylePr w:type="lastRow">
      <w:rPr>
        <w:b/>
        <w:bCs/>
        <w:color w:val="201547" w:themeColor="text2"/>
      </w:rPr>
      <w:tblPr/>
      <w:tcPr>
        <w:tcBorders>
          <w:top w:val="single" w:sz="8" w:space="0" w:color="0072CE" w:themeColor="accent1"/>
          <w:bottom w:val="single" w:sz="8" w:space="0" w:color="0072CE" w:themeColor="accent1"/>
        </w:tcBorders>
      </w:tcPr>
    </w:tblStylePr>
    <w:tblStylePr w:type="firstCol">
      <w:rPr>
        <w:b/>
        <w:bCs/>
      </w:rPr>
    </w:tblStylePr>
    <w:tblStylePr w:type="lastCol">
      <w:rPr>
        <w:b/>
        <w:bCs/>
      </w:rPr>
      <w:tblPr/>
      <w:tcPr>
        <w:tcBorders>
          <w:top w:val="single" w:sz="8" w:space="0" w:color="0072CE" w:themeColor="accent1"/>
          <w:bottom w:val="single" w:sz="8" w:space="0" w:color="0072CE" w:themeColor="accent1"/>
        </w:tcBorders>
      </w:tcPr>
    </w:tblStylePr>
    <w:tblStylePr w:type="band1Vert">
      <w:tblPr/>
      <w:tcPr>
        <w:shd w:val="clear" w:color="auto" w:fill="B3DDFF" w:themeFill="accent1" w:themeFillTint="3F"/>
      </w:tcPr>
    </w:tblStylePr>
    <w:tblStylePr w:type="band1Horz">
      <w:tblPr/>
      <w:tcPr>
        <w:shd w:val="clear" w:color="auto" w:fill="B3DD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EA7200" w:themeColor="accent2"/>
        <w:bottom w:val="single" w:sz="8" w:space="0" w:color="EA7200" w:themeColor="accent2"/>
      </w:tblBorders>
    </w:tblPr>
    <w:tblStylePr w:type="firstRow">
      <w:rPr>
        <w:rFonts w:asciiTheme="majorHAnsi" w:eastAsiaTheme="majorEastAsia" w:hAnsiTheme="majorHAnsi" w:cstheme="majorBidi"/>
      </w:rPr>
      <w:tblPr/>
      <w:tcPr>
        <w:tcBorders>
          <w:top w:val="nil"/>
          <w:bottom w:val="single" w:sz="8" w:space="0" w:color="EA7200" w:themeColor="accent2"/>
        </w:tcBorders>
      </w:tcPr>
    </w:tblStylePr>
    <w:tblStylePr w:type="lastRow">
      <w:rPr>
        <w:b/>
        <w:bCs/>
        <w:color w:val="201547" w:themeColor="text2"/>
      </w:rPr>
      <w:tblPr/>
      <w:tcPr>
        <w:tcBorders>
          <w:top w:val="single" w:sz="8" w:space="0" w:color="EA7200" w:themeColor="accent2"/>
          <w:bottom w:val="single" w:sz="8" w:space="0" w:color="EA7200" w:themeColor="accent2"/>
        </w:tcBorders>
      </w:tcPr>
    </w:tblStylePr>
    <w:tblStylePr w:type="firstCol">
      <w:rPr>
        <w:b/>
        <w:bCs/>
      </w:rPr>
    </w:tblStylePr>
    <w:tblStylePr w:type="lastCol">
      <w:rPr>
        <w:b/>
        <w:bCs/>
      </w:rPr>
      <w:tblPr/>
      <w:tcPr>
        <w:tcBorders>
          <w:top w:val="single" w:sz="8" w:space="0" w:color="EA7200" w:themeColor="accent2"/>
          <w:bottom w:val="single" w:sz="8" w:space="0" w:color="EA7200" w:themeColor="accent2"/>
        </w:tcBorders>
      </w:tcPr>
    </w:tblStylePr>
    <w:tblStylePr w:type="band1Vert">
      <w:tblPr/>
      <w:tcPr>
        <w:shd w:val="clear" w:color="auto" w:fill="FFDBBA" w:themeFill="accent2" w:themeFillTint="3F"/>
      </w:tcPr>
    </w:tblStylePr>
    <w:tblStylePr w:type="band1Horz">
      <w:tblPr/>
      <w:tcPr>
        <w:shd w:val="clear" w:color="auto" w:fill="FFDBBA"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AAE2" w:themeColor="accent5"/>
        <w:bottom w:val="single" w:sz="8" w:space="0" w:color="66AAE2" w:themeColor="accent5"/>
      </w:tblBorders>
    </w:tblPr>
    <w:tblStylePr w:type="firstRow">
      <w:rPr>
        <w:rFonts w:asciiTheme="majorHAnsi" w:eastAsiaTheme="majorEastAsia" w:hAnsiTheme="majorHAnsi" w:cstheme="majorBidi"/>
      </w:rPr>
      <w:tblPr/>
      <w:tcPr>
        <w:tcBorders>
          <w:top w:val="nil"/>
          <w:bottom w:val="single" w:sz="8" w:space="0" w:color="66AAE2" w:themeColor="accent5"/>
        </w:tcBorders>
      </w:tcPr>
    </w:tblStylePr>
    <w:tblStylePr w:type="lastRow">
      <w:rPr>
        <w:b/>
        <w:bCs/>
        <w:color w:val="201547" w:themeColor="text2"/>
      </w:rPr>
      <w:tblPr/>
      <w:tcPr>
        <w:tcBorders>
          <w:top w:val="single" w:sz="8" w:space="0" w:color="66AAE2" w:themeColor="accent5"/>
          <w:bottom w:val="single" w:sz="8" w:space="0" w:color="66AAE2" w:themeColor="accent5"/>
        </w:tcBorders>
      </w:tcPr>
    </w:tblStylePr>
    <w:tblStylePr w:type="firstCol">
      <w:rPr>
        <w:b/>
        <w:bCs/>
      </w:rPr>
    </w:tblStylePr>
    <w:tblStylePr w:type="lastCol">
      <w:rPr>
        <w:b/>
        <w:bCs/>
      </w:rPr>
      <w:tblPr/>
      <w:tcPr>
        <w:tcBorders>
          <w:top w:val="single" w:sz="8" w:space="0" w:color="66AAE2" w:themeColor="accent5"/>
          <w:bottom w:val="single" w:sz="8" w:space="0" w:color="66AAE2" w:themeColor="accent5"/>
        </w:tcBorders>
      </w:tcPr>
    </w:tblStylePr>
    <w:tblStylePr w:type="band1Vert">
      <w:tblPr/>
      <w:tcPr>
        <w:shd w:val="clear" w:color="auto" w:fill="D9E9F7" w:themeFill="accent5" w:themeFillTint="3F"/>
      </w:tcPr>
    </w:tblStylePr>
    <w:tblStylePr w:type="band1Horz">
      <w:tblPr/>
      <w:tcPr>
        <w:shd w:val="clear" w:color="auto" w:fill="D9E9F7"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F2AB66" w:themeColor="accent6"/>
        <w:bottom w:val="single" w:sz="8" w:space="0" w:color="F2AB66" w:themeColor="accent6"/>
      </w:tblBorders>
    </w:tblPr>
    <w:tblStylePr w:type="firstRow">
      <w:rPr>
        <w:rFonts w:asciiTheme="majorHAnsi" w:eastAsiaTheme="majorEastAsia" w:hAnsiTheme="majorHAnsi" w:cstheme="majorBidi"/>
      </w:rPr>
      <w:tblPr/>
      <w:tcPr>
        <w:tcBorders>
          <w:top w:val="nil"/>
          <w:bottom w:val="single" w:sz="8" w:space="0" w:color="F2AB66" w:themeColor="accent6"/>
        </w:tcBorders>
      </w:tcPr>
    </w:tblStylePr>
    <w:tblStylePr w:type="lastRow">
      <w:rPr>
        <w:b/>
        <w:bCs/>
        <w:color w:val="201547" w:themeColor="text2"/>
      </w:rPr>
      <w:tblPr/>
      <w:tcPr>
        <w:tcBorders>
          <w:top w:val="single" w:sz="8" w:space="0" w:color="F2AB66" w:themeColor="accent6"/>
          <w:bottom w:val="single" w:sz="8" w:space="0" w:color="F2AB66" w:themeColor="accent6"/>
        </w:tcBorders>
      </w:tcPr>
    </w:tblStylePr>
    <w:tblStylePr w:type="firstCol">
      <w:rPr>
        <w:b/>
        <w:bCs/>
      </w:rPr>
    </w:tblStylePr>
    <w:tblStylePr w:type="lastCol">
      <w:rPr>
        <w:b/>
        <w:bCs/>
      </w:rPr>
      <w:tblPr/>
      <w:tcPr>
        <w:tcBorders>
          <w:top w:val="single" w:sz="8" w:space="0" w:color="F2AB66" w:themeColor="accent6"/>
          <w:bottom w:val="single" w:sz="8" w:space="0" w:color="F2AB66" w:themeColor="accent6"/>
        </w:tcBorders>
      </w:tcPr>
    </w:tblStylePr>
    <w:tblStylePr w:type="band1Vert">
      <w:tblPr/>
      <w:tcPr>
        <w:shd w:val="clear" w:color="auto" w:fill="FBE9D8" w:themeFill="accent6" w:themeFillTint="3F"/>
      </w:tcPr>
    </w:tblStylePr>
    <w:tblStylePr w:type="band1Horz">
      <w:tblPr/>
      <w:tcPr>
        <w:shd w:val="clear" w:color="auto" w:fill="FBE9D8"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rPr>
        <w:sz w:val="24"/>
        <w:szCs w:val="24"/>
      </w:rPr>
      <w:tblPr/>
      <w:tcPr>
        <w:tcBorders>
          <w:top w:val="nil"/>
          <w:left w:val="nil"/>
          <w:bottom w:val="single" w:sz="24" w:space="0" w:color="0072CE" w:themeColor="accent1"/>
          <w:right w:val="nil"/>
          <w:insideH w:val="nil"/>
          <w:insideV w:val="nil"/>
        </w:tcBorders>
        <w:shd w:val="clear" w:color="auto" w:fill="FFFFFF" w:themeFill="background1"/>
      </w:tcPr>
    </w:tblStylePr>
    <w:tblStylePr w:type="lastRow">
      <w:tblPr/>
      <w:tcPr>
        <w:tcBorders>
          <w:top w:val="single" w:sz="8" w:space="0" w:color="0072C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1"/>
          <w:insideH w:val="nil"/>
          <w:insideV w:val="nil"/>
        </w:tcBorders>
        <w:shd w:val="clear" w:color="auto" w:fill="FFFFFF" w:themeFill="background1"/>
      </w:tcPr>
    </w:tblStylePr>
    <w:tblStylePr w:type="lastCol">
      <w:tblPr/>
      <w:tcPr>
        <w:tcBorders>
          <w:top w:val="nil"/>
          <w:left w:val="single" w:sz="8" w:space="0" w:color="0072C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1" w:themeFillTint="3F"/>
      </w:tcPr>
    </w:tblStylePr>
    <w:tblStylePr w:type="band1Horz">
      <w:tblPr/>
      <w:tcPr>
        <w:tcBorders>
          <w:top w:val="nil"/>
          <w:bottom w:val="nil"/>
          <w:insideH w:val="nil"/>
          <w:insideV w:val="nil"/>
        </w:tcBorders>
        <w:shd w:val="clear" w:color="auto" w:fill="B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tblBorders>
    </w:tblPr>
    <w:tblStylePr w:type="firstRow">
      <w:rPr>
        <w:sz w:val="24"/>
        <w:szCs w:val="24"/>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tblPr/>
      <w:tcPr>
        <w:tcBorders>
          <w:top w:val="single" w:sz="8" w:space="0" w:color="EA72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200" w:themeColor="accent2"/>
          <w:insideH w:val="nil"/>
          <w:insideV w:val="nil"/>
        </w:tcBorders>
        <w:shd w:val="clear" w:color="auto" w:fill="FFFFFF" w:themeFill="background1"/>
      </w:tcPr>
    </w:tblStylePr>
    <w:tblStylePr w:type="lastCol">
      <w:tblPr/>
      <w:tcPr>
        <w:tcBorders>
          <w:top w:val="nil"/>
          <w:left w:val="single" w:sz="8" w:space="0" w:color="EA72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A" w:themeFill="accent2" w:themeFillTint="3F"/>
      </w:tcPr>
    </w:tblStylePr>
    <w:tblStylePr w:type="band1Horz">
      <w:tblPr/>
      <w:tcPr>
        <w:tcBorders>
          <w:top w:val="nil"/>
          <w:bottom w:val="nil"/>
          <w:insideH w:val="nil"/>
          <w:insideV w:val="nil"/>
        </w:tcBorders>
        <w:shd w:val="clear" w:color="auto" w:fill="FFDBB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tblBorders>
    </w:tblPr>
    <w:tblStylePr w:type="firstRow">
      <w:rPr>
        <w:sz w:val="24"/>
        <w:szCs w:val="24"/>
      </w:rPr>
      <w:tblPr/>
      <w:tcPr>
        <w:tcBorders>
          <w:top w:val="nil"/>
          <w:left w:val="nil"/>
          <w:bottom w:val="single" w:sz="24" w:space="0" w:color="66AAE2" w:themeColor="accent5"/>
          <w:right w:val="nil"/>
          <w:insideH w:val="nil"/>
          <w:insideV w:val="nil"/>
        </w:tcBorders>
        <w:shd w:val="clear" w:color="auto" w:fill="FFFFFF" w:themeFill="background1"/>
      </w:tcPr>
    </w:tblStylePr>
    <w:tblStylePr w:type="lastRow">
      <w:tblPr/>
      <w:tcPr>
        <w:tcBorders>
          <w:top w:val="single" w:sz="8" w:space="0" w:color="66AAE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AAE2" w:themeColor="accent5"/>
          <w:insideH w:val="nil"/>
          <w:insideV w:val="nil"/>
        </w:tcBorders>
        <w:shd w:val="clear" w:color="auto" w:fill="FFFFFF" w:themeFill="background1"/>
      </w:tcPr>
    </w:tblStylePr>
    <w:tblStylePr w:type="lastCol">
      <w:tblPr/>
      <w:tcPr>
        <w:tcBorders>
          <w:top w:val="nil"/>
          <w:left w:val="single" w:sz="8" w:space="0" w:color="66AAE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9F7" w:themeFill="accent5" w:themeFillTint="3F"/>
      </w:tcPr>
    </w:tblStylePr>
    <w:tblStylePr w:type="band1Horz">
      <w:tblPr/>
      <w:tcPr>
        <w:tcBorders>
          <w:top w:val="nil"/>
          <w:bottom w:val="nil"/>
          <w:insideH w:val="nil"/>
          <w:insideV w:val="nil"/>
        </w:tcBorders>
        <w:shd w:val="clear" w:color="auto" w:fill="D9E9F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tblBorders>
    </w:tblPr>
    <w:tblStylePr w:type="firstRow">
      <w:rPr>
        <w:sz w:val="24"/>
        <w:szCs w:val="24"/>
      </w:rPr>
      <w:tblPr/>
      <w:tcPr>
        <w:tcBorders>
          <w:top w:val="nil"/>
          <w:left w:val="nil"/>
          <w:bottom w:val="single" w:sz="24" w:space="0" w:color="F2AB66" w:themeColor="accent6"/>
          <w:right w:val="nil"/>
          <w:insideH w:val="nil"/>
          <w:insideV w:val="nil"/>
        </w:tcBorders>
        <w:shd w:val="clear" w:color="auto" w:fill="FFFFFF" w:themeFill="background1"/>
      </w:tcPr>
    </w:tblStylePr>
    <w:tblStylePr w:type="lastRow">
      <w:tblPr/>
      <w:tcPr>
        <w:tcBorders>
          <w:top w:val="single" w:sz="8" w:space="0" w:color="F2AB6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AB66" w:themeColor="accent6"/>
          <w:insideH w:val="nil"/>
          <w:insideV w:val="nil"/>
        </w:tcBorders>
        <w:shd w:val="clear" w:color="auto" w:fill="FFFFFF" w:themeFill="background1"/>
      </w:tcPr>
    </w:tblStylePr>
    <w:tblStylePr w:type="lastCol">
      <w:tblPr/>
      <w:tcPr>
        <w:tcBorders>
          <w:top w:val="nil"/>
          <w:left w:val="single" w:sz="8" w:space="0" w:color="F2AB6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9D8" w:themeFill="accent6" w:themeFillTint="3F"/>
      </w:tcPr>
    </w:tblStylePr>
    <w:tblStylePr w:type="band1Horz">
      <w:tblPr/>
      <w:tcPr>
        <w:tcBorders>
          <w:top w:val="nil"/>
          <w:bottom w:val="nil"/>
          <w:insideH w:val="nil"/>
          <w:insideV w:val="nil"/>
        </w:tcBorders>
        <w:shd w:val="clear" w:color="auto" w:fill="FBE9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single" w:sz="8" w:space="0" w:color="1B99FF" w:themeColor="accent1" w:themeTint="BF"/>
      </w:tblBorders>
    </w:tblPr>
    <w:tblStylePr w:type="firstRow">
      <w:pPr>
        <w:spacing w:before="0" w:after="0" w:line="240" w:lineRule="auto"/>
      </w:pPr>
      <w:rPr>
        <w:b/>
        <w:bCs/>
        <w:color w:val="FFFFFF" w:themeColor="background1"/>
      </w:rPr>
      <w:tblPr/>
      <w:tcPr>
        <w:tc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nil"/>
          <w:insideV w:val="nil"/>
        </w:tcBorders>
        <w:shd w:val="clear" w:color="auto" w:fill="0072CE" w:themeFill="accent1"/>
      </w:tcPr>
    </w:tblStylePr>
    <w:tblStylePr w:type="lastRow">
      <w:pPr>
        <w:spacing w:before="0" w:after="0" w:line="240" w:lineRule="auto"/>
      </w:pPr>
      <w:rPr>
        <w:b/>
        <w:bCs/>
      </w:rPr>
      <w:tblPr/>
      <w:tcPr>
        <w:tcBorders>
          <w:top w:val="double" w:sz="6"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1" w:themeFillTint="3F"/>
      </w:tcPr>
    </w:tblStylePr>
    <w:tblStylePr w:type="band1Horz">
      <w:tblPr/>
      <w:tcPr>
        <w:tcBorders>
          <w:insideH w:val="nil"/>
          <w:insideV w:val="nil"/>
        </w:tcBorders>
        <w:shd w:val="clear" w:color="auto" w:fill="B3D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single" w:sz="8" w:space="0" w:color="FF9430" w:themeColor="accent2" w:themeTint="BF"/>
      </w:tblBorders>
    </w:tblPr>
    <w:tblStylePr w:type="firstRow">
      <w:pPr>
        <w:spacing w:before="0" w:after="0" w:line="240" w:lineRule="auto"/>
      </w:pPr>
      <w:rPr>
        <w:b/>
        <w:bCs/>
        <w:color w:val="FFFFFF" w:themeColor="background1"/>
      </w:rPr>
      <w:tblPr/>
      <w:tcPr>
        <w:tc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nil"/>
          <w:insideV w:val="nil"/>
        </w:tcBorders>
        <w:shd w:val="clear" w:color="auto" w:fill="EA7200" w:themeFill="accent2"/>
      </w:tcPr>
    </w:tblStylePr>
    <w:tblStylePr w:type="lastRow">
      <w:pPr>
        <w:spacing w:before="0" w:after="0" w:line="240" w:lineRule="auto"/>
      </w:pPr>
      <w:rPr>
        <w:b/>
        <w:bCs/>
      </w:rPr>
      <w:tblPr/>
      <w:tcPr>
        <w:tcBorders>
          <w:top w:val="double" w:sz="6"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BBA" w:themeFill="accent2" w:themeFillTint="3F"/>
      </w:tcPr>
    </w:tblStylePr>
    <w:tblStylePr w:type="band1Horz">
      <w:tblPr/>
      <w:tcPr>
        <w:tcBorders>
          <w:insideH w:val="nil"/>
          <w:insideV w:val="nil"/>
        </w:tcBorders>
        <w:shd w:val="clear" w:color="auto" w:fill="FFDBB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single" w:sz="8" w:space="0" w:color="8CBFE9" w:themeColor="accent5" w:themeTint="BF"/>
      </w:tblBorders>
    </w:tblPr>
    <w:tblStylePr w:type="firstRow">
      <w:pPr>
        <w:spacing w:before="0" w:after="0" w:line="240" w:lineRule="auto"/>
      </w:pPr>
      <w:rPr>
        <w:b/>
        <w:bCs/>
        <w:color w:val="FFFFFF" w:themeColor="background1"/>
      </w:rPr>
      <w:tblPr/>
      <w:tcPr>
        <w:tc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nil"/>
          <w:insideV w:val="nil"/>
        </w:tcBorders>
        <w:shd w:val="clear" w:color="auto" w:fill="66AAE2" w:themeFill="accent5"/>
      </w:tcPr>
    </w:tblStylePr>
    <w:tblStylePr w:type="lastRow">
      <w:pPr>
        <w:spacing w:before="0" w:after="0" w:line="240" w:lineRule="auto"/>
      </w:pPr>
      <w:rPr>
        <w:b/>
        <w:bCs/>
      </w:rPr>
      <w:tblPr/>
      <w:tcPr>
        <w:tcBorders>
          <w:top w:val="double" w:sz="6"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9F7" w:themeFill="accent5" w:themeFillTint="3F"/>
      </w:tcPr>
    </w:tblStylePr>
    <w:tblStylePr w:type="band1Horz">
      <w:tblPr/>
      <w:tcPr>
        <w:tcBorders>
          <w:insideH w:val="nil"/>
          <w:insideV w:val="nil"/>
        </w:tcBorders>
        <w:shd w:val="clear" w:color="auto" w:fill="D9E9F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single" w:sz="8" w:space="0" w:color="F5BF8C" w:themeColor="accent6" w:themeTint="BF"/>
      </w:tblBorders>
    </w:tblPr>
    <w:tblStylePr w:type="firstRow">
      <w:pPr>
        <w:spacing w:before="0" w:after="0" w:line="240" w:lineRule="auto"/>
      </w:pPr>
      <w:rPr>
        <w:b/>
        <w:bCs/>
        <w:color w:val="FFFFFF" w:themeColor="background1"/>
      </w:rPr>
      <w:tblPr/>
      <w:tcPr>
        <w:tc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nil"/>
          <w:insideV w:val="nil"/>
        </w:tcBorders>
        <w:shd w:val="clear" w:color="auto" w:fill="F2AB66" w:themeFill="accent6"/>
      </w:tcPr>
    </w:tblStylePr>
    <w:tblStylePr w:type="lastRow">
      <w:pPr>
        <w:spacing w:before="0" w:after="0" w:line="240" w:lineRule="auto"/>
      </w:pPr>
      <w:rPr>
        <w:b/>
        <w:bCs/>
      </w:rPr>
      <w:tblPr/>
      <w:tcPr>
        <w:tcBorders>
          <w:top w:val="double" w:sz="6"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E9D8" w:themeFill="accent6" w:themeFillTint="3F"/>
      </w:tcPr>
    </w:tblStylePr>
    <w:tblStylePr w:type="band1Horz">
      <w:tblPr/>
      <w:tcPr>
        <w:tcBorders>
          <w:insideH w:val="nil"/>
          <w:insideV w:val="nil"/>
        </w:tcBorders>
        <w:shd w:val="clear" w:color="auto" w:fill="FBE9D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1"/>
      </w:tcPr>
    </w:tblStylePr>
    <w:tblStylePr w:type="lastCol">
      <w:rPr>
        <w:b/>
        <w:bCs/>
        <w:color w:val="FFFFFF" w:themeColor="background1"/>
      </w:rPr>
      <w:tblPr/>
      <w:tcPr>
        <w:tcBorders>
          <w:left w:val="nil"/>
          <w:right w:val="nil"/>
          <w:insideH w:val="nil"/>
          <w:insideV w:val="nil"/>
        </w:tcBorders>
        <w:shd w:val="clear" w:color="auto" w:fill="0072C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2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200" w:themeFill="accent2"/>
      </w:tcPr>
    </w:tblStylePr>
    <w:tblStylePr w:type="lastCol">
      <w:rPr>
        <w:b/>
        <w:bCs/>
        <w:color w:val="FFFFFF" w:themeColor="background1"/>
      </w:rPr>
      <w:tblPr/>
      <w:tcPr>
        <w:tcBorders>
          <w:left w:val="nil"/>
          <w:right w:val="nil"/>
          <w:insideH w:val="nil"/>
          <w:insideV w:val="nil"/>
        </w:tcBorders>
        <w:shd w:val="clear" w:color="auto" w:fill="EA72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AAE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AAE2" w:themeFill="accent5"/>
      </w:tcPr>
    </w:tblStylePr>
    <w:tblStylePr w:type="lastCol">
      <w:rPr>
        <w:b/>
        <w:bCs/>
        <w:color w:val="FFFFFF" w:themeColor="background1"/>
      </w:rPr>
      <w:tblPr/>
      <w:tcPr>
        <w:tcBorders>
          <w:left w:val="nil"/>
          <w:right w:val="nil"/>
          <w:insideH w:val="nil"/>
          <w:insideV w:val="nil"/>
        </w:tcBorders>
        <w:shd w:val="clear" w:color="auto" w:fill="66AAE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AB6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AB66" w:themeFill="accent6"/>
      </w:tcPr>
    </w:tblStylePr>
    <w:tblStylePr w:type="lastCol">
      <w:rPr>
        <w:b/>
        <w:bCs/>
        <w:color w:val="FFFFFF" w:themeColor="background1"/>
      </w:rPr>
      <w:tblPr/>
      <w:tcPr>
        <w:tcBorders>
          <w:left w:val="nil"/>
          <w:right w:val="nil"/>
          <w:insideH w:val="nil"/>
          <w:insideV w:val="nil"/>
        </w:tcBorders>
        <w:shd w:val="clear" w:color="auto" w:fill="F2AB6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rsid w:val="00EC405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0072CE" w:themeFill="accent1"/>
      </w:tcPr>
    </w:tblStylePr>
    <w:tblStylePr w:type="firstCol">
      <w:tblPr/>
      <w:tcPr>
        <w:shd w:val="clear" w:color="auto" w:fill="FFFFFF" w:themeFill="background1"/>
      </w:tcPr>
    </w:tblStylePr>
    <w:tblStylePr w:type="band1Vert">
      <w:tblPr/>
      <w:tcPr>
        <w:shd w:val="clear" w:color="auto" w:fill="CCE3F5"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rsid w:val="00D12263"/>
    <w:rPr>
      <w:sz w:val="16"/>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rsid w:val="00783D00"/>
    <w:pPr>
      <w:spacing w:before="0" w:after="0" w:line="240" w:lineRule="auto"/>
    </w:pPr>
    <w:rPr>
      <w:rFonts w:cs="Arial"/>
      <w:b/>
      <w:color w:val="201547" w:themeColor="text2"/>
      <w:spacing w:val="-4"/>
      <w:kern w:val="28"/>
      <w:sz w:val="28"/>
      <w:szCs w:val="42"/>
    </w:rPr>
  </w:style>
  <w:style w:type="paragraph" w:customStyle="1" w:styleId="xPartnerLogo">
    <w:name w:val="xPartnerLogo"/>
    <w:basedOn w:val="NoSpacing"/>
    <w:uiPriority w:val="99"/>
    <w:rsid w:val="00081719"/>
    <w:pPr>
      <w:framePr w:h="709" w:hRule="exact" w:wrap="around" w:vAnchor="page" w:hAnchor="page" w:x="568" w:y="15452"/>
    </w:pPr>
    <w:rPr>
      <w:b/>
      <w:color w:val="201547" w:themeColor="text2"/>
      <w:sz w:val="28"/>
    </w:rPr>
  </w:style>
  <w:style w:type="paragraph" w:customStyle="1" w:styleId="xVicLogo">
    <w:name w:val="xVicLogo"/>
    <w:basedOn w:val="NoSpacing"/>
    <w:uiPriority w:val="99"/>
    <w:rsid w:val="00C33BEC"/>
    <w:pPr>
      <w:framePr w:wrap="around" w:vAnchor="page" w:hAnchor="page" w:x="8602" w:y="15452"/>
    </w:pPr>
  </w:style>
  <w:style w:type="numbering" w:customStyle="1" w:styleId="MyHeadings">
    <w:name w:val="MyHeadings"/>
    <w:uiPriority w:val="99"/>
    <w:rsid w:val="0058629F"/>
    <w:pPr>
      <w:numPr>
        <w:numId w:val="4"/>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SectionSubtitle">
    <w:name w:val="Section Subtitle"/>
    <w:basedOn w:val="Normal"/>
    <w:uiPriority w:val="3"/>
    <w:rsid w:val="002F5718"/>
    <w:pPr>
      <w:shd w:val="clear" w:color="auto" w:fill="201547" w:themeFill="text2"/>
      <w:spacing w:before="0" w:after="0" w:line="276" w:lineRule="auto"/>
    </w:pPr>
    <w:rPr>
      <w:color w:val="FFFFFF" w:themeColor="background1"/>
      <w:sz w:val="24"/>
    </w:rPr>
  </w:style>
  <w:style w:type="paragraph" w:customStyle="1" w:styleId="IntroFeatureText">
    <w:name w:val="Intro/Feature Text"/>
    <w:basedOn w:val="Normal"/>
    <w:next w:val="Normal"/>
    <w:qFormat/>
    <w:rsid w:val="00801AD3"/>
    <w:pPr>
      <w:spacing w:before="160" w:after="160"/>
    </w:pPr>
    <w:rPr>
      <w:color w:val="201547" w:themeColor="text2"/>
      <w:spacing w:val="-1"/>
      <w:sz w:val="24"/>
      <w:szCs w:val="24"/>
    </w:rPr>
  </w:style>
  <w:style w:type="paragraph" w:styleId="ListNumber4">
    <w:name w:val="List Number 4"/>
    <w:basedOn w:val="Normal"/>
    <w:unhideWhenUsed/>
    <w:rsid w:val="00B45695"/>
    <w:pPr>
      <w:numPr>
        <w:ilvl w:val="3"/>
        <w:numId w:val="7"/>
      </w:numPr>
    </w:pPr>
  </w:style>
  <w:style w:type="paragraph" w:customStyle="1" w:styleId="Source">
    <w:name w:val="Source"/>
    <w:basedOn w:val="Normal"/>
    <w:next w:val="BodyText"/>
    <w:qFormat/>
    <w:rsid w:val="00853A46"/>
    <w:pPr>
      <w:numPr>
        <w:numId w:val="8"/>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7"/>
      </w:numPr>
    </w:pPr>
  </w:style>
  <w:style w:type="paragraph" w:styleId="Subtitle">
    <w:name w:val="Subtitle"/>
    <w:basedOn w:val="Normal"/>
    <w:next w:val="Normal"/>
    <w:link w:val="SubtitleChar"/>
    <w:uiPriority w:val="99"/>
    <w:rsid w:val="00576577"/>
    <w:pPr>
      <w:numPr>
        <w:ilvl w:val="1"/>
      </w:numPr>
      <w:spacing w:before="200" w:after="0" w:line="240" w:lineRule="auto"/>
      <w:contextualSpacing/>
    </w:pPr>
    <w:rPr>
      <w:rFonts w:eastAsiaTheme="minorEastAsia" w:cstheme="minorBidi"/>
      <w:color w:val="201547" w:themeColor="text2"/>
      <w:sz w:val="24"/>
      <w:szCs w:val="18"/>
    </w:rPr>
  </w:style>
  <w:style w:type="character" w:customStyle="1" w:styleId="SubtitleChar">
    <w:name w:val="Subtitle Char"/>
    <w:basedOn w:val="DefaultParagraphFont"/>
    <w:link w:val="Subtitle"/>
    <w:uiPriority w:val="99"/>
    <w:rsid w:val="00576577"/>
    <w:rPr>
      <w:rFonts w:eastAsiaTheme="minorEastAsia" w:cstheme="minorBidi"/>
      <w:color w:val="201547" w:themeColor="text2"/>
      <w:sz w:val="24"/>
      <w:szCs w:val="18"/>
    </w:rPr>
  </w:style>
  <w:style w:type="paragraph" w:customStyle="1" w:styleId="xProjectBar">
    <w:name w:val="xProjectBar"/>
    <w:basedOn w:val="Normal"/>
    <w:next w:val="Normal"/>
    <w:uiPriority w:val="99"/>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link w:val="TableTextLeftChar"/>
    <w:qFormat/>
    <w:rsid w:val="00D26A13"/>
    <w:pPr>
      <w:spacing w:before="70" w:after="70"/>
    </w:pPr>
    <w:rPr>
      <w:sz w:val="18"/>
    </w:r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0"/>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9"/>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character" w:styleId="Strong">
    <w:name w:val="Strong"/>
    <w:basedOn w:val="DefaultParagraphFont"/>
    <w:uiPriority w:val="22"/>
    <w:rsid w:val="007577B1"/>
    <w:rPr>
      <w:b/>
      <w:bCs/>
    </w:r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1"/>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72CE"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character" w:customStyle="1" w:styleId="SectionTitle">
    <w:name w:val="Section Title"/>
    <w:uiPriority w:val="3"/>
    <w:rsid w:val="00A1606D"/>
    <w:rPr>
      <w:color w:val="FFFFFF" w:themeColor="background1"/>
      <w:bdr w:val="none" w:sz="0" w:space="0" w:color="auto"/>
      <w:shd w:val="clear" w:color="auto" w:fill="auto"/>
    </w:r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PartnerLogosInsideCover">
    <w:name w:val="xPartnerLogos_InsideCover"/>
    <w:basedOn w:val="NoSpacing"/>
    <w:next w:val="BodyText"/>
    <w:uiPriority w:val="99"/>
    <w:rsid w:val="00EE4D70"/>
    <w:pPr>
      <w:tabs>
        <w:tab w:val="left" w:pos="2948"/>
        <w:tab w:val="left" w:pos="5897"/>
      </w:tabs>
      <w:spacing w:before="200" w:after="200"/>
    </w:p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2"/>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2A4F2A"/>
    <w:pPr>
      <w:framePr w:hSpace="181" w:wrap="around" w:hAnchor="margin" w:yAlign="bottom"/>
      <w:spacing w:before="0" w:after="9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B16A3D"/>
    <w:pPr>
      <w:pBdr>
        <w:top w:val="single" w:sz="4" w:space="14" w:color="0072CE" w:themeColor="accent1"/>
        <w:left w:val="single" w:sz="4" w:space="12" w:color="0072CE" w:themeColor="accent1"/>
        <w:bottom w:val="single" w:sz="4" w:space="14" w:color="0072CE" w:themeColor="accent1"/>
        <w:right w:val="single" w:sz="4" w:space="12" w:color="0072CE" w:themeColor="accent1"/>
      </w:pBdr>
      <w:shd w:val="clear" w:color="auto" w:fill="0072CE" w:themeFill="accent1"/>
      <w:tabs>
        <w:tab w:val="left" w:pos="2268"/>
        <w:tab w:val="left" w:pos="4536"/>
        <w:tab w:val="left" w:pos="6804"/>
        <w:tab w:val="right" w:pos="9638"/>
      </w:tabs>
      <w:spacing w:line="300" w:lineRule="exact"/>
      <w:ind w:left="284" w:right="284"/>
    </w:pPr>
    <w:rPr>
      <w:color w:val="FFFFFF"/>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3"/>
      </w:numPr>
      <w:tabs>
        <w:tab w:val="left" w:pos="1134"/>
      </w:tabs>
      <w:spacing w:before="120" w:after="120"/>
    </w:pPr>
    <w:rPr>
      <w:rFonts w:cs="Arial"/>
    </w:rPr>
  </w:style>
  <w:style w:type="paragraph" w:customStyle="1" w:styleId="QuoteBullet2">
    <w:name w:val="Quote Bullet 2"/>
    <w:basedOn w:val="Quote"/>
    <w:qFormat/>
    <w:rsid w:val="00AC1C83"/>
    <w:pPr>
      <w:numPr>
        <w:ilvl w:val="1"/>
        <w:numId w:val="13"/>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rsid w:val="00064813"/>
    <w:pPr>
      <w:spacing w:before="120" w:after="120"/>
    </w:pPr>
    <w:rPr>
      <w:b/>
    </w:rPr>
  </w:style>
  <w:style w:type="paragraph" w:customStyle="1" w:styleId="DisclaimerTextLeftBold">
    <w:name w:val="Disclaimer Text Left Bold"/>
    <w:basedOn w:val="DisclaimerTextLeft"/>
    <w:next w:val="DisclaimerTextLeft"/>
    <w:uiPriority w:val="99"/>
    <w:semiHidden/>
    <w:rsid w:val="00740ECE"/>
    <w:pPr>
      <w:framePr w:wrap="around"/>
    </w:pPr>
    <w:rPr>
      <w:b/>
    </w:rPr>
  </w:style>
  <w:style w:type="paragraph" w:customStyle="1" w:styleId="DisclaimerTextLeft">
    <w:name w:val="Disclaimer Text Left"/>
    <w:basedOn w:val="DisclaimerText"/>
    <w:uiPriority w:val="99"/>
    <w:semiHidden/>
    <w:rsid w:val="00740ECE"/>
    <w:pPr>
      <w:framePr w:wrap="around"/>
    </w:pPr>
  </w:style>
  <w:style w:type="paragraph" w:customStyle="1" w:styleId="DisclaimerTextRightBold">
    <w:name w:val="Disclaimer Text Right Bold"/>
    <w:basedOn w:val="Normal"/>
    <w:uiPriority w:val="99"/>
    <w:semiHidden/>
    <w:rsid w:val="00740ECE"/>
    <w:pPr>
      <w:framePr w:hSpace="181" w:wrap="around" w:hAnchor="margin" w:yAlign="bottom"/>
      <w:spacing w:before="0" w:after="90"/>
      <w:suppressOverlap/>
    </w:pPr>
    <w:rPr>
      <w:rFonts w:ascii="Arial Bold" w:hAnsi="Arial Bold" w:cs="Arial"/>
      <w:color w:val="232222" w:themeColor="text1"/>
    </w:rPr>
  </w:style>
  <w:style w:type="paragraph" w:customStyle="1" w:styleId="DisclaimerTextRight12pt">
    <w:name w:val="Disclaimer Text Right 12pt"/>
    <w:basedOn w:val="Normal"/>
    <w:uiPriority w:val="99"/>
    <w:semiHidden/>
    <w:rsid w:val="00740ECE"/>
    <w:pPr>
      <w:framePr w:hSpace="181" w:wrap="around" w:hAnchor="margin" w:yAlign="bottom"/>
      <w:spacing w:before="0" w:after="90"/>
      <w:suppressOverlap/>
    </w:pPr>
    <w:rPr>
      <w:rFonts w:cs="Arial"/>
      <w:color w:val="232222" w:themeColor="text1"/>
      <w:sz w:val="24"/>
    </w:rPr>
  </w:style>
  <w:style w:type="paragraph" w:customStyle="1" w:styleId="DisclaimerTextRightBold12pt">
    <w:name w:val="Disclaimer Text Right Bold 12 pt"/>
    <w:basedOn w:val="DisclaimerTextRightBold"/>
    <w:next w:val="DisclaimerTextRight12pt"/>
    <w:uiPriority w:val="99"/>
    <w:semiHidden/>
    <w:rsid w:val="00E4201F"/>
    <w:pPr>
      <w:framePr w:wrap="around"/>
    </w:pPr>
    <w:rPr>
      <w:sz w:val="24"/>
    </w:rPr>
  </w:style>
  <w:style w:type="paragraph" w:customStyle="1" w:styleId="DisclaimerTextRight">
    <w:name w:val="Disclaimer Text Right"/>
    <w:basedOn w:val="DisclaimerText"/>
    <w:uiPriority w:val="99"/>
    <w:semiHidden/>
    <w:rsid w:val="000957C3"/>
    <w:pPr>
      <w:framePr w:wrap="around"/>
    </w:pPr>
  </w:style>
  <w:style w:type="paragraph" w:customStyle="1" w:styleId="xWebBackCover">
    <w:name w:val="xWebBackCover"/>
    <w:basedOn w:val="NoSpacing"/>
    <w:semiHidden/>
    <w:rsid w:val="00E97B47"/>
    <w:pPr>
      <w:shd w:val="clear" w:color="auto" w:fill="201547" w:themeFill="text2"/>
    </w:pPr>
    <w:rPr>
      <w:b/>
      <w:bCs/>
      <w:color w:val="FFFFFF" w:themeColor="background1"/>
      <w:sz w:val="21"/>
      <w:szCs w:val="21"/>
      <w:lang w:val="en-US"/>
    </w:rPr>
  </w:style>
  <w:style w:type="paragraph" w:customStyle="1" w:styleId="Heading1-Topofpage">
    <w:name w:val="Heading 1 - Top of page"/>
    <w:basedOn w:val="Heading1"/>
    <w:qFormat/>
    <w:rsid w:val="0079482A"/>
    <w:pPr>
      <w:spacing w:before="0"/>
    </w:pPr>
  </w:style>
  <w:style w:type="character" w:customStyle="1" w:styleId="TableTextLeftChar">
    <w:name w:val="Table Text Left Char"/>
    <w:basedOn w:val="DefaultParagraphFont"/>
    <w:link w:val="TableTextLeft"/>
    <w:rsid w:val="00D26A13"/>
    <w:rPr>
      <w:sz w:val="18"/>
    </w:rPr>
  </w:style>
  <w:style w:type="table" w:customStyle="1" w:styleId="Calculations">
    <w:name w:val="Calculations"/>
    <w:basedOn w:val="TableNormal"/>
    <w:uiPriority w:val="99"/>
    <w:rsid w:val="00FE4739"/>
    <w:pPr>
      <w:spacing w:before="70" w:after="70" w:line="240" w:lineRule="auto"/>
    </w:pPr>
    <w:tblPr>
      <w:tblBorders>
        <w:top w:val="single" w:sz="4" w:space="0" w:color="auto"/>
        <w:left w:val="single" w:sz="4" w:space="0" w:color="auto"/>
        <w:bottom w:val="single" w:sz="4" w:space="0" w:color="auto"/>
        <w:right w:val="single" w:sz="4" w:space="0" w:color="auto"/>
        <w:insideH w:val="single" w:sz="4" w:space="0" w:color="auto"/>
      </w:tblBorders>
    </w:tblPr>
    <w:tblStylePr w:type="firstRow">
      <w:rPr>
        <w:rFonts w:asciiTheme="majorHAnsi" w:hAnsiTheme="majorHAnsi"/>
        <w:b/>
        <w:sz w:val="18"/>
      </w:rPr>
      <w:tblPr/>
      <w:tcPr>
        <w:shd w:val="clear" w:color="auto" w:fill="CCE3F5" w:themeFill="background2"/>
      </w:tcPr>
    </w:tblStylePr>
  </w:style>
  <w:style w:type="paragraph" w:styleId="TOC9">
    <w:name w:val="toc 9"/>
    <w:basedOn w:val="Normal"/>
    <w:next w:val="Normal"/>
    <w:autoRedefine/>
    <w:uiPriority w:val="39"/>
    <w:unhideWhenUsed/>
    <w:rsid w:val="00087706"/>
    <w:pPr>
      <w:spacing w:before="0" w:after="100" w:line="259" w:lineRule="auto"/>
      <w:ind w:left="1760"/>
    </w:pPr>
    <w:rPr>
      <w:rFonts w:eastAsiaTheme="minorEastAsia" w:cstheme="minorBidi"/>
      <w:kern w:val="2"/>
      <w:sz w:val="22"/>
      <w:szCs w:val="22"/>
      <w14:ligatures w14:val="standardContextual"/>
    </w:rPr>
  </w:style>
  <w:style w:type="paragraph" w:customStyle="1" w:styleId="xDisclaimertext3">
    <w:name w:val="xDisclaimer text 3"/>
    <w:basedOn w:val="xDisclaimerText"/>
    <w:rsid w:val="00747A21"/>
    <w:pPr>
      <w:spacing w:before="60" w:after="60"/>
    </w:pPr>
  </w:style>
  <w:style w:type="character" w:styleId="PageNumber">
    <w:name w:val="page number"/>
    <w:basedOn w:val="DefaultParagraphFont"/>
    <w:semiHidden/>
    <w:rsid w:val="00747A21"/>
    <w:rPr>
      <w:rFonts w:ascii="Arial" w:hAnsi="Arial"/>
      <w:b/>
      <w:color w:val="auto"/>
      <w:sz w:val="16"/>
    </w:rPr>
  </w:style>
  <w:style w:type="paragraph" w:customStyle="1" w:styleId="Emailaddress">
    <w:name w:val="Email address"/>
    <w:basedOn w:val="Normal"/>
    <w:semiHidden/>
    <w:rsid w:val="00747A21"/>
    <w:pPr>
      <w:spacing w:before="0" w:after="0"/>
    </w:pPr>
    <w:rPr>
      <w:rFonts w:cs="Arial"/>
      <w:color w:val="232222" w:themeColor="text1"/>
      <w:sz w:val="16"/>
      <w:szCs w:val="16"/>
    </w:rPr>
  </w:style>
  <w:style w:type="character" w:customStyle="1" w:styleId="Italics">
    <w:name w:val="Italics"/>
    <w:rsid w:val="00747A21"/>
    <w:rPr>
      <w:i/>
    </w:rPr>
  </w:style>
  <w:style w:type="numbering" w:styleId="1ai">
    <w:name w:val="Outline List 1"/>
    <w:basedOn w:val="NoList"/>
    <w:rsid w:val="00747A21"/>
    <w:pPr>
      <w:numPr>
        <w:numId w:val="15"/>
      </w:numPr>
    </w:pPr>
  </w:style>
  <w:style w:type="paragraph" w:customStyle="1" w:styleId="xDoublePic">
    <w:name w:val="xDoublePic"/>
    <w:basedOn w:val="xInlineShape0"/>
    <w:semiHidden/>
    <w:rsid w:val="00747A21"/>
    <w:pPr>
      <w:spacing w:before="0" w:after="0"/>
    </w:pPr>
  </w:style>
  <w:style w:type="paragraph" w:customStyle="1" w:styleId="Footnotes">
    <w:name w:val="Footnotes"/>
    <w:basedOn w:val="Normal"/>
    <w:rsid w:val="00747A21"/>
    <w:pPr>
      <w:keepLines/>
      <w:numPr>
        <w:numId w:val="17"/>
      </w:numPr>
      <w:spacing w:before="60" w:after="100" w:afterAutospacing="1" w:line="180" w:lineRule="exact"/>
    </w:pPr>
    <w:rPr>
      <w:rFonts w:cs="Arial"/>
      <w:color w:val="232222" w:themeColor="text1"/>
      <w:sz w:val="14"/>
    </w:rPr>
  </w:style>
  <w:style w:type="character" w:customStyle="1" w:styleId="Superscript">
    <w:name w:val="Superscript"/>
    <w:semiHidden/>
    <w:rsid w:val="00747A21"/>
    <w:rPr>
      <w:vertAlign w:val="superscript"/>
    </w:rPr>
  </w:style>
  <w:style w:type="paragraph" w:customStyle="1" w:styleId="TableTextNumbered">
    <w:name w:val="Table Text Numbered"/>
    <w:basedOn w:val="TableTextLeft"/>
    <w:qFormat/>
    <w:rsid w:val="00747A21"/>
    <w:pPr>
      <w:tabs>
        <w:tab w:val="num" w:pos="482"/>
      </w:tabs>
      <w:spacing w:before="60" w:after="60" w:line="220" w:lineRule="atLeast"/>
      <w:ind w:left="482" w:right="113" w:hanging="369"/>
    </w:pPr>
    <w:rPr>
      <w:rFonts w:cs="Arial"/>
      <w:color w:val="232222" w:themeColor="text1"/>
    </w:rPr>
  </w:style>
  <w:style w:type="paragraph" w:customStyle="1" w:styleId="BoldHeading">
    <w:name w:val="Bold Heading"/>
    <w:basedOn w:val="Normal"/>
    <w:next w:val="BodyText"/>
    <w:qFormat/>
    <w:rsid w:val="00747A21"/>
    <w:pPr>
      <w:spacing w:before="280" w:after="240"/>
    </w:pPr>
    <w:rPr>
      <w:rFonts w:cs="Arial"/>
      <w:b/>
      <w:color w:val="232222" w:themeColor="text1"/>
    </w:rPr>
  </w:style>
  <w:style w:type="paragraph" w:customStyle="1" w:styleId="xInlineShape0">
    <w:name w:val="xInlineShape"/>
    <w:basedOn w:val="Normal"/>
    <w:next w:val="BodyText"/>
    <w:uiPriority w:val="3"/>
    <w:semiHidden/>
    <w:rsid w:val="00747A21"/>
    <w:pPr>
      <w:keepNext/>
      <w:spacing w:after="20" w:line="240" w:lineRule="auto"/>
    </w:pPr>
    <w:rPr>
      <w:rFonts w:cs="Arial"/>
      <w:color w:val="232222" w:themeColor="text1"/>
    </w:rPr>
  </w:style>
  <w:style w:type="paragraph" w:customStyle="1" w:styleId="TOFHeading">
    <w:name w:val="TOF Heading"/>
    <w:basedOn w:val="Normal"/>
    <w:uiPriority w:val="99"/>
    <w:rsid w:val="00747A21"/>
    <w:pPr>
      <w:keepNext/>
      <w:tabs>
        <w:tab w:val="left" w:pos="2268"/>
      </w:tabs>
      <w:spacing w:before="240" w:after="60"/>
    </w:pPr>
    <w:rPr>
      <w:rFonts w:cs="Arial"/>
      <w:b/>
      <w:color w:val="201547" w:themeColor="text2"/>
      <w:szCs w:val="32"/>
    </w:rPr>
  </w:style>
  <w:style w:type="paragraph" w:customStyle="1" w:styleId="AppendixHeading3">
    <w:name w:val="Appendix Heading 3"/>
    <w:basedOn w:val="Normal"/>
    <w:next w:val="BodyText"/>
    <w:uiPriority w:val="2"/>
    <w:rsid w:val="00747A21"/>
    <w:pPr>
      <w:keepNext/>
      <w:keepLines/>
      <w:tabs>
        <w:tab w:val="left" w:pos="1559"/>
        <w:tab w:val="left" w:pos="1843"/>
        <w:tab w:val="left" w:pos="2126"/>
        <w:tab w:val="left" w:pos="2410"/>
        <w:tab w:val="left" w:pos="6804"/>
      </w:tabs>
      <w:spacing w:before="100" w:after="100" w:line="240" w:lineRule="exact"/>
    </w:pPr>
    <w:rPr>
      <w:rFonts w:asciiTheme="majorHAnsi" w:hAnsiTheme="majorHAnsi" w:cs="Arial"/>
      <w:b/>
      <w:i/>
      <w:color w:val="494847"/>
    </w:rPr>
  </w:style>
  <w:style w:type="paragraph" w:customStyle="1" w:styleId="TableofContents2">
    <w:name w:val="TableofContents2"/>
    <w:basedOn w:val="Normal"/>
    <w:semiHidden/>
    <w:rsid w:val="00747A21"/>
    <w:pPr>
      <w:keepNext/>
      <w:spacing w:before="0" w:line="230" w:lineRule="auto"/>
    </w:pPr>
    <w:rPr>
      <w:rFonts w:cs="Arial"/>
      <w:color w:val="232222" w:themeColor="text1"/>
      <w:spacing w:val="-6"/>
      <w:sz w:val="40"/>
      <w:szCs w:val="28"/>
    </w:rPr>
  </w:style>
  <w:style w:type="character" w:customStyle="1" w:styleId="Bold">
    <w:name w:val="Bold"/>
    <w:semiHidden/>
    <w:rsid w:val="00747A21"/>
    <w:rPr>
      <w:b/>
    </w:rPr>
  </w:style>
  <w:style w:type="paragraph" w:customStyle="1" w:styleId="xContactDetails">
    <w:name w:val="xContact Details"/>
    <w:basedOn w:val="TableTextLeft"/>
    <w:uiPriority w:val="3"/>
    <w:semiHidden/>
    <w:rsid w:val="00747A21"/>
    <w:pPr>
      <w:spacing w:before="40" w:after="60" w:line="220" w:lineRule="atLeast"/>
      <w:ind w:left="113" w:right="113"/>
      <w:contextualSpacing/>
    </w:pPr>
    <w:rPr>
      <w:rFonts w:cs="Arial"/>
      <w:color w:val="232222" w:themeColor="text1"/>
      <w:sz w:val="16"/>
    </w:rPr>
  </w:style>
  <w:style w:type="paragraph" w:customStyle="1" w:styleId="xEntityDetails">
    <w:name w:val="xEntity Details"/>
    <w:basedOn w:val="xContactDetails"/>
    <w:uiPriority w:val="3"/>
    <w:semiHidden/>
    <w:rsid w:val="00747A21"/>
    <w:pPr>
      <w:framePr w:wrap="around" w:hAnchor="text"/>
    </w:pPr>
  </w:style>
  <w:style w:type="paragraph" w:customStyle="1" w:styleId="xStatus">
    <w:name w:val="xStatus"/>
    <w:basedOn w:val="Normal"/>
    <w:uiPriority w:val="3"/>
    <w:semiHidden/>
    <w:rsid w:val="00747A21"/>
    <w:pPr>
      <w:tabs>
        <w:tab w:val="left" w:pos="1134"/>
        <w:tab w:val="left" w:pos="2268"/>
        <w:tab w:val="left" w:pos="3402"/>
        <w:tab w:val="left" w:pos="4536"/>
        <w:tab w:val="left" w:pos="5103"/>
      </w:tabs>
      <w:spacing w:before="0" w:after="0" w:line="240" w:lineRule="auto"/>
      <w:jc w:val="center"/>
    </w:pPr>
    <w:rPr>
      <w:rFonts w:cs="Arial"/>
      <w:caps/>
      <w:color w:val="EAEAEA"/>
      <w:spacing w:val="40"/>
      <w:sz w:val="120"/>
      <w:szCs w:val="24"/>
    </w:rPr>
  </w:style>
  <w:style w:type="paragraph" w:customStyle="1" w:styleId="AppendixHeading2">
    <w:name w:val="Appendix Heading 2"/>
    <w:basedOn w:val="Normal"/>
    <w:next w:val="BodyText"/>
    <w:uiPriority w:val="2"/>
    <w:rsid w:val="00747A21"/>
    <w:pPr>
      <w:keepNext/>
      <w:keepLines/>
      <w:tabs>
        <w:tab w:val="left" w:pos="1559"/>
        <w:tab w:val="left" w:pos="1843"/>
        <w:tab w:val="left" w:pos="2126"/>
        <w:tab w:val="left" w:pos="2410"/>
      </w:tabs>
      <w:spacing w:before="100" w:after="100" w:line="240" w:lineRule="exact"/>
    </w:pPr>
    <w:rPr>
      <w:rFonts w:cs="Arial"/>
      <w:b/>
      <w:color w:val="494847"/>
    </w:rPr>
  </w:style>
  <w:style w:type="character" w:styleId="IntenseEmphasis">
    <w:name w:val="Intense Emphasis"/>
    <w:rsid w:val="00747A21"/>
    <w:rPr>
      <w:b/>
      <w:bCs/>
      <w:i/>
      <w:iCs/>
      <w:color w:val="auto"/>
    </w:rPr>
  </w:style>
  <w:style w:type="paragraph" w:styleId="IntenseQuote">
    <w:name w:val="Intense Quote"/>
    <w:basedOn w:val="Normal"/>
    <w:next w:val="Normal"/>
    <w:link w:val="IntenseQuoteChar"/>
    <w:rsid w:val="00747A21"/>
    <w:pPr>
      <w:pBdr>
        <w:bottom w:val="single" w:sz="4" w:space="4" w:color="0072CE" w:themeColor="accent1"/>
      </w:pBdr>
      <w:spacing w:before="200" w:after="280"/>
      <w:ind w:left="936" w:right="936"/>
    </w:pPr>
    <w:rPr>
      <w:rFonts w:cs="Arial"/>
      <w:b/>
      <w:bCs/>
      <w:i/>
      <w:iCs/>
      <w:color w:val="CCE3F5" w:themeColor="background2"/>
    </w:rPr>
  </w:style>
  <w:style w:type="character" w:customStyle="1" w:styleId="IntenseQuoteChar">
    <w:name w:val="Intense Quote Char"/>
    <w:basedOn w:val="DefaultParagraphFont"/>
    <w:link w:val="IntenseQuote"/>
    <w:rsid w:val="00747A21"/>
    <w:rPr>
      <w:rFonts w:cs="Arial"/>
      <w:b/>
      <w:bCs/>
      <w:i/>
      <w:iCs/>
      <w:color w:val="CCE3F5" w:themeColor="background2"/>
    </w:rPr>
  </w:style>
  <w:style w:type="paragraph" w:customStyle="1" w:styleId="PullOutBoxBodyText">
    <w:name w:val="Pull Out Box Body Text"/>
    <w:basedOn w:val="Normal"/>
    <w:qFormat/>
    <w:rsid w:val="00747A21"/>
    <w:pPr>
      <w:ind w:left="142" w:right="142"/>
    </w:pPr>
    <w:rPr>
      <w:rFonts w:cs="Arial"/>
      <w:color w:val="232222" w:themeColor="text1"/>
    </w:rPr>
  </w:style>
  <w:style w:type="paragraph" w:customStyle="1" w:styleId="PullOutBoxHeading">
    <w:name w:val="Pull Out Box Heading"/>
    <w:basedOn w:val="PullOutBoxBodyText"/>
    <w:next w:val="PullOutBoxBodyText"/>
    <w:qFormat/>
    <w:rsid w:val="00747A21"/>
    <w:pPr>
      <w:keepNext/>
      <w:keepLines/>
    </w:pPr>
    <w:rPr>
      <w:b/>
      <w:szCs w:val="24"/>
    </w:rPr>
  </w:style>
  <w:style w:type="paragraph" w:customStyle="1" w:styleId="PullOutBoxBullet">
    <w:name w:val="Pull Out Box Bullet"/>
    <w:basedOn w:val="PullOutBoxBodyText"/>
    <w:qFormat/>
    <w:rsid w:val="00747A21"/>
    <w:pPr>
      <w:tabs>
        <w:tab w:val="num" w:pos="567"/>
      </w:tabs>
      <w:ind w:left="312" w:hanging="170"/>
    </w:pPr>
  </w:style>
  <w:style w:type="paragraph" w:customStyle="1" w:styleId="PullOutBoxBullet2">
    <w:name w:val="Pull Out Box Bullet 2"/>
    <w:basedOn w:val="PullOutBoxBodyText"/>
    <w:qFormat/>
    <w:rsid w:val="00747A21"/>
    <w:pPr>
      <w:tabs>
        <w:tab w:val="num" w:pos="851"/>
      </w:tabs>
      <w:ind w:left="482" w:hanging="170"/>
    </w:pPr>
  </w:style>
  <w:style w:type="paragraph" w:customStyle="1" w:styleId="PullOutBoxBullet3">
    <w:name w:val="Pull Out Box Bullet 3"/>
    <w:basedOn w:val="PullOutBoxBodyText"/>
    <w:qFormat/>
    <w:rsid w:val="00747A21"/>
    <w:pPr>
      <w:tabs>
        <w:tab w:val="num" w:pos="1134"/>
      </w:tabs>
      <w:ind w:left="652" w:hanging="170"/>
    </w:pPr>
  </w:style>
  <w:style w:type="paragraph" w:customStyle="1" w:styleId="xBackPageWebAddress">
    <w:name w:val="xBack Page Web Address"/>
    <w:basedOn w:val="Normal"/>
    <w:semiHidden/>
    <w:rsid w:val="00747A21"/>
    <w:pPr>
      <w:spacing w:before="140" w:after="0"/>
    </w:pPr>
    <w:rPr>
      <w:rFonts w:cs="Arial"/>
      <w:color w:val="FFFFFF"/>
      <w:spacing w:val="-6"/>
      <w:sz w:val="36"/>
      <w:szCs w:val="36"/>
    </w:rPr>
  </w:style>
  <w:style w:type="paragraph" w:customStyle="1" w:styleId="xBackPage">
    <w:name w:val="xBack Page"/>
    <w:basedOn w:val="Normal"/>
    <w:semiHidden/>
    <w:rsid w:val="00747A21"/>
    <w:pPr>
      <w:spacing w:before="0" w:after="0"/>
    </w:pPr>
    <w:rPr>
      <w:rFonts w:cs="Arial"/>
      <w:color w:val="FFFFFF"/>
    </w:rPr>
  </w:style>
  <w:style w:type="character" w:customStyle="1" w:styleId="BoldAndItalics">
    <w:name w:val="Bold And Italics"/>
    <w:semiHidden/>
    <w:rsid w:val="00747A21"/>
    <w:rPr>
      <w:b/>
      <w:i/>
    </w:rPr>
  </w:style>
  <w:style w:type="paragraph" w:customStyle="1" w:styleId="CaptionDescriptive">
    <w:name w:val="Caption Descriptive"/>
    <w:basedOn w:val="BodyText"/>
    <w:next w:val="BodyText"/>
    <w:rsid w:val="00747A21"/>
    <w:pPr>
      <w:spacing w:before="60" w:after="60" w:line="240" w:lineRule="auto"/>
      <w:ind w:right="227"/>
      <w:jc w:val="left"/>
    </w:pPr>
    <w:rPr>
      <w:i/>
      <w:color w:val="232222" w:themeColor="text1"/>
      <w:sz w:val="18"/>
      <w:szCs w:val="14"/>
      <w:lang w:eastAsia="en-US"/>
    </w:rPr>
  </w:style>
  <w:style w:type="character" w:customStyle="1" w:styleId="MySuperscript">
    <w:name w:val="MySuperscript"/>
    <w:uiPriority w:val="1"/>
    <w:semiHidden/>
    <w:rsid w:val="00747A21"/>
    <w:rPr>
      <w:vertAlign w:val="superscript"/>
    </w:rPr>
  </w:style>
  <w:style w:type="character" w:customStyle="1" w:styleId="MySubscript">
    <w:name w:val="MySubscript"/>
    <w:uiPriority w:val="1"/>
    <w:semiHidden/>
    <w:rsid w:val="00747A21"/>
    <w:rPr>
      <w:vertAlign w:val="subscript"/>
    </w:rPr>
  </w:style>
  <w:style w:type="character" w:customStyle="1" w:styleId="MySuperscriptItalics">
    <w:name w:val="MySuperscript&amp;Italics"/>
    <w:uiPriority w:val="1"/>
    <w:semiHidden/>
    <w:rsid w:val="00747A21"/>
    <w:rPr>
      <w:i/>
      <w:vertAlign w:val="superscript"/>
    </w:rPr>
  </w:style>
  <w:style w:type="character" w:customStyle="1" w:styleId="MySubscriptItalics">
    <w:name w:val="MySubscript&amp;Italics"/>
    <w:uiPriority w:val="1"/>
    <w:semiHidden/>
    <w:rsid w:val="00747A21"/>
    <w:rPr>
      <w:i/>
      <w:vertAlign w:val="subscript"/>
    </w:rPr>
  </w:style>
  <w:style w:type="paragraph" w:customStyle="1" w:styleId="PullOutBoxNumbered">
    <w:name w:val="Pull Out Box Numbered"/>
    <w:basedOn w:val="PullOutBoxBodyText"/>
    <w:qFormat/>
    <w:rsid w:val="00747A21"/>
    <w:pPr>
      <w:numPr>
        <w:numId w:val="16"/>
      </w:numPr>
    </w:pPr>
  </w:style>
  <w:style w:type="paragraph" w:customStyle="1" w:styleId="PullOutBoxNumbered2">
    <w:name w:val="Pull Out Box Numbered 2"/>
    <w:basedOn w:val="PullOutBoxBodyText"/>
    <w:qFormat/>
    <w:rsid w:val="00747A21"/>
    <w:pPr>
      <w:numPr>
        <w:ilvl w:val="1"/>
        <w:numId w:val="16"/>
      </w:numPr>
    </w:pPr>
  </w:style>
  <w:style w:type="paragraph" w:customStyle="1" w:styleId="PullOutBoxNumbered3">
    <w:name w:val="Pull Out Box Numbered 3"/>
    <w:basedOn w:val="PullOutBoxBodyText"/>
    <w:qFormat/>
    <w:rsid w:val="00747A21"/>
    <w:pPr>
      <w:numPr>
        <w:ilvl w:val="2"/>
        <w:numId w:val="16"/>
      </w:numPr>
    </w:pPr>
  </w:style>
  <w:style w:type="paragraph" w:customStyle="1" w:styleId="xDisclaimerText2">
    <w:name w:val="xDisclaimer Text 2"/>
    <w:basedOn w:val="xDisclaimerText"/>
    <w:rsid w:val="00747A21"/>
    <w:pPr>
      <w:spacing w:before="180" w:after="170"/>
    </w:pPr>
  </w:style>
  <w:style w:type="paragraph" w:customStyle="1" w:styleId="Heading1TopofPage">
    <w:name w:val="Heading 1 Top of Page"/>
    <w:basedOn w:val="Heading1"/>
    <w:next w:val="BodyText"/>
    <w:qFormat/>
    <w:rsid w:val="00747A21"/>
    <w:pPr>
      <w:keepLines/>
      <w:pageBreakBefore/>
      <w:framePr w:w="11907" w:h="1701" w:hSpace="11340" w:wrap="around" w:vAnchor="page" w:hAnchor="page" w:yAlign="top"/>
      <w:spacing w:before="1300" w:after="360" w:line="440" w:lineRule="exact"/>
      <w:ind w:left="1134" w:right="1134"/>
    </w:pPr>
    <w:rPr>
      <w:rFonts w:asciiTheme="minorHAnsi" w:eastAsia="Times New Roman" w:hAnsiTheme="minorHAnsi" w:cs="Arial"/>
      <w:b/>
      <w:spacing w:val="0"/>
      <w:kern w:val="32"/>
      <w:szCs w:val="32"/>
    </w:rPr>
  </w:style>
  <w:style w:type="paragraph" w:customStyle="1" w:styleId="SectionHeading">
    <w:name w:val="Section Heading"/>
    <w:basedOn w:val="Normal"/>
    <w:next w:val="BodyText"/>
    <w:semiHidden/>
    <w:qFormat/>
    <w:rsid w:val="00747A21"/>
    <w:pPr>
      <w:keepLines/>
      <w:pageBreakBefore/>
      <w:framePr w:w="11907" w:h="2155" w:hSpace="181" w:wrap="around" w:vAnchor="page" w:hAnchor="page" w:xAlign="right" w:yAlign="top"/>
      <w:spacing w:before="1300" w:after="0"/>
      <w:ind w:left="1134" w:right="1134"/>
      <w:suppressOverlap/>
      <w:jc w:val="right"/>
      <w:outlineLvl w:val="4"/>
    </w:pPr>
    <w:rPr>
      <w:rFonts w:cs="Arial"/>
      <w:b/>
      <w:color w:val="201547" w:themeColor="text2"/>
      <w:sz w:val="40"/>
      <w:szCs w:val="40"/>
    </w:rPr>
  </w:style>
  <w:style w:type="paragraph" w:customStyle="1" w:styleId="TitleBarText">
    <w:name w:val="Title Bar Text"/>
    <w:basedOn w:val="Normal"/>
    <w:uiPriority w:val="99"/>
    <w:qFormat/>
    <w:rsid w:val="00747A21"/>
    <w:pPr>
      <w:spacing w:before="0" w:after="0" w:line="360" w:lineRule="exact"/>
      <w:jc w:val="right"/>
    </w:pPr>
    <w:rPr>
      <w:rFonts w:ascii="Arial Narrow" w:hAnsi="Arial Narrow" w:cs="Arial"/>
      <w:color w:val="FFFFFF"/>
      <w:spacing w:val="-2"/>
      <w:sz w:val="28"/>
      <w:szCs w:val="28"/>
    </w:rPr>
  </w:style>
  <w:style w:type="paragraph" w:customStyle="1" w:styleId="Footnotes2">
    <w:name w:val="Footnotes 2"/>
    <w:basedOn w:val="Normal"/>
    <w:rsid w:val="00747A21"/>
    <w:pPr>
      <w:numPr>
        <w:ilvl w:val="1"/>
        <w:numId w:val="17"/>
      </w:numPr>
      <w:spacing w:before="0" w:after="100" w:afterAutospacing="1" w:line="180" w:lineRule="atLeast"/>
      <w:ind w:left="568" w:hanging="284"/>
      <w:contextualSpacing/>
    </w:pPr>
    <w:rPr>
      <w:rFonts w:cs="Arial"/>
      <w:color w:val="232222" w:themeColor="text1"/>
      <w:sz w:val="14"/>
    </w:rPr>
  </w:style>
  <w:style w:type="table" w:customStyle="1" w:styleId="HighlightTable">
    <w:name w:val="Highlight Table"/>
    <w:basedOn w:val="TableNormal"/>
    <w:uiPriority w:val="99"/>
    <w:rsid w:val="00747A21"/>
    <w:pPr>
      <w:spacing w:before="0" w:after="0" w:line="240" w:lineRule="auto"/>
    </w:pPr>
    <w:rPr>
      <w:rFonts w:cs="Arial"/>
      <w:color w:val="FFFFFF"/>
      <w:sz w:val="24"/>
    </w:rPr>
    <w:tblPr>
      <w:tblCellMar>
        <w:top w:w="227" w:type="dxa"/>
        <w:left w:w="0" w:type="dxa"/>
        <w:bottom w:w="227" w:type="dxa"/>
        <w:right w:w="0" w:type="dxa"/>
      </w:tblCellMar>
    </w:tblPr>
    <w:tcPr>
      <w:shd w:val="clear" w:color="auto" w:fill="201547" w:themeFill="text2"/>
    </w:tcPr>
  </w:style>
  <w:style w:type="paragraph" w:customStyle="1" w:styleId="BodyText100ThemeColour">
    <w:name w:val="Body Text 100% Theme Colour"/>
    <w:basedOn w:val="BodyText"/>
    <w:qFormat/>
    <w:rsid w:val="00747A21"/>
    <w:pPr>
      <w:spacing w:before="60"/>
      <w:jc w:val="left"/>
    </w:pPr>
    <w:rPr>
      <w:color w:val="201547" w:themeColor="text2"/>
      <w:lang w:eastAsia="en-US"/>
    </w:rPr>
  </w:style>
  <w:style w:type="paragraph" w:customStyle="1" w:styleId="CaptionImageorFigure">
    <w:name w:val="Caption Image or Figure"/>
    <w:basedOn w:val="Caption"/>
    <w:qFormat/>
    <w:rsid w:val="00747A21"/>
    <w:pPr>
      <w:tabs>
        <w:tab w:val="clear" w:pos="1191"/>
      </w:tabs>
      <w:spacing w:before="60" w:line="200" w:lineRule="atLeast"/>
      <w:ind w:left="0" w:firstLine="0"/>
    </w:pPr>
    <w:rPr>
      <w:rFonts w:cs="Arial"/>
      <w:bCs/>
      <w:color w:val="232222" w:themeColor="text1"/>
      <w:sz w:val="16"/>
      <w14:numSpacing w14:val="default"/>
    </w:rPr>
  </w:style>
  <w:style w:type="paragraph" w:customStyle="1" w:styleId="PhotoCredit">
    <w:name w:val="Photo Credit"/>
    <w:basedOn w:val="CaptionDescriptive"/>
    <w:next w:val="BodyText"/>
    <w:qFormat/>
    <w:rsid w:val="00747A21"/>
    <w:rPr>
      <w:i w:val="0"/>
      <w:sz w:val="16"/>
    </w:rPr>
  </w:style>
  <w:style w:type="character" w:customStyle="1" w:styleId="MyUnderline">
    <w:name w:val="MyUnderline"/>
    <w:uiPriority w:val="1"/>
    <w:semiHidden/>
    <w:rsid w:val="00747A21"/>
    <w:rPr>
      <w:u w:val="single"/>
      <w:lang w:eastAsia="en-AU"/>
    </w:rPr>
  </w:style>
  <w:style w:type="character" w:customStyle="1" w:styleId="MyBoldItalicsUnderline">
    <w:name w:val="MyBoldItalicsUnderline"/>
    <w:uiPriority w:val="1"/>
    <w:semiHidden/>
    <w:rsid w:val="00747A21"/>
    <w:rPr>
      <w:b/>
      <w:i/>
      <w:u w:val="single"/>
    </w:rPr>
  </w:style>
  <w:style w:type="character" w:customStyle="1" w:styleId="MyBoldUnderline">
    <w:name w:val="MyBoldUnderline"/>
    <w:uiPriority w:val="1"/>
    <w:semiHidden/>
    <w:rsid w:val="00747A21"/>
    <w:rPr>
      <w:b/>
      <w:u w:val="single"/>
    </w:rPr>
  </w:style>
  <w:style w:type="character" w:customStyle="1" w:styleId="MyItalicsUnderline">
    <w:name w:val="MyItalicsUnderline"/>
    <w:uiPriority w:val="1"/>
    <w:semiHidden/>
    <w:rsid w:val="00747A21"/>
    <w:rPr>
      <w:i/>
      <w:u w:val="single"/>
    </w:rPr>
  </w:style>
  <w:style w:type="paragraph" w:customStyle="1" w:styleId="SmallBullet">
    <w:name w:val="Small Bullet"/>
    <w:basedOn w:val="SmallBodyText"/>
    <w:qFormat/>
    <w:rsid w:val="00747A21"/>
    <w:pPr>
      <w:numPr>
        <w:numId w:val="18"/>
      </w:numPr>
      <w:spacing w:before="40" w:after="40" w:line="220" w:lineRule="atLeast"/>
      <w:ind w:right="3119"/>
    </w:pPr>
    <w:rPr>
      <w:rFonts w:cs="Arial"/>
      <w:color w:val="232222" w:themeColor="text1"/>
    </w:rPr>
  </w:style>
  <w:style w:type="paragraph" w:customStyle="1" w:styleId="SmallHeading">
    <w:name w:val="Small Heading"/>
    <w:basedOn w:val="xDisclaimerHeading"/>
    <w:next w:val="SmallBodyText"/>
    <w:qFormat/>
    <w:rsid w:val="00747A21"/>
    <w:pPr>
      <w:spacing w:before="170" w:after="40" w:line="220" w:lineRule="atLeast"/>
      <w:ind w:right="3119"/>
    </w:pPr>
    <w:rPr>
      <w:rFonts w:cs="Arial"/>
      <w:color w:val="232222" w:themeColor="text1"/>
      <w:sz w:val="18"/>
    </w:rPr>
  </w:style>
  <w:style w:type="paragraph" w:customStyle="1" w:styleId="xWeb">
    <w:name w:val="xWeb"/>
    <w:basedOn w:val="Normal"/>
    <w:semiHidden/>
    <w:qFormat/>
    <w:rsid w:val="00747A21"/>
    <w:pPr>
      <w:spacing w:before="0" w:after="0" w:line="240" w:lineRule="auto"/>
    </w:pPr>
    <w:rPr>
      <w:rFonts w:cs="Arial"/>
      <w:color w:val="636366"/>
      <w:spacing w:val="-4"/>
      <w:sz w:val="36"/>
      <w:szCs w:val="42"/>
    </w:rPr>
  </w:style>
  <w:style w:type="table" w:customStyle="1" w:styleId="DELWPTableNormal">
    <w:name w:val="DELWP Table Normal"/>
    <w:basedOn w:val="TableNormal"/>
    <w:uiPriority w:val="99"/>
    <w:rsid w:val="00747A21"/>
    <w:pPr>
      <w:spacing w:before="0" w:after="0" w:line="240" w:lineRule="auto"/>
    </w:pPr>
    <w:rPr>
      <w:rFonts w:cs="Arial"/>
      <w:color w:val="232222" w:themeColor="text1"/>
    </w:rPr>
    <w:tblPr/>
  </w:style>
  <w:style w:type="paragraph" w:customStyle="1" w:styleId="xAccessibilityText">
    <w:name w:val="xAccessibility Text"/>
    <w:basedOn w:val="Normal"/>
    <w:semiHidden/>
    <w:qFormat/>
    <w:rsid w:val="00747A21"/>
    <w:pPr>
      <w:spacing w:before="0" w:after="0" w:line="300" w:lineRule="exact"/>
    </w:pPr>
    <w:rPr>
      <w:rFonts w:cs="Arial"/>
      <w:color w:val="232222" w:themeColor="text1"/>
      <w:sz w:val="24"/>
    </w:rPr>
  </w:style>
  <w:style w:type="paragraph" w:customStyle="1" w:styleId="xAccessibilityHeading">
    <w:name w:val="xAccessibility Heading"/>
    <w:basedOn w:val="Normal"/>
    <w:semiHidden/>
    <w:qFormat/>
    <w:rsid w:val="00747A21"/>
    <w:pPr>
      <w:spacing w:before="170" w:after="20" w:line="300" w:lineRule="exact"/>
    </w:pPr>
    <w:rPr>
      <w:rFonts w:cs="Arial"/>
      <w:b/>
      <w:color w:val="232222" w:themeColor="text1"/>
      <w:sz w:val="24"/>
    </w:rPr>
  </w:style>
  <w:style w:type="character" w:customStyle="1" w:styleId="HiddenText">
    <w:name w:val="Hidden Text"/>
    <w:basedOn w:val="DefaultParagraphFont"/>
    <w:uiPriority w:val="1"/>
    <w:qFormat/>
    <w:rsid w:val="00747A21"/>
    <w:rPr>
      <w:color w:val="FF0000"/>
      <w:sz w:val="20"/>
      <w:u w:val="dotted"/>
    </w:rPr>
  </w:style>
  <w:style w:type="numbering" w:customStyle="1" w:styleId="Style1">
    <w:name w:val="Style1"/>
    <w:uiPriority w:val="99"/>
    <w:rsid w:val="00747A21"/>
    <w:pPr>
      <w:numPr>
        <w:numId w:val="19"/>
      </w:numPr>
    </w:pPr>
  </w:style>
  <w:style w:type="table" w:customStyle="1" w:styleId="TableGrid10">
    <w:name w:val="Table Grid1"/>
    <w:basedOn w:val="TableNormal"/>
    <w:next w:val="TableGrid"/>
    <w:rsid w:val="00747A21"/>
    <w:pPr>
      <w:spacing w:before="0" w:after="0" w:line="240" w:lineRule="auto"/>
    </w:pPr>
    <w:rPr>
      <w:rFonts w:ascii="Arial" w:eastAsia="Calibri" w:hAnsi="Arial" w:cs="ArialMT"/>
      <w:color w:val="53565A"/>
      <w:sz w:val="1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747A21"/>
    <w:pPr>
      <w:spacing w:before="60" w:after="60" w:line="220" w:lineRule="atLeast"/>
      <w:ind w:left="113" w:right="113"/>
    </w:pPr>
    <w:rPr>
      <w:rFonts w:ascii="Arial" w:hAnsi="Arial"/>
      <w:color w:val="232222" w:themeColor="text1"/>
      <w:sz w:val="18"/>
    </w:rPr>
    <w:tblPr>
      <w:tblStyleColBandSize w:val="1"/>
      <w:tblInd w:w="0" w:type="nil"/>
      <w:tblBorders>
        <w:top w:val="single" w:sz="8" w:space="0" w:color="201547" w:themeColor="text2"/>
        <w:bottom w:val="single" w:sz="8" w:space="0" w:color="201547" w:themeColor="text2"/>
        <w:insideH w:val="single" w:sz="8" w:space="0" w:color="201547" w:themeColor="text2"/>
      </w:tblBorders>
      <w:tblCellMar>
        <w:left w:w="0" w:type="dxa"/>
        <w:right w:w="0" w:type="dxa"/>
      </w:tblCellMar>
    </w:tblPr>
    <w:tblStylePr w:type="firstRow">
      <w:pPr>
        <w:wordWrap/>
        <w:spacing w:beforeLines="0" w:before="100" w:beforeAutospacing="1" w:afterLines="0" w:after="100" w:afterAutospacing="1" w:line="220" w:lineRule="atLeast"/>
        <w:jc w:val="left"/>
      </w:pPr>
      <w:rPr>
        <w:rFonts w:ascii="Arial" w:hAnsi="Arial" w:cs="Arial" w:hint="default"/>
        <w:b w:val="0"/>
        <w:color w:val="232222" w:themeColor="text1"/>
        <w:sz w:val="18"/>
        <w:szCs w:val="18"/>
      </w:rPr>
      <w:tblPr/>
      <w:tcPr>
        <w:shd w:val="clear" w:color="auto" w:fill="201547" w:themeFill="text2"/>
      </w:tcPr>
    </w:tblStylePr>
    <w:tblStylePr w:type="lastRow">
      <w:rPr>
        <w:b w:val="0"/>
      </w:rPr>
    </w:tblStylePr>
    <w:tblStylePr w:type="lastCol">
      <w:pPr>
        <w:jc w:val="left"/>
      </w:pPr>
    </w:tblStylePr>
    <w:tblStylePr w:type="band1Vert">
      <w:tblPr/>
      <w:tcPr>
        <w:shd w:val="clear" w:color="auto" w:fill="CCE3F5" w:themeFill="background2"/>
      </w:tcPr>
    </w:tblStylePr>
    <w:tblStylePr w:type="nwCell">
      <w:pPr>
        <w:jc w:val="left"/>
      </w:pPr>
      <w:tblPr/>
      <w:tcPr>
        <w:vAlign w:val="center"/>
      </w:tcPr>
    </w:tblStylePr>
  </w:style>
  <w:style w:type="character" w:styleId="Mention">
    <w:name w:val="Mention"/>
    <w:basedOn w:val="DefaultParagraphFont"/>
    <w:uiPriority w:val="99"/>
    <w:unhideWhenUsed/>
    <w:rsid w:val="005F4B2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524489964">
      <w:bodyDiv w:val="1"/>
      <w:marLeft w:val="0"/>
      <w:marRight w:val="0"/>
      <w:marTop w:val="0"/>
      <w:marBottom w:val="0"/>
      <w:divBdr>
        <w:top w:val="none" w:sz="0" w:space="0" w:color="auto"/>
        <w:left w:val="none" w:sz="0" w:space="0" w:color="auto"/>
        <w:bottom w:val="none" w:sz="0" w:space="0" w:color="auto"/>
        <w:right w:val="none" w:sz="0" w:space="0" w:color="auto"/>
      </w:divBdr>
    </w:div>
    <w:div w:id="775640421">
      <w:bodyDiv w:val="1"/>
      <w:marLeft w:val="0"/>
      <w:marRight w:val="0"/>
      <w:marTop w:val="0"/>
      <w:marBottom w:val="0"/>
      <w:divBdr>
        <w:top w:val="none" w:sz="0" w:space="0" w:color="auto"/>
        <w:left w:val="none" w:sz="0" w:space="0" w:color="auto"/>
        <w:bottom w:val="none" w:sz="0" w:space="0" w:color="auto"/>
        <w:right w:val="none" w:sz="0" w:space="0" w:color="auto"/>
      </w:divBdr>
    </w:div>
    <w:div w:id="113803454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footer" Target="footer1.xml"/><Relationship Id="rId39" Type="http://schemas.openxmlformats.org/officeDocument/2006/relationships/glossaryDocument" Target="glossary/document.xml"/><Relationship Id="rId21" Type="http://schemas.openxmlformats.org/officeDocument/2006/relationships/image" Target="media/image7.svg"/><Relationship Id="rId34" Type="http://schemas.openxmlformats.org/officeDocument/2006/relationships/hyperlink" Target="http://www.deeca.vic.gov.au/" TargetMode="External"/><Relationship Id="rId42" Type="http://schemas.openxmlformats.org/officeDocument/2006/relationships/customXml" Target="../customXml/item8.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svg"/><Relationship Id="rId20" Type="http://schemas.openxmlformats.org/officeDocument/2006/relationships/image" Target="media/image6.png"/><Relationship Id="rId29" Type="http://schemas.openxmlformats.org/officeDocument/2006/relationships/footer" Target="footer3.xml"/><Relationship Id="rId4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hyperlink" Target="http://creativecommons.org/licenses/by/4.0/"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svg"/><Relationship Id="rId28" Type="http://schemas.openxmlformats.org/officeDocument/2006/relationships/header" Target="header3.xml"/><Relationship Id="rId36"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image" Target="media/image5.svg"/><Relationship Id="rId31" Type="http://schemas.openxmlformats.org/officeDocument/2006/relationships/hyperlink" Target="http://creativecommons.org/licenses/by/4.0/"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footer" Target="footer2.xml"/><Relationship Id="rId30" Type="http://schemas.openxmlformats.org/officeDocument/2006/relationships/image" Target="media/image10.png"/><Relationship Id="rId35" Type="http://schemas.openxmlformats.org/officeDocument/2006/relationships/hyperlink" Target="http://veet.vic.gov.au"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Users/fionadurante/Downloads/deeca.vic.gov.au" TargetMode="External"/><Relationship Id="rId25" Type="http://schemas.openxmlformats.org/officeDocument/2006/relationships/header" Target="header2.xml"/><Relationship Id="rId33" Type="http://schemas.openxmlformats.org/officeDocument/2006/relationships/hyperlink" Target="mailto:customer.service@deeca.vic.gov.au" TargetMode="External"/><Relationship Id="rId38"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F71D52C1-9AA9-435F-BF7F-FC2614766EC0}">
    <t:Anchor>
      <t:Comment id="1910086900"/>
    </t:Anchor>
    <t:History>
      <t:Event id="{7A8B5A5E-745F-4107-BDEA-52E5BF6C2546}" time="2025-02-17T23:38:04.463Z">
        <t:Attribution userId="S::chris.iape@deeca.vic.gov.au::5abc3fd9-bd5d-41a3-aeb6-6db9246df49f" userProvider="AD" userName="chris Iape (DEECA)"/>
        <t:Anchor>
          <t:Comment id="1910086900"/>
        </t:Anchor>
        <t:Create/>
      </t:Event>
      <t:Event id="{D194F708-637D-4B44-94C2-75DF5C7BEEF0}" time="2025-02-17T23:38:04.463Z">
        <t:Attribution userId="S::chris.iape@deeca.vic.gov.au::5abc3fd9-bd5d-41a3-aeb6-6db9246df49f" userProvider="AD" userName="chris Iape (DEECA)"/>
        <t:Anchor>
          <t:Comment id="1910086900"/>
        </t:Anchor>
        <t:Assign userId="S::emma.jacobs@deeca.vic.gov.au::088a81b2-ebd1-497b-b6f0-6c5b4a31f05c" userProvider="AD" userName="Emma C Jacobs (DEECA)"/>
      </t:Event>
      <t:Event id="{EC1BA682-B855-4EDC-AE87-36CC1C6EEF02}" time="2025-02-17T23:38:04.463Z">
        <t:Attribution userId="S::chris.iape@deeca.vic.gov.au::5abc3fd9-bd5d-41a3-aeb6-6db9246df49f" userProvider="AD" userName="chris Iape (DEECA)"/>
        <t:Anchor>
          <t:Comment id="1910086900"/>
        </t:Anchor>
        <t:SetTitle title="@Emma C Jacobs (DEECA) If you could glance over to check I haven’t broken anything. "/>
      </t:Event>
      <t:Event id="{101BD1BB-6B1B-4641-8C8C-E2E463CA5BD7}" time="2025-04-03T03:03:41.924Z">
        <t:Attribution userId="S::chris.iape@deeca.vic.gov.au::5abc3fd9-bd5d-41a3-aeb6-6db9246df49f" userProvider="AD" userName="chris Iape (DEECA)"/>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C9D371F1CB348F890DB0B95F03189B3"/>
        <w:category>
          <w:name w:val="General"/>
          <w:gallery w:val="placeholder"/>
        </w:category>
        <w:types>
          <w:type w:val="bbPlcHdr"/>
        </w:types>
        <w:behaviors>
          <w:behavior w:val="content"/>
        </w:behaviors>
        <w:guid w:val="{7D39FF6A-BE69-4BEB-8CA2-73B6AFF7C0F1}"/>
      </w:docPartPr>
      <w:docPartBody>
        <w:p w:rsidR="00B539E6" w:rsidRDefault="00B539E6">
          <w:pPr>
            <w:pStyle w:val="8C9D371F1CB348F890DB0B95F03189B3"/>
          </w:pPr>
          <w:r w:rsidRPr="000C4F86">
            <w:rPr>
              <w:rStyle w:val="PlaceholderText"/>
            </w:rPr>
            <w:t>[Title]</w:t>
          </w:r>
        </w:p>
      </w:docPartBody>
    </w:docPart>
    <w:docPart>
      <w:docPartPr>
        <w:name w:val="659DDE45D4994ABBAB797FE09338C615"/>
        <w:category>
          <w:name w:val="General"/>
          <w:gallery w:val="placeholder"/>
        </w:category>
        <w:types>
          <w:type w:val="bbPlcHdr"/>
        </w:types>
        <w:behaviors>
          <w:behavior w:val="content"/>
        </w:behaviors>
        <w:guid w:val="{32277E83-1AD9-4DA4-855B-64127AAE0FCA}"/>
      </w:docPartPr>
      <w:docPartBody>
        <w:p w:rsidR="00B539E6" w:rsidRDefault="00B539E6">
          <w:pPr>
            <w:pStyle w:val="659DDE45D4994ABBAB797FE09338C615"/>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MT">
    <w:altName w:val="Arial"/>
    <w:charset w:val="00"/>
    <w:family w:val="auto"/>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D0"/>
    <w:rsid w:val="00094CD2"/>
    <w:rsid w:val="000D28D9"/>
    <w:rsid w:val="001121CA"/>
    <w:rsid w:val="001B0108"/>
    <w:rsid w:val="00201E4A"/>
    <w:rsid w:val="00236E8C"/>
    <w:rsid w:val="002D649D"/>
    <w:rsid w:val="002D7612"/>
    <w:rsid w:val="0033557A"/>
    <w:rsid w:val="00367D00"/>
    <w:rsid w:val="00392923"/>
    <w:rsid w:val="003E3576"/>
    <w:rsid w:val="0040508D"/>
    <w:rsid w:val="00405C7A"/>
    <w:rsid w:val="004214B5"/>
    <w:rsid w:val="00452678"/>
    <w:rsid w:val="00453169"/>
    <w:rsid w:val="0048476F"/>
    <w:rsid w:val="004C6A3B"/>
    <w:rsid w:val="004F0544"/>
    <w:rsid w:val="00513DE9"/>
    <w:rsid w:val="00515ED0"/>
    <w:rsid w:val="00547707"/>
    <w:rsid w:val="00561D8D"/>
    <w:rsid w:val="00565672"/>
    <w:rsid w:val="00596E17"/>
    <w:rsid w:val="005F2006"/>
    <w:rsid w:val="005F3810"/>
    <w:rsid w:val="006001FE"/>
    <w:rsid w:val="006134FD"/>
    <w:rsid w:val="006424B3"/>
    <w:rsid w:val="00645D15"/>
    <w:rsid w:val="00665FC1"/>
    <w:rsid w:val="00684602"/>
    <w:rsid w:val="006A4FD3"/>
    <w:rsid w:val="00732A44"/>
    <w:rsid w:val="00762E8A"/>
    <w:rsid w:val="00767E76"/>
    <w:rsid w:val="007D47DE"/>
    <w:rsid w:val="007F1667"/>
    <w:rsid w:val="0081194A"/>
    <w:rsid w:val="00860221"/>
    <w:rsid w:val="00924BFD"/>
    <w:rsid w:val="00964BE7"/>
    <w:rsid w:val="00966B3C"/>
    <w:rsid w:val="009908FE"/>
    <w:rsid w:val="009D2AA1"/>
    <w:rsid w:val="00A417F3"/>
    <w:rsid w:val="00A658D0"/>
    <w:rsid w:val="00A856A9"/>
    <w:rsid w:val="00AC1330"/>
    <w:rsid w:val="00AC3520"/>
    <w:rsid w:val="00B165EA"/>
    <w:rsid w:val="00B34291"/>
    <w:rsid w:val="00B43005"/>
    <w:rsid w:val="00B513BF"/>
    <w:rsid w:val="00B539E6"/>
    <w:rsid w:val="00B77E19"/>
    <w:rsid w:val="00BF4551"/>
    <w:rsid w:val="00C03AD5"/>
    <w:rsid w:val="00C77D30"/>
    <w:rsid w:val="00C84473"/>
    <w:rsid w:val="00C95FD3"/>
    <w:rsid w:val="00CA3266"/>
    <w:rsid w:val="00CC6079"/>
    <w:rsid w:val="00D25276"/>
    <w:rsid w:val="00D53168"/>
    <w:rsid w:val="00D95226"/>
    <w:rsid w:val="00DC24F1"/>
    <w:rsid w:val="00DE5814"/>
    <w:rsid w:val="00E028C2"/>
    <w:rsid w:val="00E37395"/>
    <w:rsid w:val="00E8311A"/>
    <w:rsid w:val="00EA55B3"/>
    <w:rsid w:val="00EB7B1C"/>
    <w:rsid w:val="00EC33D9"/>
    <w:rsid w:val="00EC3759"/>
    <w:rsid w:val="00EE1D62"/>
    <w:rsid w:val="00EE42DE"/>
    <w:rsid w:val="00EF639F"/>
    <w:rsid w:val="00F21DF1"/>
    <w:rsid w:val="00F3723E"/>
    <w:rsid w:val="00FA3713"/>
    <w:rsid w:val="00FC6BF3"/>
    <w:rsid w:val="00FF0929"/>
    <w:rsid w:val="00FF1BD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34291"/>
    <w:rPr>
      <w:color w:val="auto"/>
      <w:bdr w:val="none" w:sz="0" w:space="0" w:color="auto"/>
      <w:shd w:val="clear" w:color="auto" w:fill="FFFF00"/>
    </w:rPr>
  </w:style>
  <w:style w:type="paragraph" w:customStyle="1" w:styleId="8C9D371F1CB348F890DB0B95F03189B3">
    <w:name w:val="8C9D371F1CB348F890DB0B95F03189B3"/>
  </w:style>
  <w:style w:type="paragraph" w:customStyle="1" w:styleId="659DDE45D4994ABBAB797FE09338C615">
    <w:name w:val="659DDE45D4994ABBAB797FE09338C6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EECA Energy Theme">
  <a:themeElements>
    <a:clrScheme name="Custom 15">
      <a:dk1>
        <a:srgbClr val="232222"/>
      </a:dk1>
      <a:lt1>
        <a:sysClr val="window" lastClr="FFFFFF"/>
      </a:lt1>
      <a:dk2>
        <a:srgbClr val="201547"/>
      </a:dk2>
      <a:lt2>
        <a:srgbClr val="CCE3F5"/>
      </a:lt2>
      <a:accent1>
        <a:srgbClr val="0072CE"/>
      </a:accent1>
      <a:accent2>
        <a:srgbClr val="EA7200"/>
      </a:accent2>
      <a:accent3>
        <a:srgbClr val="00B2A9"/>
      </a:accent3>
      <a:accent4>
        <a:srgbClr val="201547"/>
      </a:accent4>
      <a:accent5>
        <a:srgbClr val="66AAE2"/>
      </a:accent5>
      <a:accent6>
        <a:srgbClr val="F2AB66"/>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ECA Energy Theme" id="{60285F6E-04E0-4C09-ABD3-8CF014FA7860}" vid="{4CBAAA68-0B86-4E72-B256-7C5D288ED6B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97aeec6-0273-40f2-ab3e-beee73212332" ContentTypeId="0x0101002517F445A0F35E449C98AAD631F2B0384A03" PreviousValue="false"/>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ct:contentTypeSchema xmlns:ct="http://schemas.microsoft.com/office/2006/metadata/contentType" xmlns:ma="http://schemas.microsoft.com/office/2006/metadata/properties/metaAttributes" ct:_="" ma:_="" ma:contentTypeName="Procurement Documentation" ma:contentTypeID="0x0101002517F445A0F35E449C98AAD631F2B0384A0300C38141D4F7A7F34798A65768EAB85CBB" ma:contentTypeVersion="14" ma:contentTypeDescription="Includes RFT and RFQ, responses, and reply letters - DEPI" ma:contentTypeScope="" ma:versionID="0b40e9c729712221f55d0da7d4f451a6">
  <xsd:schema xmlns:xsd="http://www.w3.org/2001/XMLSchema" xmlns:xs="http://www.w3.org/2001/XMLSchema" xmlns:p="http://schemas.microsoft.com/office/2006/metadata/properties" xmlns:ns1="http://schemas.microsoft.com/sharepoint/v3" xmlns:ns2="a5f32de4-e402-4188-b034-e71ca7d22e54" xmlns:ns3="9fd47c19-1c4a-4d7d-b342-c10cef269344" xmlns:ns4="995b1127-52e5-40e2-9ccd-44f366a94c38" targetNamespace="http://schemas.microsoft.com/office/2006/metadata/properties" ma:root="true" ma:fieldsID="536f7d1c0daebe3f6c9088decfc14ec8" ns1:_="" ns2:_="" ns3:_="" ns4:_="">
    <xsd:import namespace="http://schemas.microsoft.com/sharepoint/v3"/>
    <xsd:import namespace="a5f32de4-e402-4188-b034-e71ca7d22e54"/>
    <xsd:import namespace="9fd47c19-1c4a-4d7d-b342-c10cef269344"/>
    <xsd:import namespace="995b1127-52e5-40e2-9ccd-44f366a94c38"/>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Project_x0020_Phase" minOccurs="0"/>
                <xsd:element ref="ns4:Project_x0020_Name" minOccurs="0"/>
                <xsd:element ref="ns3:fc01d91d9ac346658516d76592d70065" minOccurs="0"/>
                <xsd:element ref="ns2:Date_x0020_Recieved" minOccurs="0"/>
                <xsd:element ref="ns2:Date_x0020_Of_x0020_Original" minOccurs="0"/>
                <xsd:element ref="ns2:Originating_x0020_Author" minOccurs="0"/>
                <xsd:element ref="ns3:ld508a88e6264ce89693af80a72862cb" minOccurs="0"/>
                <xsd:element ref="ns2:Review_x0020_Date" minOccurs="0"/>
                <xsd:element ref="ns2:Referenc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Date_x0020_Recieved" ma:index="36" nillable="true" ma:displayName="Date Received" ma:description="The date stamped on official correspondence." ma:format="DateOnly" ma:internalName="Date_x0020_Recieved">
      <xsd:simpleType>
        <xsd:restriction base="dms:DateTime"/>
      </xsd:simpleType>
    </xsd:element>
    <xsd:element name="Date_x0020_Of_x0020_Original" ma:index="37" nillable="true" ma:displayName="Date Of Original" ma:description="The date which appears on the document." ma:format="DateTime" ma:internalName="Date_x0020_Of_x0020_Original">
      <xsd:simpleType>
        <xsd:restriction base="dms:DateTime"/>
      </xsd:simpleType>
    </xsd:element>
    <xsd:element name="Originating_x0020_Author" ma:index="38" nillable="true" ma:displayName="Originating Author" ma:description="The original person or organisation from which the object came from." ma:internalName="Originating_x0020_Author">
      <xsd:simpleType>
        <xsd:restriction base="dms:Text">
          <xsd:maxLength value="255"/>
        </xsd:restriction>
      </xsd:simpleType>
    </xsd:element>
    <xsd:element name="Review_x0020_Date" ma:index="40" nillable="true" ma:displayName="Review Date" ma:description="This is the date that you will be alerted to review your object." ma:format="DateOnly" ma:internalName="Review_x0020_Date">
      <xsd:simpleType>
        <xsd:restriction base="dms:DateTime"/>
      </xsd:simpleType>
    </xsd:element>
    <xsd:element name="Reference_x0020_Number" ma:index="41" nillable="true" ma:displayName="Reference Number" ma:internalName="Reference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4;#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Energy Efficiency|ef958207-59c7-4f97-84ab-1f83e6060f72"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10e17f15-1dd9-48e4-8d42-107568d6a2cb}" ma:internalName="TaxCatchAll" ma:showField="CatchAllData"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10e17f15-1dd9-48e4-8d42-107568d6a2cb}" ma:internalName="TaxCatchAllLabel" ma:readOnly="true" ma:showField="CatchAllDataLabel"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85;#Energy|40f2c14a-2679-4881-8e58-939b39a0f1d1"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30;#Energy Sector Reform|b9c4f3f1-9538-4841-9a93-00ecd3e35a73"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fc01d91d9ac346658516d76592d70065" ma:index="33" nillable="true" ma:taxonomy="true" ma:internalName="fc01d91d9ac346658516d76592d70065" ma:taxonomyFieldName="Year" ma:displayName="Year" ma:default="" ma:fieldId="{fc01d91d-9ac3-4665-8516-d76592d70065}" ma:sspId="797aeec6-0273-40f2-ab3e-beee73212332" ma:termSetId="ed16dc02-69d9-4de4-bca4-cb136ab21731" ma:anchorId="00000000-0000-0000-0000-000000000000" ma:open="false" ma:isKeyword="false">
      <xsd:complexType>
        <xsd:sequence>
          <xsd:element ref="pc:Terms" minOccurs="0" maxOccurs="1"/>
        </xsd:sequence>
      </xsd:complexType>
    </xsd:element>
    <xsd:element name="ld508a88e6264ce89693af80a72862cb" ma:index="39" nillable="true" ma:taxonomy="true" ma:internalName="ld508a88e6264ce89693af80a72862cb" ma:taxonomyFieldName="Reference_x0020_Type" ma:displayName="Reference Type" ma:default="" ma:fieldId="{5d508a88-e626-4ce8-9693-af80a72862cb}" ma:sspId="797aeec6-0273-40f2-ab3e-beee73212332" ma:termSetId="11043c92-3a71-4a36-852c-b5b476b04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5b1127-52e5-40e2-9ccd-44f366a94c38" elementFormDefault="qualified">
    <xsd:import namespace="http://schemas.microsoft.com/office/2006/documentManagement/types"/>
    <xsd:import namespace="http://schemas.microsoft.com/office/infopath/2007/PartnerControls"/>
    <xsd:element name="Project_x0020_Phase" ma:index="31" nillable="true" ma:displayName="Project Phase" ma:internalName="Project_x0020_Phase">
      <xsd:simpleType>
        <xsd:restriction base="dms:Text">
          <xsd:maxLength value="255"/>
        </xsd:restriction>
      </xsd:simpleType>
    </xsd:element>
    <xsd:element name="Project_x0020_Name" ma:index="32" nillable="true" ma:displayName="Project Name" ma:format="Dropdown" ma:internalName="Project_x0020_Name">
      <xsd:simpleType>
        <xsd:restriction base="dms:Choice">
          <xsd:enumeration value="2017 Sch 34 Discount Factor"/>
          <xsd:enumeration value="Current Specification"/>
          <xsd:enumeration value="Current Regulations"/>
          <xsd:enumeration value="Current PBA Regulations"/>
          <xsd:enumeration value="Specification Updates"/>
          <xsd:enumeration value="Regulatory &amp; Legislative Process and Templates"/>
          <xsd:enumeration value="Regulation Amendments"/>
          <xsd:enumeration value="Legal Advi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 xmlns="a5f32de4-e402-4188-b034-e71ca7d22e54">DOCID252-479383191-746</_dlc_DocId>
    <_dlc_DocIdUrl xmlns="a5f32de4-e402-4188-b034-e71ca7d22e54">
      <Url>https://delwpvicgovau.sharepoint.com/sites/ecm_252/_layouts/15/DocIdRedir.aspx?ID=DOCID252-479383191-746</Url>
      <Description>DOCID252-479383191-746</Description>
    </_dlc_DocIdUrl>
    <Language xmlns="http://schemas.microsoft.com/sharepoint/v3">English</Language>
    <TaxCatchAll xmlns="9fd47c19-1c4a-4d7d-b342-c10cef269344">
      <Value>3</Value>
      <Value>2</Value>
      <Value>1</Value>
      <Value>21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riginating_x0020_Author xmlns="a5f32de4-e402-4188-b034-e71ca7d22e54" xsi:nil="true"/>
    <k1bd994a94c2413797db3bab8f123f6f xmlns="9fd47c19-1c4a-4d7d-b342-c10cef269344">
      <Terms xmlns="http://schemas.microsoft.com/office/infopath/2007/PartnerControls"/>
    </k1bd994a94c2413797db3bab8f123f6f>
    <Review_x0020_Date xmlns="a5f32de4-e402-4188-b034-e71ca7d22e54" xsi:nil="true"/>
    <fc01d91d9ac346658516d76592d70065 xmlns="9fd47c19-1c4a-4d7d-b342-c10cef269344">
      <Terms xmlns="http://schemas.microsoft.com/office/infopath/2007/PartnerControls"/>
    </fc01d91d9ac346658516d76592d7006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x0020_Name xmlns="995b1127-52e5-40e2-9ccd-44f366a94c38">Current Specification</Project_x0020_Name>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Information Services</TermName>
          <TermId xmlns="http://schemas.microsoft.com/office/infopath/2007/PartnerControls">30448c83-753c-4662-9f56-9cde52d6c172</TermId>
        </TermInfo>
      </Terms>
    </n771d69a070c4babbf278c67c8a2b859>
    <Project_x0020_Phase xmlns="995b1127-52e5-40e2-9ccd-44f366a94c38" xsi:nil="true"/>
    <Reference_x0020_Number xmlns="a5f32de4-e402-4188-b034-e71ca7d22e54" xsi:nil="true"/>
    <Date_x0020_Of_x0020_Original xmlns="a5f32de4-e402-4188-b034-e71ca7d22e54" xsi:nil="true"/>
    <mfe9accc5a0b4653a7b513b67ffd122d xmlns="9fd47c19-1c4a-4d7d-b342-c10cef269344">
      <Terms xmlns="http://schemas.microsoft.com/office/infopath/2007/PartnerControl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ate_x0020_Recieved xmlns="a5f32de4-e402-4188-b034-e71ca7d22e54" xsi:nil="true"/>
    <RoutingRuleDescription xmlns="http://schemas.microsoft.com/sharepoint/v3">Specifications</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ic50d0a05a8e4d9791dac67f8a1e716c>
    <ld508a88e6264ce89693af80a72862cb xmlns="9fd47c19-1c4a-4d7d-b342-c10cef269344">
      <Terms xmlns="http://schemas.microsoft.com/office/infopath/2007/PartnerControls"/>
    </ld508a88e6264ce89693af80a72862cb>
  </documentManagement>
</p: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9E20A41C-2256-4422-A59F-A294212C5E14}"/>
</file>

<file path=customXml/itemProps5.xml><?xml version="1.0" encoding="utf-8"?>
<ds:datastoreItem xmlns:ds="http://schemas.openxmlformats.org/officeDocument/2006/customXml" ds:itemID="{3DCD8A49-F29C-4EAF-A3FE-84A3BBC638A4}"/>
</file>

<file path=customXml/itemProps6.xml><?xml version="1.0" encoding="utf-8"?>
<ds:datastoreItem xmlns:ds="http://schemas.openxmlformats.org/officeDocument/2006/customXml" ds:itemID="{4C94502C-DEAC-4716-876F-F6BDFD471F08}"/>
</file>

<file path=customXml/itemProps7.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a5f32de4-e402-4188-b034-e71ca7d22e54"/>
    <ds:schemaRef ds:uri="cae37ace-7a49-4147-b024-43561a7a3263"/>
  </ds:schemaRefs>
</ds:datastoreItem>
</file>

<file path=customXml/itemProps8.xml><?xml version="1.0" encoding="utf-8"?>
<ds:datastoreItem xmlns:ds="http://schemas.openxmlformats.org/officeDocument/2006/customXml" ds:itemID="{45A1CCDB-1279-4348-954C-4044B336FF68}"/>
</file>

<file path=docProps/app.xml><?xml version="1.0" encoding="utf-8"?>
<Properties xmlns="http://schemas.openxmlformats.org/officeDocument/2006/extended-properties" xmlns:vt="http://schemas.openxmlformats.org/officeDocument/2006/docPropsVTypes">
  <Template>Normal</Template>
  <TotalTime>2</TotalTime>
  <Pages>11</Pages>
  <Words>3072</Words>
  <Characters>17512</Characters>
  <Application>Microsoft Office Word</Application>
  <DocSecurity>0</DocSecurity>
  <Lines>145</Lines>
  <Paragraphs>41</Paragraphs>
  <ScaleCrop>false</ScaleCrop>
  <Company/>
  <LinksUpToDate>false</LinksUpToDate>
  <CharactersWithSpaces>20543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Benchmark Rating in Victorian Energy Upgrades</dc:title>
  <dc:subject>Specifications – Version 2.0</dc:subject>
  <dc:creator>Maree P Delaney (DELWP)</dc:creator>
  <cp:keywords/>
  <dc:description/>
  <cp:lastModifiedBy>chris Iape (DEECA)</cp:lastModifiedBy>
  <cp:revision>3</cp:revision>
  <cp:lastPrinted>2025-06-19T05:44:00Z</cp:lastPrinted>
  <dcterms:created xsi:type="dcterms:W3CDTF">2025-06-19T05:42:00Z</dcterms:created>
  <dcterms:modified xsi:type="dcterms:W3CDTF">2025-06-19T05:45:00Z</dcterms:modified>
  <cp:category>Subtitle goes here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0x0101002517F445A0F35E449C98AAD631F2B0384A0300C38141D4F7A7F34798A65768EAB85CBB</vt:lpwstr>
  </property>
  <property fmtid="{D5CDD505-2E9C-101B-9397-08002B2CF9AE}" pid="5" name="MediaServiceImageTags">
    <vt:lpwstr/>
  </property>
  <property fmtid="{D5CDD505-2E9C-101B-9397-08002B2CF9AE}" pid="6" name="ClassificationContentMarkingFooterShapeIds">
    <vt:lpwstr>2e,5d,5e,5f,60,61,62,63,64</vt:lpwstr>
  </property>
  <property fmtid="{D5CDD505-2E9C-101B-9397-08002B2CF9AE}" pid="7" name="ClassificationContentMarkingFooterFontProps">
    <vt:lpwstr>#000000,12,Calibri</vt:lpwstr>
  </property>
  <property fmtid="{D5CDD505-2E9C-101B-9397-08002B2CF9AE}" pid="8" name="ClassificationContentMarkingFooterText">
    <vt:lpwstr>OFFICIAL</vt:lpwstr>
  </property>
  <property fmtid="{D5CDD505-2E9C-101B-9397-08002B2CF9AE}" pid="9" name="MSIP_Label_4257e2ab-f512-40e2-9c9a-c64247360765_Enabled">
    <vt:lpwstr>true</vt:lpwstr>
  </property>
  <property fmtid="{D5CDD505-2E9C-101B-9397-08002B2CF9AE}" pid="10" name="MSIP_Label_4257e2ab-f512-40e2-9c9a-c64247360765_SetDate">
    <vt:lpwstr>2023-10-25T22:24:22Z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b06245d8-f00e-4660-adfc-530e11b28ea0</vt:lpwstr>
  </property>
  <property fmtid="{D5CDD505-2E9C-101B-9397-08002B2CF9AE}" pid="15" name="MSIP_Label_4257e2ab-f512-40e2-9c9a-c64247360765_ContentBits">
    <vt:lpwstr>2</vt:lpwstr>
  </property>
  <property fmtid="{D5CDD505-2E9C-101B-9397-08002B2CF9AE}" pid="16" name="Agency">
    <vt:lpwstr>1;#Department of Environment, Land, Water and Planning|607a3f87-1228-4cd9-82a5-076aa8776274</vt:lpwstr>
  </property>
  <property fmtid="{D5CDD505-2E9C-101B-9397-08002B2CF9AE}" pid="17" name="Division">
    <vt:lpwstr>21;#Information Services|30448c83-753c-4662-9f56-9cde52d6c172</vt:lpwstr>
  </property>
  <property fmtid="{D5CDD505-2E9C-101B-9397-08002B2CF9AE}" pid="18" name="Dissemination Limiting Marker">
    <vt:lpwstr>2;#FOUO|955eb6fc-b35a-4808-8aa5-31e514fa3f26</vt:lpwstr>
  </property>
  <property fmtid="{D5CDD505-2E9C-101B-9397-08002B2CF9AE}" pid="19" name="Security Classification">
    <vt:lpwstr>3;#Unclassified|7fa379f4-4aba-4692-ab80-7d39d3a23cf4</vt:lpwstr>
  </property>
  <property fmtid="{D5CDD505-2E9C-101B-9397-08002B2CF9AE}" pid="20" name="Section">
    <vt:lpwstr/>
  </property>
  <property fmtid="{D5CDD505-2E9C-101B-9397-08002B2CF9AE}" pid="21" name="Sub-Section">
    <vt:lpwstr/>
  </property>
  <property fmtid="{D5CDD505-2E9C-101B-9397-08002B2CF9AE}" pid="22" name="Branch">
    <vt:lpwstr/>
  </property>
  <property fmtid="{D5CDD505-2E9C-101B-9397-08002B2CF9AE}" pid="23" name="Group1">
    <vt:lpwstr/>
  </property>
  <property fmtid="{D5CDD505-2E9C-101B-9397-08002B2CF9AE}" pid="24" name="_dlc_DocIdItemGuid">
    <vt:lpwstr>03aac717-ba55-4f14-b295-4bf1a446f199</vt:lpwstr>
  </property>
  <property fmtid="{D5CDD505-2E9C-101B-9397-08002B2CF9AE}" pid="25" name="Reference_x0020_Type">
    <vt:lpwstr/>
  </property>
  <property fmtid="{D5CDD505-2E9C-101B-9397-08002B2CF9AE}" pid="26" name="Location_x0020_Type">
    <vt:lpwstr/>
  </property>
  <property fmtid="{D5CDD505-2E9C-101B-9397-08002B2CF9AE}" pid="27" name="o2e611f6ba3e4c8f9a895dfb7980639e">
    <vt:lpwstr/>
  </property>
  <property fmtid="{D5CDD505-2E9C-101B-9397-08002B2CF9AE}" pid="28" name="ld508a88e6264ce89693af80a72862cb">
    <vt:lpwstr/>
  </property>
  <property fmtid="{D5CDD505-2E9C-101B-9397-08002B2CF9AE}" pid="29" name="Year">
    <vt:lpwstr/>
  </property>
  <property fmtid="{D5CDD505-2E9C-101B-9397-08002B2CF9AE}" pid="30" name="Location Type">
    <vt:lpwstr/>
  </property>
  <property fmtid="{D5CDD505-2E9C-101B-9397-08002B2CF9AE}" pid="31" name="Reference Type">
    <vt:lpwstr/>
  </property>
  <property fmtid="{D5CDD505-2E9C-101B-9397-08002B2CF9AE}" pid="32" name="SharedWithUsers">
    <vt:lpwstr>1247;#Alex P Atkinson (DEECA);#171;#Jack E Brown (DEECA);#1191;#Andrew Marshall-Juarez (DEECA);#6011;#Benjamin E Chesler (DEECA);#2984;#Maree P Delaney (DEECA);#2820;#Trent C Hartley (DEECA);#791;#Nick D Smith (DEECA)</vt:lpwstr>
  </property>
  <property fmtid="{D5CDD505-2E9C-101B-9397-08002B2CF9AE}" pid="33" name="o85941e134754762b9719660a258a6e6">
    <vt:lpwstr/>
  </property>
  <property fmtid="{D5CDD505-2E9C-101B-9397-08002B2CF9AE}" pid="34" name="Copyright_x0020_Licence_x0020_Name">
    <vt:lpwstr/>
  </property>
  <property fmtid="{D5CDD505-2E9C-101B-9397-08002B2CF9AE}" pid="35" name="df723ab3fe1c4eb7a0b151674e7ac40d">
    <vt:lpwstr/>
  </property>
  <property fmtid="{D5CDD505-2E9C-101B-9397-08002B2CF9AE}" pid="36" name="Copyright_x0020_License_x0020_Type">
    <vt:lpwstr/>
  </property>
  <property fmtid="{D5CDD505-2E9C-101B-9397-08002B2CF9AE}" pid="37" name="Copyright Licence Name">
    <vt:lpwstr/>
  </property>
  <property fmtid="{D5CDD505-2E9C-101B-9397-08002B2CF9AE}" pid="38" name="Copyright License Type">
    <vt:lpwstr/>
  </property>
  <property fmtid="{D5CDD505-2E9C-101B-9397-08002B2CF9AE}" pid="39" name="Sub_x002d_Section">
    <vt:lpwstr/>
  </property>
  <property fmtid="{D5CDD505-2E9C-101B-9397-08002B2CF9AE}" pid="40" name="Security_x0020_Classification">
    <vt:lpwstr>3;#Unclassified|7fa379f4-4aba-4692-ab80-7d39d3a23cf4</vt:lpwstr>
  </property>
  <property fmtid="{D5CDD505-2E9C-101B-9397-08002B2CF9AE}" pid="41" name="Dissemination_x0020_Limiting_x0020_Marker">
    <vt:lpwstr>2;#FOUO|955eb6fc-b35a-4808-8aa5-31e514fa3f26</vt:lpwstr>
  </property>
</Properties>
</file>