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2941B76A" w:rsidR="007968FE" w:rsidRPr="00A9514F" w:rsidRDefault="00755F80" w:rsidP="00755F80">
      <w:pPr>
        <w:pStyle w:val="Title"/>
        <w:spacing w:after="600"/>
        <w:rPr>
          <w:sz w:val="96"/>
          <w:szCs w:val="96"/>
          <w:lang w:val="en-AU"/>
        </w:rPr>
      </w:pPr>
      <w:r w:rsidRPr="00A9514F">
        <w:rPr>
          <w:sz w:val="56"/>
          <w:szCs w:val="56"/>
          <w:lang w:val="en-AU"/>
        </w:rPr>
        <w:t>Victoria's Investment Prospectus</w:t>
      </w:r>
      <w:r w:rsidR="00A9514F">
        <w:rPr>
          <w:lang w:val="en-AU"/>
        </w:rPr>
        <w:t xml:space="preserve"> </w:t>
      </w:r>
      <w:r w:rsidR="00202819" w:rsidRPr="00C90FB7">
        <w:rPr>
          <w:sz w:val="80"/>
          <w:szCs w:val="80"/>
          <w:lang w:val="en-AU"/>
        </w:rPr>
        <w:t>DIGITAL ENERGY AND</w:t>
      </w:r>
      <w:r w:rsidR="00C90FB7">
        <w:rPr>
          <w:sz w:val="80"/>
          <w:szCs w:val="80"/>
          <w:lang w:val="en-AU"/>
        </w:rPr>
        <w:t> </w:t>
      </w:r>
      <w:r w:rsidR="00202819" w:rsidRPr="00C90FB7">
        <w:rPr>
          <w:sz w:val="80"/>
          <w:szCs w:val="80"/>
          <w:lang w:val="en-AU"/>
        </w:rPr>
        <w:t>INNOVATION</w:t>
      </w:r>
    </w:p>
    <w:p w14:paraId="13767647" w14:textId="77777777" w:rsidR="00A51AD4" w:rsidRPr="006C3278" w:rsidRDefault="00A51AD4" w:rsidP="00A51AD4">
      <w:pPr>
        <w:pStyle w:val="TOAHeading"/>
      </w:pPr>
      <w:r w:rsidRPr="006C3278">
        <w:t>Table of Contents</w:t>
      </w:r>
    </w:p>
    <w:p w14:paraId="280ACDB7" w14:textId="5F83EAC1" w:rsidR="00C90FB7" w:rsidRDefault="006B5F18">
      <w:pPr>
        <w:pStyle w:val="TOC1"/>
        <w:tabs>
          <w:tab w:val="right" w:leader="dot" w:pos="9628"/>
        </w:tabs>
        <w:rPr>
          <w:rFonts w:asciiTheme="minorHAnsi" w:hAnsiTheme="minorHAnsi" w:cstheme="minorBidi"/>
          <w:bCs w:val="0"/>
          <w:noProof/>
          <w:kern w:val="2"/>
          <w:lang w:eastAsia="en-GB"/>
          <w14:ligatures w14:val="standardContextual"/>
        </w:rPr>
      </w:pPr>
      <w:r w:rsidRPr="006C3278">
        <w:rPr>
          <w:rFonts w:cstheme="majorHAnsi"/>
          <w:sz w:val="28"/>
        </w:rPr>
        <w:fldChar w:fldCharType="begin"/>
      </w:r>
      <w:r w:rsidRPr="006C3278">
        <w:rPr>
          <w:rFonts w:cstheme="majorHAnsi"/>
          <w:sz w:val="28"/>
        </w:rPr>
        <w:instrText xml:space="preserve"> TOC \o "1-1" \h \z \u </w:instrText>
      </w:r>
      <w:r w:rsidRPr="006C3278">
        <w:rPr>
          <w:rFonts w:cstheme="majorHAnsi"/>
          <w:sz w:val="28"/>
        </w:rPr>
        <w:fldChar w:fldCharType="separate"/>
      </w:r>
      <w:hyperlink w:anchor="_Toc211952534" w:history="1">
        <w:r w:rsidR="00C90FB7" w:rsidRPr="003F4B21">
          <w:rPr>
            <w:rStyle w:val="Hyperlink"/>
            <w:noProof/>
          </w:rPr>
          <w:t>Victoria is investing in world-class bioenergy innovation</w:t>
        </w:r>
        <w:r w:rsidR="00C90FB7">
          <w:rPr>
            <w:noProof/>
            <w:webHidden/>
          </w:rPr>
          <w:tab/>
        </w:r>
        <w:r w:rsidR="00C90FB7">
          <w:rPr>
            <w:noProof/>
            <w:webHidden/>
          </w:rPr>
          <w:fldChar w:fldCharType="begin"/>
        </w:r>
        <w:r w:rsidR="00C90FB7">
          <w:rPr>
            <w:noProof/>
            <w:webHidden/>
          </w:rPr>
          <w:instrText xml:space="preserve"> PAGEREF _Toc211952534 \h </w:instrText>
        </w:r>
        <w:r w:rsidR="00C90FB7">
          <w:rPr>
            <w:noProof/>
            <w:webHidden/>
          </w:rPr>
        </w:r>
        <w:r w:rsidR="00C90FB7">
          <w:rPr>
            <w:noProof/>
            <w:webHidden/>
          </w:rPr>
          <w:fldChar w:fldCharType="separate"/>
        </w:r>
        <w:r w:rsidR="00C90FB7">
          <w:rPr>
            <w:noProof/>
            <w:webHidden/>
          </w:rPr>
          <w:t>2</w:t>
        </w:r>
        <w:r w:rsidR="00C90FB7">
          <w:rPr>
            <w:noProof/>
            <w:webHidden/>
          </w:rPr>
          <w:fldChar w:fldCharType="end"/>
        </w:r>
      </w:hyperlink>
    </w:p>
    <w:p w14:paraId="4182AF5C" w14:textId="28F5BF04"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35" w:history="1">
        <w:r w:rsidRPr="003F4B21">
          <w:rPr>
            <w:rStyle w:val="Hyperlink"/>
            <w:noProof/>
          </w:rPr>
          <w:t>Welcome to Victoria's renewable energy sector</w:t>
        </w:r>
        <w:r>
          <w:rPr>
            <w:noProof/>
            <w:webHidden/>
          </w:rPr>
          <w:tab/>
        </w:r>
        <w:r>
          <w:rPr>
            <w:noProof/>
            <w:webHidden/>
          </w:rPr>
          <w:fldChar w:fldCharType="begin"/>
        </w:r>
        <w:r>
          <w:rPr>
            <w:noProof/>
            <w:webHidden/>
          </w:rPr>
          <w:instrText xml:space="preserve"> PAGEREF _Toc211952535 \h </w:instrText>
        </w:r>
        <w:r>
          <w:rPr>
            <w:noProof/>
            <w:webHidden/>
          </w:rPr>
        </w:r>
        <w:r>
          <w:rPr>
            <w:noProof/>
            <w:webHidden/>
          </w:rPr>
          <w:fldChar w:fldCharType="separate"/>
        </w:r>
        <w:r>
          <w:rPr>
            <w:noProof/>
            <w:webHidden/>
          </w:rPr>
          <w:t>3</w:t>
        </w:r>
        <w:r>
          <w:rPr>
            <w:noProof/>
            <w:webHidden/>
          </w:rPr>
          <w:fldChar w:fldCharType="end"/>
        </w:r>
      </w:hyperlink>
    </w:p>
    <w:p w14:paraId="4D8E3A02" w14:textId="0350EBF6"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36" w:history="1">
        <w:r w:rsidRPr="003F4B21">
          <w:rPr>
            <w:rStyle w:val="Hyperlink"/>
            <w:noProof/>
          </w:rPr>
          <w:t>Why invest in Victoria’s digital energy and innovation sectors?</w:t>
        </w:r>
        <w:r>
          <w:rPr>
            <w:noProof/>
            <w:webHidden/>
          </w:rPr>
          <w:tab/>
        </w:r>
        <w:r>
          <w:rPr>
            <w:noProof/>
            <w:webHidden/>
          </w:rPr>
          <w:fldChar w:fldCharType="begin"/>
        </w:r>
        <w:r>
          <w:rPr>
            <w:noProof/>
            <w:webHidden/>
          </w:rPr>
          <w:instrText xml:space="preserve"> PAGEREF _Toc211952536 \h </w:instrText>
        </w:r>
        <w:r>
          <w:rPr>
            <w:noProof/>
            <w:webHidden/>
          </w:rPr>
        </w:r>
        <w:r>
          <w:rPr>
            <w:noProof/>
            <w:webHidden/>
          </w:rPr>
          <w:fldChar w:fldCharType="separate"/>
        </w:r>
        <w:r>
          <w:rPr>
            <w:noProof/>
            <w:webHidden/>
          </w:rPr>
          <w:t>5</w:t>
        </w:r>
        <w:r>
          <w:rPr>
            <w:noProof/>
            <w:webHidden/>
          </w:rPr>
          <w:fldChar w:fldCharType="end"/>
        </w:r>
      </w:hyperlink>
    </w:p>
    <w:p w14:paraId="6454338B" w14:textId="0342D268"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37" w:history="1">
        <w:r w:rsidRPr="003F4B21">
          <w:rPr>
            <w:rStyle w:val="Hyperlink"/>
            <w:noProof/>
          </w:rPr>
          <w:t>Our digital energy future is backed by data</w:t>
        </w:r>
        <w:r>
          <w:rPr>
            <w:noProof/>
            <w:webHidden/>
          </w:rPr>
          <w:tab/>
        </w:r>
        <w:r>
          <w:rPr>
            <w:noProof/>
            <w:webHidden/>
          </w:rPr>
          <w:fldChar w:fldCharType="begin"/>
        </w:r>
        <w:r>
          <w:rPr>
            <w:noProof/>
            <w:webHidden/>
          </w:rPr>
          <w:instrText xml:space="preserve"> PAGEREF _Toc211952537 \h </w:instrText>
        </w:r>
        <w:r>
          <w:rPr>
            <w:noProof/>
            <w:webHidden/>
          </w:rPr>
        </w:r>
        <w:r>
          <w:rPr>
            <w:noProof/>
            <w:webHidden/>
          </w:rPr>
          <w:fldChar w:fldCharType="separate"/>
        </w:r>
        <w:r>
          <w:rPr>
            <w:noProof/>
            <w:webHidden/>
          </w:rPr>
          <w:t>6</w:t>
        </w:r>
        <w:r>
          <w:rPr>
            <w:noProof/>
            <w:webHidden/>
          </w:rPr>
          <w:fldChar w:fldCharType="end"/>
        </w:r>
      </w:hyperlink>
    </w:p>
    <w:p w14:paraId="0D4A4D04" w14:textId="3B382B31"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38" w:history="1">
        <w:r w:rsidRPr="003F4B21">
          <w:rPr>
            <w:rStyle w:val="Hyperlink"/>
            <w:noProof/>
          </w:rPr>
          <w:t>Investment opportunities and government funds</w:t>
        </w:r>
        <w:r>
          <w:rPr>
            <w:noProof/>
            <w:webHidden/>
          </w:rPr>
          <w:tab/>
        </w:r>
        <w:r>
          <w:rPr>
            <w:noProof/>
            <w:webHidden/>
          </w:rPr>
          <w:fldChar w:fldCharType="begin"/>
        </w:r>
        <w:r>
          <w:rPr>
            <w:noProof/>
            <w:webHidden/>
          </w:rPr>
          <w:instrText xml:space="preserve"> PAGEREF _Toc211952538 \h </w:instrText>
        </w:r>
        <w:r>
          <w:rPr>
            <w:noProof/>
            <w:webHidden/>
          </w:rPr>
        </w:r>
        <w:r>
          <w:rPr>
            <w:noProof/>
            <w:webHidden/>
          </w:rPr>
          <w:fldChar w:fldCharType="separate"/>
        </w:r>
        <w:r>
          <w:rPr>
            <w:noProof/>
            <w:webHidden/>
          </w:rPr>
          <w:t>8</w:t>
        </w:r>
        <w:r>
          <w:rPr>
            <w:noProof/>
            <w:webHidden/>
          </w:rPr>
          <w:fldChar w:fldCharType="end"/>
        </w:r>
      </w:hyperlink>
    </w:p>
    <w:p w14:paraId="76794D0B" w14:textId="7D186F8E"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39" w:history="1">
        <w:r w:rsidRPr="003F4B21">
          <w:rPr>
            <w:rStyle w:val="Hyperlink"/>
            <w:noProof/>
          </w:rPr>
          <w:t>Access to Victoria's world-class renewable energy talent</w:t>
        </w:r>
        <w:r>
          <w:rPr>
            <w:noProof/>
            <w:webHidden/>
          </w:rPr>
          <w:tab/>
        </w:r>
        <w:r>
          <w:rPr>
            <w:noProof/>
            <w:webHidden/>
          </w:rPr>
          <w:fldChar w:fldCharType="begin"/>
        </w:r>
        <w:r>
          <w:rPr>
            <w:noProof/>
            <w:webHidden/>
          </w:rPr>
          <w:instrText xml:space="preserve"> PAGEREF _Toc211952539 \h </w:instrText>
        </w:r>
        <w:r>
          <w:rPr>
            <w:noProof/>
            <w:webHidden/>
          </w:rPr>
        </w:r>
        <w:r>
          <w:rPr>
            <w:noProof/>
            <w:webHidden/>
          </w:rPr>
          <w:fldChar w:fldCharType="separate"/>
        </w:r>
        <w:r>
          <w:rPr>
            <w:noProof/>
            <w:webHidden/>
          </w:rPr>
          <w:t>9</w:t>
        </w:r>
        <w:r>
          <w:rPr>
            <w:noProof/>
            <w:webHidden/>
          </w:rPr>
          <w:fldChar w:fldCharType="end"/>
        </w:r>
      </w:hyperlink>
    </w:p>
    <w:p w14:paraId="268DA0D9" w14:textId="21CC37CD"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40" w:history="1">
        <w:r w:rsidRPr="003F4B21">
          <w:rPr>
            <w:rStyle w:val="Hyperlink"/>
            <w:noProof/>
          </w:rPr>
          <w:t>Exceptional research and development capabilities</w:t>
        </w:r>
        <w:r>
          <w:rPr>
            <w:noProof/>
            <w:webHidden/>
          </w:rPr>
          <w:tab/>
        </w:r>
        <w:r>
          <w:rPr>
            <w:noProof/>
            <w:webHidden/>
          </w:rPr>
          <w:fldChar w:fldCharType="begin"/>
        </w:r>
        <w:r>
          <w:rPr>
            <w:noProof/>
            <w:webHidden/>
          </w:rPr>
          <w:instrText xml:space="preserve"> PAGEREF _Toc211952540 \h </w:instrText>
        </w:r>
        <w:r>
          <w:rPr>
            <w:noProof/>
            <w:webHidden/>
          </w:rPr>
        </w:r>
        <w:r>
          <w:rPr>
            <w:noProof/>
            <w:webHidden/>
          </w:rPr>
          <w:fldChar w:fldCharType="separate"/>
        </w:r>
        <w:r>
          <w:rPr>
            <w:noProof/>
            <w:webHidden/>
          </w:rPr>
          <w:t>11</w:t>
        </w:r>
        <w:r>
          <w:rPr>
            <w:noProof/>
            <w:webHidden/>
          </w:rPr>
          <w:fldChar w:fldCharType="end"/>
        </w:r>
      </w:hyperlink>
    </w:p>
    <w:p w14:paraId="2260766E" w14:textId="4740769B"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41" w:history="1">
        <w:r w:rsidRPr="003F4B21">
          <w:rPr>
            <w:rStyle w:val="Hyperlink"/>
            <w:noProof/>
          </w:rPr>
          <w:t>Powering Victoria’s renewable energy future</w:t>
        </w:r>
        <w:r>
          <w:rPr>
            <w:noProof/>
            <w:webHidden/>
          </w:rPr>
          <w:tab/>
        </w:r>
        <w:r>
          <w:rPr>
            <w:noProof/>
            <w:webHidden/>
          </w:rPr>
          <w:fldChar w:fldCharType="begin"/>
        </w:r>
        <w:r>
          <w:rPr>
            <w:noProof/>
            <w:webHidden/>
          </w:rPr>
          <w:instrText xml:space="preserve"> PAGEREF _Toc211952541 \h </w:instrText>
        </w:r>
        <w:r>
          <w:rPr>
            <w:noProof/>
            <w:webHidden/>
          </w:rPr>
        </w:r>
        <w:r>
          <w:rPr>
            <w:noProof/>
            <w:webHidden/>
          </w:rPr>
          <w:fldChar w:fldCharType="separate"/>
        </w:r>
        <w:r>
          <w:rPr>
            <w:noProof/>
            <w:webHidden/>
          </w:rPr>
          <w:t>12</w:t>
        </w:r>
        <w:r>
          <w:rPr>
            <w:noProof/>
            <w:webHidden/>
          </w:rPr>
          <w:fldChar w:fldCharType="end"/>
        </w:r>
      </w:hyperlink>
    </w:p>
    <w:p w14:paraId="69AC2C61" w14:textId="66D776D8"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42" w:history="1">
        <w:r w:rsidRPr="003F4B21">
          <w:rPr>
            <w:rStyle w:val="Hyperlink"/>
            <w:noProof/>
          </w:rPr>
          <w:t>Key Victorian Government entities</w:t>
        </w:r>
        <w:r>
          <w:rPr>
            <w:noProof/>
            <w:webHidden/>
          </w:rPr>
          <w:tab/>
        </w:r>
        <w:r>
          <w:rPr>
            <w:noProof/>
            <w:webHidden/>
          </w:rPr>
          <w:fldChar w:fldCharType="begin"/>
        </w:r>
        <w:r>
          <w:rPr>
            <w:noProof/>
            <w:webHidden/>
          </w:rPr>
          <w:instrText xml:space="preserve"> PAGEREF _Toc211952542 \h </w:instrText>
        </w:r>
        <w:r>
          <w:rPr>
            <w:noProof/>
            <w:webHidden/>
          </w:rPr>
        </w:r>
        <w:r>
          <w:rPr>
            <w:noProof/>
            <w:webHidden/>
          </w:rPr>
          <w:fldChar w:fldCharType="separate"/>
        </w:r>
        <w:r>
          <w:rPr>
            <w:noProof/>
            <w:webHidden/>
          </w:rPr>
          <w:t>15</w:t>
        </w:r>
        <w:r>
          <w:rPr>
            <w:noProof/>
            <w:webHidden/>
          </w:rPr>
          <w:fldChar w:fldCharType="end"/>
        </w:r>
      </w:hyperlink>
    </w:p>
    <w:p w14:paraId="0D2F7DF4" w14:textId="0D3679D4" w:rsidR="00C90FB7" w:rsidRDefault="00C90FB7">
      <w:pPr>
        <w:pStyle w:val="TOC1"/>
        <w:tabs>
          <w:tab w:val="right" w:leader="dot" w:pos="9628"/>
        </w:tabs>
        <w:rPr>
          <w:rFonts w:asciiTheme="minorHAnsi" w:hAnsiTheme="minorHAnsi" w:cstheme="minorBidi"/>
          <w:bCs w:val="0"/>
          <w:noProof/>
          <w:kern w:val="2"/>
          <w:lang w:eastAsia="en-GB"/>
          <w14:ligatures w14:val="standardContextual"/>
        </w:rPr>
      </w:pPr>
      <w:hyperlink w:anchor="_Toc211952543" w:history="1">
        <w:r w:rsidRPr="003F4B21">
          <w:rPr>
            <w:rStyle w:val="Hyperlink"/>
            <w:noProof/>
          </w:rPr>
          <w:t>Publication information</w:t>
        </w:r>
        <w:r>
          <w:rPr>
            <w:noProof/>
            <w:webHidden/>
          </w:rPr>
          <w:tab/>
        </w:r>
        <w:r>
          <w:rPr>
            <w:noProof/>
            <w:webHidden/>
          </w:rPr>
          <w:fldChar w:fldCharType="begin"/>
        </w:r>
        <w:r>
          <w:rPr>
            <w:noProof/>
            <w:webHidden/>
          </w:rPr>
          <w:instrText xml:space="preserve"> PAGEREF _Toc211952543 \h </w:instrText>
        </w:r>
        <w:r>
          <w:rPr>
            <w:noProof/>
            <w:webHidden/>
          </w:rPr>
        </w:r>
        <w:r>
          <w:rPr>
            <w:noProof/>
            <w:webHidden/>
          </w:rPr>
          <w:fldChar w:fldCharType="separate"/>
        </w:r>
        <w:r>
          <w:rPr>
            <w:noProof/>
            <w:webHidden/>
          </w:rPr>
          <w:t>18</w:t>
        </w:r>
        <w:r>
          <w:rPr>
            <w:noProof/>
            <w:webHidden/>
          </w:rPr>
          <w:fldChar w:fldCharType="end"/>
        </w:r>
      </w:hyperlink>
    </w:p>
    <w:p w14:paraId="534E4224" w14:textId="71FF9EA7" w:rsidR="00B165A7" w:rsidRPr="006C3278" w:rsidRDefault="006B5F18">
      <w:pPr>
        <w:suppressAutoHyphens w:val="0"/>
        <w:spacing w:after="160"/>
        <w:rPr>
          <w:rFonts w:asciiTheme="majorHAnsi" w:hAnsiTheme="majorHAnsi" w:cstheme="majorHAnsi"/>
          <w:szCs w:val="24"/>
        </w:rPr>
        <w:sectPr w:rsidR="00B165A7" w:rsidRPr="006C3278" w:rsidSect="00EB277B">
          <w:footerReference w:type="even" r:id="rId8"/>
          <w:footerReference w:type="default" r:id="rId9"/>
          <w:pgSz w:w="11906" w:h="16838"/>
          <w:pgMar w:top="1134" w:right="1134" w:bottom="1134" w:left="1134" w:header="720" w:footer="454" w:gutter="0"/>
          <w:cols w:space="720"/>
          <w:noEndnote/>
          <w:docGrid w:linePitch="326"/>
        </w:sectPr>
      </w:pPr>
      <w:r w:rsidRPr="006C3278">
        <w:rPr>
          <w:rFonts w:asciiTheme="majorHAnsi" w:hAnsiTheme="majorHAnsi" w:cstheme="majorHAnsi"/>
          <w:sz w:val="28"/>
          <w:szCs w:val="24"/>
        </w:rPr>
        <w:fldChar w:fldCharType="end"/>
      </w:r>
    </w:p>
    <w:p w14:paraId="77159AB5" w14:textId="77777777" w:rsidR="00404042" w:rsidRPr="006C3278" w:rsidRDefault="00404042" w:rsidP="00B10777">
      <w:pPr>
        <w:pStyle w:val="Heading2"/>
        <w:pageBreakBefore/>
        <w:spacing w:after="180"/>
        <w:rPr>
          <w:sz w:val="32"/>
          <w:szCs w:val="32"/>
          <w:lang w:val="en-AU"/>
        </w:rPr>
      </w:pPr>
      <w:r w:rsidRPr="006C3278">
        <w:rPr>
          <w:sz w:val="32"/>
          <w:szCs w:val="32"/>
          <w:lang w:val="en-AU"/>
        </w:rPr>
        <w:lastRenderedPageBreak/>
        <w:t xml:space="preserve">Acknowledgement of Country </w:t>
      </w:r>
    </w:p>
    <w:p w14:paraId="12DD152E" w14:textId="77777777" w:rsidR="00404042" w:rsidRPr="006C3278" w:rsidRDefault="00404042" w:rsidP="00093136">
      <w:pPr>
        <w:pStyle w:val="BodyText"/>
        <w:spacing w:after="180"/>
        <w:rPr>
          <w:lang w:val="en-AU"/>
        </w:rPr>
      </w:pPr>
      <w:r w:rsidRPr="006C3278">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6C3278" w:rsidRDefault="00404042" w:rsidP="00093136">
      <w:pPr>
        <w:pStyle w:val="BodyText"/>
        <w:spacing w:after="180"/>
        <w:rPr>
          <w:lang w:val="en-AU"/>
        </w:rPr>
      </w:pPr>
      <w:r w:rsidRPr="006C3278">
        <w:rPr>
          <w:lang w:val="en-AU"/>
        </w:rPr>
        <w:t>We honour Elders past and present whose knowledge and wisdom have ensured the continuation of culture and traditional practices.</w:t>
      </w:r>
    </w:p>
    <w:p w14:paraId="0D186633" w14:textId="1048508A" w:rsidR="00404042" w:rsidRPr="006C3278" w:rsidRDefault="00404042" w:rsidP="0082776C">
      <w:pPr>
        <w:pStyle w:val="BodyText"/>
        <w:rPr>
          <w:lang w:val="en-AU"/>
        </w:rPr>
      </w:pPr>
      <w:r w:rsidRPr="006C3278">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6C3278" w:rsidRDefault="00404042" w:rsidP="00093136">
      <w:pPr>
        <w:pStyle w:val="Heading2"/>
        <w:spacing w:after="180"/>
        <w:rPr>
          <w:sz w:val="32"/>
          <w:szCs w:val="32"/>
          <w:lang w:val="en-AU"/>
        </w:rPr>
      </w:pPr>
      <w:r w:rsidRPr="006C3278">
        <w:rPr>
          <w:sz w:val="32"/>
          <w:szCs w:val="32"/>
          <w:lang w:val="en-AU"/>
        </w:rPr>
        <w:t>Traditional Owners at the centre of decision-making processes</w:t>
      </w:r>
    </w:p>
    <w:p w14:paraId="2D126B21" w14:textId="77777777" w:rsidR="00404042" w:rsidRPr="006C3278" w:rsidRDefault="00404042" w:rsidP="00404042">
      <w:pPr>
        <w:pStyle w:val="BodyText"/>
        <w:rPr>
          <w:lang w:val="en-AU"/>
        </w:rPr>
      </w:pPr>
      <w:r w:rsidRPr="006C3278">
        <w:rPr>
          <w:lang w:val="en-AU"/>
        </w:rPr>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6C3278">
        <w:rPr>
          <w:lang w:val="en-AU"/>
        </w:rPr>
        <w:t>Pupangarli</w:t>
      </w:r>
      <w:proofErr w:type="spellEnd"/>
      <w:r w:rsidRPr="006C3278">
        <w:rPr>
          <w:lang w:val="en-AU"/>
        </w:rPr>
        <w:t xml:space="preserve"> </w:t>
      </w:r>
      <w:proofErr w:type="spellStart"/>
      <w:r w:rsidRPr="006C3278">
        <w:rPr>
          <w:lang w:val="en-AU"/>
        </w:rPr>
        <w:t>Marnmarnepu</w:t>
      </w:r>
      <w:proofErr w:type="spellEnd"/>
      <w:r w:rsidRPr="006C3278">
        <w:rPr>
          <w:lang w:val="en-AU"/>
        </w:rPr>
        <w:t xml:space="preserve"> ‘Owning Our Future’ Aboriginal Self-Determination Reform Strategy 2020–2025.</w:t>
      </w:r>
    </w:p>
    <w:p w14:paraId="53732A97" w14:textId="6608E1D5" w:rsidR="00404042" w:rsidRPr="006C3278" w:rsidRDefault="00404042" w:rsidP="00404042">
      <w:pPr>
        <w:pStyle w:val="BodyText"/>
        <w:rPr>
          <w:lang w:val="en-AU"/>
        </w:rPr>
      </w:pPr>
      <w:r w:rsidRPr="006C3278">
        <w:rPr>
          <w:lang w:val="en-AU"/>
        </w:rPr>
        <w:t xml:space="preserve">For more information, visit: </w:t>
      </w:r>
      <w:r w:rsidR="003C005B" w:rsidRPr="006C3278">
        <w:rPr>
          <w:lang w:val="en-AU"/>
        </w:rPr>
        <w:br/>
      </w:r>
      <w:hyperlink r:id="rId10" w:tooltip="Hyperlink to Department of Energy, Environment and Climate Action website" w:history="1">
        <w:r w:rsidRPr="006C3278">
          <w:rPr>
            <w:rStyle w:val="Hyperlink"/>
            <w:lang w:val="en-AU"/>
          </w:rPr>
          <w:t>deeca.vic.gov.au/aboriginalselfdetermination/self-determination-reform-strategy</w:t>
        </w:r>
      </w:hyperlink>
    </w:p>
    <w:p w14:paraId="3D610938" w14:textId="77777777" w:rsidR="00622F6A" w:rsidRPr="00622F6A" w:rsidRDefault="00622F6A" w:rsidP="00622F6A">
      <w:pPr>
        <w:pStyle w:val="Heading1"/>
      </w:pPr>
      <w:bookmarkStart w:id="0" w:name="_Toc211952535"/>
      <w:r w:rsidRPr="00622F6A">
        <w:lastRenderedPageBreak/>
        <w:t>Welcome to Victoria's renewable</w:t>
      </w:r>
      <w:r>
        <w:t> </w:t>
      </w:r>
      <w:r w:rsidRPr="00622F6A">
        <w:t>energy</w:t>
      </w:r>
      <w:r>
        <w:t> </w:t>
      </w:r>
      <w:r w:rsidRPr="00622F6A">
        <w:t>sector</w:t>
      </w:r>
      <w:bookmarkEnd w:id="0"/>
    </w:p>
    <w:p w14:paraId="4F0301F7" w14:textId="205A8947" w:rsidR="00622F6A" w:rsidRPr="001136C6" w:rsidRDefault="00622F6A" w:rsidP="005A4483">
      <w:pPr>
        <w:pStyle w:val="Body-Intro"/>
      </w:pPr>
      <w:r w:rsidRPr="001136C6">
        <w:t>At the centre of Australia’s electricity network, the state of Victoria is leading the way to a renewable energy future</w:t>
      </w:r>
    </w:p>
    <w:p w14:paraId="416F2DAC" w14:textId="34BE75FE" w:rsidR="00622F6A" w:rsidRPr="001136C6" w:rsidRDefault="00622F6A" w:rsidP="003549D4">
      <w:pPr>
        <w:pStyle w:val="BodyText"/>
        <w:ind w:right="-285"/>
      </w:pPr>
      <w:r w:rsidRPr="001136C6">
        <w:t>We estimate that Victoria will need 25 GW of new generation and storage capacity by 2035.</w:t>
      </w:r>
      <w:r>
        <w:rPr>
          <w:rStyle w:val="FootnoteReference"/>
        </w:rPr>
        <w:footnoteReference w:id="1"/>
      </w:r>
      <w:r w:rsidRPr="001136C6">
        <w:t xml:space="preserve"> Our legislated renewable energy generation, energy storage and emissions reduction targets provide a clear market signal, supported by government programs to drive investment.</w:t>
      </w:r>
    </w:p>
    <w:p w14:paraId="6137FEF1" w14:textId="77777777" w:rsidR="00622F6A" w:rsidRDefault="00622F6A" w:rsidP="00202819">
      <w:pPr>
        <w:pStyle w:val="BodyText"/>
        <w:spacing w:after="0"/>
        <w:rPr>
          <w:lang w:val="en-AU"/>
        </w:rPr>
      </w:pPr>
      <w:r w:rsidRPr="001136C6">
        <w:rPr>
          <w:lang w:val="en-AU"/>
        </w:rPr>
        <w:t>The renewable energy sector is at the heart of our economy, identified as a priority growth industry backed by streamlined approval processes, well-developed supply chains, world</w:t>
      </w:r>
      <w:r w:rsidRPr="001136C6">
        <w:rPr>
          <w:rFonts w:ascii="Cambria Math" w:hAnsi="Cambria Math" w:cs="Cambria Math"/>
          <w:lang w:val="en-AU"/>
        </w:rPr>
        <w:t>‑</w:t>
      </w:r>
      <w:r w:rsidRPr="001136C6">
        <w:rPr>
          <w:lang w:val="en-AU"/>
        </w:rPr>
        <w:t>class research and development capabilities and a highly skilled workforce.</w:t>
      </w:r>
      <w:r>
        <w:rPr>
          <w:rStyle w:val="FootnoteReference"/>
          <w:lang w:val="en-AU"/>
        </w:rPr>
        <w:footnoteReference w:id="2"/>
      </w:r>
    </w:p>
    <w:p w14:paraId="481B0F3E" w14:textId="07F64711" w:rsidR="003549D4" w:rsidRPr="003549D4" w:rsidRDefault="00202819" w:rsidP="00202819">
      <w:pPr>
        <w:pStyle w:val="Heading2"/>
        <w:spacing w:after="240"/>
      </w:pPr>
      <w:r w:rsidRPr="00202819">
        <w:t>A digital and innovation sector positioned for growth</w:t>
      </w:r>
    </w:p>
    <w:p w14:paraId="320B818F" w14:textId="77777777" w:rsidR="00202819" w:rsidRPr="00202819" w:rsidRDefault="00202819" w:rsidP="00202819">
      <w:pPr>
        <w:pStyle w:val="BodyText"/>
      </w:pPr>
      <w:r w:rsidRPr="00202819">
        <w:t xml:space="preserve">Victoria leads Australia’s electricity system digitisation and digitalisation, with near-comprehensive smart meters installed across the state. Rich data sources, open data initiatives, local innovation capabilities and world-class research and development hubs make Victoria a prime destination to create, develop and invest in digital and innovative energy products. </w:t>
      </w:r>
    </w:p>
    <w:p w14:paraId="349D7386" w14:textId="5713DCF0" w:rsidR="003549D4" w:rsidRPr="006C3278" w:rsidRDefault="00202819" w:rsidP="00202819">
      <w:pPr>
        <w:pStyle w:val="BodyText"/>
        <w:rPr>
          <w:lang w:val="en-AU"/>
        </w:rPr>
      </w:pPr>
      <w:r w:rsidRPr="00202819">
        <w:rPr>
          <w:lang w:val="en-AU"/>
        </w:rPr>
        <w:t xml:space="preserve">Key government initiatives in this area are boosting growth, including Breakthrough Victoria, </w:t>
      </w:r>
      <w:proofErr w:type="spellStart"/>
      <w:r w:rsidRPr="00202819">
        <w:rPr>
          <w:lang w:val="en-AU"/>
        </w:rPr>
        <w:t>LaunchVic</w:t>
      </w:r>
      <w:proofErr w:type="spellEnd"/>
      <w:r w:rsidRPr="00202819">
        <w:rPr>
          <w:lang w:val="en-AU"/>
        </w:rPr>
        <w:t>, and small-scale renewable technologies programs for households and neighbourhoods such as Solar Victoria’s rebates</w:t>
      </w:r>
      <w:r w:rsidR="003549D4" w:rsidRPr="003549D4">
        <w:rPr>
          <w:lang w:val="en-AU"/>
        </w:rPr>
        <w:t>.</w:t>
      </w:r>
    </w:p>
    <w:p w14:paraId="19A8AFFD" w14:textId="75E1AE27" w:rsidR="005D357B" w:rsidRDefault="005D357B" w:rsidP="005D357B">
      <w:pPr>
        <w:pStyle w:val="Caption"/>
        <w:keepNext/>
      </w:pPr>
      <w:r>
        <w:lastRenderedPageBreak/>
        <w:t xml:space="preserve">Figure </w:t>
      </w:r>
      <w:fldSimple w:instr=" SEQ Figure \* ARABIC ">
        <w:r w:rsidR="0082776C">
          <w:rPr>
            <w:noProof/>
          </w:rPr>
          <w:t>1</w:t>
        </w:r>
      </w:fldSimple>
      <w:r>
        <w:t xml:space="preserve">: </w:t>
      </w:r>
      <w:r w:rsidRPr="00AC494F">
        <w:rPr>
          <w:b w:val="0"/>
          <w:bCs/>
        </w:rPr>
        <w:t>Legislated renewable energy targets</w:t>
      </w:r>
    </w:p>
    <w:p w14:paraId="08310ED3" w14:textId="24AA9D40" w:rsidR="005D357B" w:rsidRDefault="005D357B" w:rsidP="005D357B">
      <w:pPr>
        <w:pStyle w:val="Normalbeforebullets"/>
        <w:spacing w:after="240"/>
      </w:pPr>
      <w:r>
        <w:rPr>
          <w:noProof/>
        </w:rPr>
        <w:drawing>
          <wp:inline distT="0" distB="0" distL="0" distR="0" wp14:anchorId="405F6AA7" wp14:editId="7C54308C">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print">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6C3278" w:rsidRDefault="00D86EDE" w:rsidP="00D86EDE">
      <w:pPr>
        <w:pStyle w:val="Normalbeforebullets"/>
      </w:pPr>
      <w:r w:rsidRPr="006C3278">
        <w:t>The Victorian Government has legislated renewable energy targets of:</w:t>
      </w:r>
    </w:p>
    <w:p w14:paraId="132B31F3" w14:textId="507F0307" w:rsidR="00D86EDE" w:rsidRPr="006C3278" w:rsidRDefault="00D86EDE" w:rsidP="00AC494F">
      <w:pPr>
        <w:pStyle w:val="ListBullet"/>
        <w:spacing w:line="360" w:lineRule="auto"/>
        <w:rPr>
          <w:lang w:val="en-AU"/>
        </w:rPr>
      </w:pPr>
      <w:r w:rsidRPr="006C3278">
        <w:rPr>
          <w:b/>
          <w:bCs/>
          <w:lang w:val="en-AU"/>
        </w:rPr>
        <w:t>40%</w:t>
      </w:r>
      <w:r w:rsidRPr="006C3278">
        <w:rPr>
          <w:lang w:val="en-AU"/>
        </w:rPr>
        <w:t xml:space="preserve"> by 2025</w:t>
      </w:r>
    </w:p>
    <w:p w14:paraId="375BB1D5" w14:textId="20D209B6" w:rsidR="00D86EDE" w:rsidRPr="006C3278" w:rsidRDefault="00D86EDE" w:rsidP="00AC494F">
      <w:pPr>
        <w:pStyle w:val="ListBullet"/>
        <w:spacing w:line="360" w:lineRule="auto"/>
        <w:rPr>
          <w:lang w:val="en-AU"/>
        </w:rPr>
      </w:pPr>
      <w:r w:rsidRPr="006C3278">
        <w:rPr>
          <w:b/>
          <w:bCs/>
          <w:lang w:val="en-AU"/>
        </w:rPr>
        <w:t>65%</w:t>
      </w:r>
      <w:r w:rsidRPr="006C3278">
        <w:rPr>
          <w:lang w:val="en-AU"/>
        </w:rPr>
        <w:t xml:space="preserve"> by 2030</w:t>
      </w:r>
    </w:p>
    <w:p w14:paraId="777A38DE" w14:textId="620D72D9" w:rsidR="00D86EDE" w:rsidRPr="006C3278" w:rsidRDefault="00D86EDE" w:rsidP="00AC494F">
      <w:pPr>
        <w:pStyle w:val="ListBullet"/>
        <w:spacing w:line="360" w:lineRule="auto"/>
        <w:rPr>
          <w:lang w:val="en-AU"/>
        </w:rPr>
      </w:pPr>
      <w:r w:rsidRPr="006C3278">
        <w:rPr>
          <w:b/>
          <w:bCs/>
          <w:lang w:val="en-AU"/>
        </w:rPr>
        <w:t>95%</w:t>
      </w:r>
      <w:r w:rsidRPr="006C3278">
        <w:rPr>
          <w:lang w:val="en-AU"/>
        </w:rPr>
        <w:t xml:space="preserve"> by 2035</w:t>
      </w:r>
    </w:p>
    <w:p w14:paraId="3358E617" w14:textId="668D1308" w:rsidR="00D86EDE" w:rsidRPr="006C3278" w:rsidRDefault="00D86EDE" w:rsidP="00D86EDE">
      <w:pPr>
        <w:pStyle w:val="LastBulletinList"/>
        <w:rPr>
          <w:lang w:val="en-AU"/>
        </w:rPr>
      </w:pPr>
      <w:r w:rsidRPr="006C3278">
        <w:rPr>
          <w:b/>
          <w:bCs/>
          <w:lang w:val="en-AU"/>
        </w:rPr>
        <w:t>Net-zero emissions</w:t>
      </w:r>
      <w:r w:rsidRPr="006C3278">
        <w:rPr>
          <w:lang w:val="en-AU"/>
        </w:rPr>
        <w:t xml:space="preserve"> by 2045</w:t>
      </w:r>
    </w:p>
    <w:p w14:paraId="141B5B04" w14:textId="269E4608" w:rsidR="00791177" w:rsidRPr="006C3278" w:rsidRDefault="00791177" w:rsidP="00791177">
      <w:pPr>
        <w:pStyle w:val="Caption"/>
        <w:keepNext/>
      </w:pPr>
      <w:r w:rsidRPr="006C3278">
        <w:t xml:space="preserve">Figure </w:t>
      </w:r>
      <w:fldSimple w:instr=" SEQ Figure \* ARABIC ">
        <w:r w:rsidR="0082776C">
          <w:rPr>
            <w:noProof/>
          </w:rPr>
          <w:t>2</w:t>
        </w:r>
      </w:fldSimple>
      <w:r w:rsidRPr="006C3278">
        <w:t xml:space="preserve">: </w:t>
      </w:r>
      <w:r w:rsidRPr="00AC494F">
        <w:rPr>
          <w:b w:val="0"/>
          <w:bCs/>
        </w:rPr>
        <w:t>Energy storage capacity and Offshore wind energy targets from 2025-2045</w:t>
      </w:r>
    </w:p>
    <w:p w14:paraId="57C53B5E" w14:textId="00EB0A0D" w:rsidR="00791177" w:rsidRPr="006C3278" w:rsidRDefault="00791177" w:rsidP="00791177">
      <w:pPr>
        <w:pStyle w:val="BodyText"/>
        <w:rPr>
          <w:lang w:val="en-AU"/>
        </w:rPr>
      </w:pPr>
      <w:r w:rsidRPr="006C3278">
        <w:rPr>
          <w:noProof/>
          <w:lang w:val="en-AU"/>
        </w:rPr>
        <w:drawing>
          <wp:inline distT="0" distB="0" distL="0" distR="0" wp14:anchorId="53ED329E" wp14:editId="6CE0026F">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print">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Default="00AC494F" w:rsidP="00791177">
      <w:pPr>
        <w:pStyle w:val="Normalbeforebullets"/>
        <w:sectPr w:rsidR="00AC494F"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6C3278" w:rsidRDefault="00791177" w:rsidP="00791177">
      <w:pPr>
        <w:pStyle w:val="Normalbeforebullets"/>
      </w:pPr>
      <w:r w:rsidRPr="006C3278">
        <w:t>Energy storage capacity targets</w:t>
      </w:r>
      <w:r w:rsidR="00AC494F">
        <w:br/>
      </w:r>
      <w:r w:rsidRPr="006C3278">
        <w:t>of at least:</w:t>
      </w:r>
    </w:p>
    <w:p w14:paraId="1C9CB6D2" w14:textId="39A274CC" w:rsidR="00791177" w:rsidRPr="006C3278" w:rsidRDefault="00791177" w:rsidP="00AC494F">
      <w:pPr>
        <w:pStyle w:val="ListBullet"/>
        <w:spacing w:line="360" w:lineRule="auto"/>
        <w:rPr>
          <w:lang w:val="en-AU"/>
        </w:rPr>
      </w:pPr>
      <w:r w:rsidRPr="006C3278">
        <w:rPr>
          <w:b/>
          <w:bCs/>
          <w:lang w:val="en-AU"/>
        </w:rPr>
        <w:t>2.6 GW</w:t>
      </w:r>
      <w:r w:rsidRPr="006C3278">
        <w:rPr>
          <w:lang w:val="en-AU"/>
        </w:rPr>
        <w:t xml:space="preserve"> by 2030</w:t>
      </w:r>
    </w:p>
    <w:p w14:paraId="29BC3B6C" w14:textId="58637EC2" w:rsidR="00791177" w:rsidRPr="006C3278" w:rsidRDefault="00791177" w:rsidP="00791177">
      <w:pPr>
        <w:pStyle w:val="LastBulletinList"/>
        <w:rPr>
          <w:lang w:val="en-AU"/>
        </w:rPr>
      </w:pPr>
      <w:r w:rsidRPr="006C3278">
        <w:rPr>
          <w:b/>
          <w:bCs/>
          <w:lang w:val="en-AU"/>
        </w:rPr>
        <w:t>6.3 GW</w:t>
      </w:r>
      <w:r w:rsidRPr="006C3278">
        <w:rPr>
          <w:lang w:val="en-AU"/>
        </w:rPr>
        <w:t xml:space="preserve"> by 2035</w:t>
      </w:r>
    </w:p>
    <w:p w14:paraId="1AB5B3CD" w14:textId="113ADD07" w:rsidR="00791177" w:rsidRPr="006C3278" w:rsidRDefault="00383785" w:rsidP="00383785">
      <w:pPr>
        <w:pStyle w:val="Normalbeforebullets"/>
      </w:pPr>
      <w:r w:rsidRPr="006C3278">
        <w:t>Offshore wind energy targets</w:t>
      </w:r>
      <w:r w:rsidR="00791177" w:rsidRPr="006C3278">
        <w:t>:</w:t>
      </w:r>
    </w:p>
    <w:p w14:paraId="30E7EA85" w14:textId="376C37B7" w:rsidR="00383785" w:rsidRPr="006C3278" w:rsidRDefault="00383785" w:rsidP="00AC494F">
      <w:pPr>
        <w:pStyle w:val="ListBullet"/>
        <w:spacing w:line="360" w:lineRule="auto"/>
        <w:rPr>
          <w:b/>
          <w:bCs/>
          <w:lang w:val="en-AU"/>
        </w:rPr>
      </w:pPr>
      <w:r w:rsidRPr="006C3278">
        <w:rPr>
          <w:lang w:val="en-AU"/>
        </w:rPr>
        <w:t>At least</w:t>
      </w:r>
      <w:r w:rsidRPr="006C3278">
        <w:rPr>
          <w:b/>
          <w:bCs/>
          <w:lang w:val="en-AU"/>
        </w:rPr>
        <w:t xml:space="preserve"> 2 GW </w:t>
      </w:r>
      <w:r w:rsidRPr="006C3278">
        <w:rPr>
          <w:lang w:val="en-AU"/>
        </w:rPr>
        <w:t>by 2032</w:t>
      </w:r>
    </w:p>
    <w:p w14:paraId="47BF6D67" w14:textId="242ACD8D" w:rsidR="00791177" w:rsidRPr="006C3278" w:rsidRDefault="00383785" w:rsidP="00AC494F">
      <w:pPr>
        <w:pStyle w:val="ListBullet"/>
        <w:spacing w:line="360" w:lineRule="auto"/>
        <w:rPr>
          <w:b/>
          <w:bCs/>
          <w:lang w:val="en-AU"/>
        </w:rPr>
      </w:pPr>
      <w:r w:rsidRPr="006C3278">
        <w:rPr>
          <w:b/>
          <w:bCs/>
          <w:lang w:val="en-AU"/>
        </w:rPr>
        <w:t xml:space="preserve">4 GW </w:t>
      </w:r>
      <w:r w:rsidRPr="006C3278">
        <w:rPr>
          <w:lang w:val="en-AU"/>
        </w:rPr>
        <w:t>by 2035</w:t>
      </w:r>
    </w:p>
    <w:p w14:paraId="5260799A" w14:textId="0DB708A8" w:rsidR="00AC494F" w:rsidRDefault="00383785" w:rsidP="00AC494F">
      <w:pPr>
        <w:pStyle w:val="LastBulletinList"/>
        <w:spacing w:after="360" w:line="360" w:lineRule="auto"/>
        <w:rPr>
          <w:lang w:val="en-AU"/>
        </w:rPr>
        <w:sectPr w:rsidR="00AC494F" w:rsidSect="00AC494F">
          <w:type w:val="continuous"/>
          <w:pgSz w:w="11906" w:h="16838"/>
          <w:pgMar w:top="1134" w:right="1134" w:bottom="1134" w:left="1134" w:header="720" w:footer="454" w:gutter="0"/>
          <w:cols w:num="2" w:space="113"/>
          <w:noEndnote/>
          <w:docGrid w:linePitch="326"/>
        </w:sectPr>
      </w:pPr>
      <w:r w:rsidRPr="006C3278">
        <w:rPr>
          <w:b/>
          <w:bCs/>
          <w:lang w:val="en-AU"/>
        </w:rPr>
        <w:t>9</w:t>
      </w:r>
      <w:r w:rsidR="00791177" w:rsidRPr="006C3278">
        <w:rPr>
          <w:b/>
          <w:bCs/>
          <w:lang w:val="en-AU"/>
        </w:rPr>
        <w:t xml:space="preserve"> GW</w:t>
      </w:r>
      <w:r w:rsidR="00791177" w:rsidRPr="006C3278">
        <w:rPr>
          <w:lang w:val="en-AU"/>
        </w:rPr>
        <w:t xml:space="preserve"> by 20</w:t>
      </w:r>
      <w:r w:rsidRPr="006C3278">
        <w:rPr>
          <w:lang w:val="en-AU"/>
        </w:rPr>
        <w:t>4</w:t>
      </w:r>
    </w:p>
    <w:p w14:paraId="243CAF3C" w14:textId="72F2F805" w:rsidR="00AC494F" w:rsidRDefault="00202819" w:rsidP="00BA7D24">
      <w:pPr>
        <w:pStyle w:val="Heading1"/>
        <w:spacing w:after="120" w:line="240" w:lineRule="auto"/>
      </w:pPr>
      <w:bookmarkStart w:id="1" w:name="_Toc211952536"/>
      <w:r w:rsidRPr="00202819">
        <w:lastRenderedPageBreak/>
        <w:t>Why invest in Victoria’s digital energy and</w:t>
      </w:r>
      <w:r>
        <w:t> </w:t>
      </w:r>
      <w:r w:rsidRPr="00202819">
        <w:t>innovation sectors?</w:t>
      </w:r>
      <w:bookmarkEnd w:id="1"/>
    </w:p>
    <w:p w14:paraId="1CE401FD" w14:textId="77777777" w:rsidR="00202819" w:rsidRPr="00202819" w:rsidRDefault="00202819" w:rsidP="00202819">
      <w:pPr>
        <w:pStyle w:val="Heading2"/>
        <w:spacing w:after="120"/>
        <w:rPr>
          <w:sz w:val="32"/>
          <w:szCs w:val="32"/>
        </w:rPr>
      </w:pPr>
      <w:r w:rsidRPr="00202819">
        <w:rPr>
          <w:sz w:val="32"/>
          <w:szCs w:val="32"/>
        </w:rPr>
        <w:t>Some of the world’s richest energy data</w:t>
      </w:r>
    </w:p>
    <w:p w14:paraId="722D0DA4" w14:textId="77777777" w:rsidR="00202819" w:rsidRDefault="00202819" w:rsidP="00BA7D24">
      <w:pPr>
        <w:pStyle w:val="BodyText"/>
        <w:spacing w:after="40"/>
      </w:pPr>
      <w:proofErr w:type="gramStart"/>
      <w:r w:rsidRPr="00202819">
        <w:t>Victoria’s</w:t>
      </w:r>
      <w:proofErr w:type="gramEnd"/>
      <w:r w:rsidRPr="00202819">
        <w:t xml:space="preserve"> near 100% smart meter penetration is among the highest in the world. Rich data made accessible through reforms such as the Consumer Data Right (CDR) make Victoria the ideal location to innovate, test and grow digital energy solutions.</w:t>
      </w:r>
    </w:p>
    <w:p w14:paraId="0DD80AB4" w14:textId="77777777" w:rsidR="00C16AE8" w:rsidRPr="00202819" w:rsidRDefault="00C16AE8" w:rsidP="00C16AE8">
      <w:pPr>
        <w:pStyle w:val="Heading2"/>
        <w:spacing w:before="0" w:after="120"/>
        <w:rPr>
          <w:sz w:val="32"/>
          <w:szCs w:val="32"/>
        </w:rPr>
      </w:pPr>
      <w:r w:rsidRPr="00202819">
        <w:rPr>
          <w:sz w:val="32"/>
          <w:szCs w:val="32"/>
        </w:rPr>
        <w:t>Government underwriting investment</w:t>
      </w:r>
    </w:p>
    <w:p w14:paraId="7B0F54A3" w14:textId="5614C077" w:rsidR="00C16AE8" w:rsidRDefault="00C16AE8" w:rsidP="00BA7D24">
      <w:pPr>
        <w:pStyle w:val="BodyText"/>
        <w:spacing w:after="40"/>
      </w:pPr>
      <w:r>
        <w:t>Breakthrough Victoria’s providing patient capital and investment to build on Victoria’s track record for innovation. It has committed over $60 million to companies driving the clean energy transition, emissions reduction, and the circular economy.</w:t>
      </w:r>
    </w:p>
    <w:p w14:paraId="26E6D411" w14:textId="77777777" w:rsidR="00C16AE8" w:rsidRPr="00202819" w:rsidRDefault="00C16AE8" w:rsidP="00C16AE8">
      <w:pPr>
        <w:pStyle w:val="Heading2"/>
        <w:spacing w:before="0" w:after="120"/>
        <w:rPr>
          <w:sz w:val="32"/>
          <w:szCs w:val="32"/>
        </w:rPr>
      </w:pPr>
      <w:r w:rsidRPr="00202819">
        <w:rPr>
          <w:sz w:val="32"/>
          <w:szCs w:val="32"/>
        </w:rPr>
        <w:t>Fast-growing startup ecosystem</w:t>
      </w:r>
    </w:p>
    <w:p w14:paraId="25D6FCF2" w14:textId="668E61B7" w:rsidR="00C16AE8" w:rsidRPr="00202819" w:rsidRDefault="00C16AE8" w:rsidP="00BA7D24">
      <w:pPr>
        <w:pStyle w:val="BodyText"/>
        <w:spacing w:after="40"/>
        <w:ind w:right="-427"/>
      </w:pPr>
      <w:r>
        <w:t>Victoria’s startup ecosystem (including startups, scaleups and unicorns) is valued at $143 billion; it is one of the world’s fastest growing ecosystems, home to more than 3,800 start-ups.</w:t>
      </w:r>
      <w:r>
        <w:rPr>
          <w:rStyle w:val="FootnoteReference"/>
        </w:rPr>
        <w:footnoteReference w:id="3"/>
      </w:r>
    </w:p>
    <w:p w14:paraId="59F85EF8" w14:textId="4C5119B9" w:rsidR="00202819" w:rsidRPr="00202819" w:rsidRDefault="00202819" w:rsidP="00C16AE8">
      <w:pPr>
        <w:pStyle w:val="Heading2"/>
        <w:spacing w:before="0" w:after="120"/>
        <w:rPr>
          <w:sz w:val="32"/>
          <w:szCs w:val="32"/>
        </w:rPr>
      </w:pPr>
      <w:r w:rsidRPr="00202819">
        <w:rPr>
          <w:sz w:val="32"/>
          <w:szCs w:val="32"/>
        </w:rPr>
        <w:t>National funding boosting local capabilities</w:t>
      </w:r>
    </w:p>
    <w:p w14:paraId="21DA8570" w14:textId="28603ED7" w:rsidR="00AC494F" w:rsidRDefault="00202819" w:rsidP="00BA7D24">
      <w:pPr>
        <w:pStyle w:val="BodyText"/>
        <w:spacing w:after="40"/>
      </w:pPr>
      <w:r>
        <w:t>National investment in innovation is available to support Victorian initiatives, including the $1.7 billion Future Made in Australia Innovation Fund.</w:t>
      </w:r>
    </w:p>
    <w:p w14:paraId="4DBE79A8" w14:textId="77777777" w:rsidR="00202819" w:rsidRPr="00202819" w:rsidRDefault="00202819" w:rsidP="00C16AE8">
      <w:pPr>
        <w:pStyle w:val="Heading2"/>
        <w:spacing w:before="0" w:after="120"/>
        <w:rPr>
          <w:sz w:val="32"/>
          <w:szCs w:val="32"/>
        </w:rPr>
      </w:pPr>
      <w:r w:rsidRPr="00202819">
        <w:rPr>
          <w:sz w:val="32"/>
          <w:szCs w:val="32"/>
        </w:rPr>
        <w:t>Extensive pipeline of digital talent</w:t>
      </w:r>
    </w:p>
    <w:p w14:paraId="2EE8087B" w14:textId="2CAE0A4A" w:rsidR="00202819" w:rsidRDefault="00202819" w:rsidP="00BA7D24">
      <w:pPr>
        <w:pStyle w:val="BodyText"/>
        <w:spacing w:after="40"/>
      </w:pPr>
      <w:r>
        <w:t>Victoria has the fastest growing digital technology sector in Australia, with over 259,000 tech professionals.</w:t>
      </w:r>
      <w:r w:rsidR="00C16AE8">
        <w:rPr>
          <w:rStyle w:val="FootnoteReference"/>
        </w:rPr>
        <w:footnoteReference w:id="4"/>
      </w:r>
    </w:p>
    <w:p w14:paraId="610573B4" w14:textId="5E549922" w:rsidR="00202819" w:rsidRPr="00202819" w:rsidRDefault="00202819" w:rsidP="00C16AE8">
      <w:pPr>
        <w:pStyle w:val="Heading2"/>
        <w:spacing w:before="0" w:after="120"/>
        <w:rPr>
          <w:sz w:val="32"/>
          <w:szCs w:val="32"/>
        </w:rPr>
      </w:pPr>
      <w:r w:rsidRPr="00202819">
        <w:rPr>
          <w:sz w:val="32"/>
          <w:szCs w:val="32"/>
        </w:rPr>
        <w:t>Advanced research and development capabilities</w:t>
      </w:r>
    </w:p>
    <w:p w14:paraId="553BCC40" w14:textId="2934B7E7" w:rsidR="00202819" w:rsidRPr="006C3278" w:rsidRDefault="00202819" w:rsidP="00202819">
      <w:pPr>
        <w:pStyle w:val="BodyText"/>
      </w:pPr>
      <w:r>
        <w:t>Our world-class universities produce cutting-edge research to innovate and commercialise energy products, including through leading research centres.</w:t>
      </w:r>
    </w:p>
    <w:p w14:paraId="4D47F8C1" w14:textId="27B86D47" w:rsidR="009226AE" w:rsidRPr="006C3278" w:rsidRDefault="00B74706" w:rsidP="00AC1AC6">
      <w:pPr>
        <w:pStyle w:val="Heading1"/>
        <w:pageBreakBefore/>
        <w:spacing w:after="480"/>
        <w:rPr>
          <w:lang w:val="en-AU"/>
        </w:rPr>
      </w:pPr>
      <w:bookmarkStart w:id="2" w:name="_Toc211952537"/>
      <w:r w:rsidRPr="00B74706">
        <w:rPr>
          <w:lang w:val="en-AU"/>
        </w:rPr>
        <w:lastRenderedPageBreak/>
        <w:t>Our digital energy future is</w:t>
      </w:r>
      <w:r>
        <w:rPr>
          <w:lang w:val="en-AU"/>
        </w:rPr>
        <w:t> </w:t>
      </w:r>
      <w:r w:rsidRPr="00B74706">
        <w:rPr>
          <w:lang w:val="en-AU"/>
        </w:rPr>
        <w:t>backed</w:t>
      </w:r>
      <w:r>
        <w:rPr>
          <w:lang w:val="en-AU"/>
        </w:rPr>
        <w:t> </w:t>
      </w:r>
      <w:r w:rsidRPr="00B74706">
        <w:rPr>
          <w:lang w:val="en-AU"/>
        </w:rPr>
        <w:t>by</w:t>
      </w:r>
      <w:r>
        <w:rPr>
          <w:lang w:val="en-AU"/>
        </w:rPr>
        <w:t> </w:t>
      </w:r>
      <w:r w:rsidRPr="00B74706">
        <w:rPr>
          <w:lang w:val="en-AU"/>
        </w:rPr>
        <w:t>data</w:t>
      </w:r>
      <w:bookmarkEnd w:id="2"/>
    </w:p>
    <w:p w14:paraId="7DACDD6C" w14:textId="77777777" w:rsidR="00185D13" w:rsidRPr="00185D13" w:rsidRDefault="00185D13" w:rsidP="00185D13">
      <w:pPr>
        <w:pStyle w:val="BodyText"/>
        <w:rPr>
          <w:b/>
          <w:bCs/>
          <w:sz w:val="28"/>
          <w:szCs w:val="28"/>
        </w:rPr>
      </w:pPr>
      <w:r w:rsidRPr="00185D13">
        <w:rPr>
          <w:b/>
          <w:bCs/>
          <w:sz w:val="28"/>
          <w:szCs w:val="28"/>
        </w:rPr>
        <w:t>Victoria is the ideal location to test, develop and deploy new digital solutions, thanks to our world-class energy data and access initiatives.</w:t>
      </w:r>
    </w:p>
    <w:p w14:paraId="7C1D242A" w14:textId="77777777" w:rsidR="00185D13" w:rsidRPr="00185D13" w:rsidRDefault="00185D13" w:rsidP="00C90FB7">
      <w:pPr>
        <w:pStyle w:val="Heading2"/>
        <w:spacing w:before="240" w:line="360" w:lineRule="auto"/>
      </w:pPr>
      <w:r w:rsidRPr="00185D13">
        <w:t>What makes Victoria's digital energy and innovation subsector different?</w:t>
      </w:r>
    </w:p>
    <w:p w14:paraId="05014FA8" w14:textId="541F4445" w:rsidR="00185D13" w:rsidRPr="00185D13" w:rsidRDefault="00185D13" w:rsidP="00C90FB7">
      <w:pPr>
        <w:pStyle w:val="BodyText"/>
      </w:pPr>
      <w:r w:rsidRPr="00185D13">
        <w:t>Victoria is the only state in Australia with a fully digitised energy system, thanks to the roll-out of over 3.2 million smart meters to residential and small business electricity customers (over 99% coverage).</w:t>
      </w:r>
      <w:r w:rsidR="00A41550">
        <w:rPr>
          <w:rStyle w:val="FootnoteReference"/>
        </w:rPr>
        <w:footnoteReference w:id="5"/>
      </w:r>
    </w:p>
    <w:p w14:paraId="1E5995C2" w14:textId="77777777" w:rsidR="00185D13" w:rsidRPr="00185D13" w:rsidRDefault="00185D13" w:rsidP="00C90FB7">
      <w:pPr>
        <w:pStyle w:val="Normalbeforebullets"/>
        <w:spacing w:after="240"/>
      </w:pPr>
      <w:r w:rsidRPr="00185D13">
        <w:t>This makes Victoria the ideal place to develop and test new digital energy innovations, with smart meters:</w:t>
      </w:r>
    </w:p>
    <w:p w14:paraId="6DD2F004" w14:textId="77777777" w:rsidR="00185D13" w:rsidRPr="00185D13" w:rsidRDefault="00185D13" w:rsidP="00C90FB7">
      <w:pPr>
        <w:pStyle w:val="ListBullet"/>
        <w:spacing w:after="240"/>
      </w:pPr>
      <w:r w:rsidRPr="00185D13">
        <w:t>enabling near real-time remote monitoring of customer electricity flows</w:t>
      </w:r>
    </w:p>
    <w:p w14:paraId="504EC0AA" w14:textId="77777777" w:rsidR="00185D13" w:rsidRPr="00185D13" w:rsidRDefault="00185D13" w:rsidP="00C90FB7">
      <w:pPr>
        <w:pStyle w:val="ListBullet"/>
        <w:spacing w:after="240"/>
      </w:pPr>
      <w:r w:rsidRPr="00185D13">
        <w:t>allowing digital energy businesses to provide customers with new product offerings and greater insight into their energy use.</w:t>
      </w:r>
    </w:p>
    <w:p w14:paraId="7842134B" w14:textId="77777777" w:rsidR="00185D13" w:rsidRDefault="00185D13" w:rsidP="00185D13">
      <w:pPr>
        <w:pStyle w:val="Heading2"/>
      </w:pPr>
      <w:r w:rsidRPr="00185D13">
        <w:t>Smart meter coverage around Australia</w:t>
      </w:r>
    </w:p>
    <w:p w14:paraId="34C1C651" w14:textId="77777777" w:rsidR="00185D13" w:rsidRPr="006C3278" w:rsidRDefault="00185D13" w:rsidP="00C90FB7">
      <w:pPr>
        <w:pStyle w:val="ListBullet"/>
        <w:rPr>
          <w:lang w:val="en-AU"/>
        </w:rPr>
      </w:pPr>
      <w:r w:rsidRPr="006C3278">
        <w:rPr>
          <w:lang w:val="en-AU"/>
        </w:rPr>
        <w:t xml:space="preserve">Victoria – </w:t>
      </w:r>
      <w:r w:rsidRPr="00185D13">
        <w:rPr>
          <w:b/>
          <w:bCs/>
          <w:lang w:val="en-AU"/>
        </w:rPr>
        <w:t>above 99%</w:t>
      </w:r>
    </w:p>
    <w:p w14:paraId="5DCDA1B7" w14:textId="098AB2D7" w:rsidR="00185D13" w:rsidRPr="00185D13" w:rsidRDefault="00185D13" w:rsidP="00185D13">
      <w:pPr>
        <w:pStyle w:val="ListBullet"/>
        <w:rPr>
          <w:lang w:val="en-AU"/>
        </w:rPr>
      </w:pPr>
      <w:r w:rsidRPr="006C3278">
        <w:rPr>
          <w:lang w:val="en-AU"/>
        </w:rPr>
        <w:t xml:space="preserve">Rest of Australia – </w:t>
      </w:r>
      <w:r w:rsidRPr="00185D13">
        <w:rPr>
          <w:b/>
          <w:bCs/>
          <w:lang w:val="en-AU"/>
        </w:rPr>
        <w:t>less than 30%</w:t>
      </w:r>
    </w:p>
    <w:p w14:paraId="19EB26C6" w14:textId="77777777" w:rsidR="00185D13" w:rsidRPr="00185D13" w:rsidRDefault="00185D13" w:rsidP="00185D13">
      <w:pPr>
        <w:pStyle w:val="Heading2"/>
      </w:pPr>
      <w:r w:rsidRPr="00185D13">
        <w:lastRenderedPageBreak/>
        <w:t>Open data initiatives</w:t>
      </w:r>
    </w:p>
    <w:p w14:paraId="6D3B3D70" w14:textId="77777777" w:rsidR="00185D13" w:rsidRPr="00185D13" w:rsidRDefault="00185D13" w:rsidP="00185D13">
      <w:pPr>
        <w:pStyle w:val="BodyText"/>
      </w:pPr>
      <w:r w:rsidRPr="00185D13">
        <w:t xml:space="preserve">Through </w:t>
      </w:r>
      <w:proofErr w:type="spellStart"/>
      <w:r w:rsidRPr="00185D13">
        <w:t>DataVic</w:t>
      </w:r>
      <w:proofErr w:type="spellEnd"/>
      <w:r w:rsidRPr="00185D13">
        <w:t xml:space="preserve">, Victorian Government agencies have published over 5,694 datasets under open licence. </w:t>
      </w:r>
    </w:p>
    <w:p w14:paraId="14B0E4C8" w14:textId="04A7CF07" w:rsidR="00185D13" w:rsidRPr="00185D13" w:rsidRDefault="00185D13" w:rsidP="00185D13">
      <w:pPr>
        <w:pStyle w:val="BodyText"/>
      </w:pPr>
      <w:r w:rsidRPr="00185D13">
        <w:t xml:space="preserve">For more information, visit: </w:t>
      </w:r>
      <w:hyperlink r:id="rId14" w:tooltip="Hyperlink to the DataVic website" w:history="1">
        <w:r w:rsidR="00EE7583">
          <w:rPr>
            <w:rStyle w:val="Hyperlink"/>
          </w:rPr>
          <w:t>data.vic.gov.au</w:t>
        </w:r>
      </w:hyperlink>
    </w:p>
    <w:p w14:paraId="61458021" w14:textId="77777777" w:rsidR="00185D13" w:rsidRPr="00185D13" w:rsidRDefault="00185D13" w:rsidP="00185D13">
      <w:pPr>
        <w:pStyle w:val="BodyText"/>
      </w:pPr>
      <w:r w:rsidRPr="00185D13">
        <w:t>The Digital Twin Victoria platform adds interactive 3D and real-time data visualisation, making state-wide spatial data more accessible for innovators, businesses and investors.</w:t>
      </w:r>
    </w:p>
    <w:p w14:paraId="7AC5B94F" w14:textId="164B5447" w:rsidR="009226AE" w:rsidRPr="006C3278" w:rsidRDefault="00185D13" w:rsidP="00185D13">
      <w:pPr>
        <w:pStyle w:val="BodyText"/>
        <w:rPr>
          <w:lang w:val="en-AU"/>
        </w:rPr>
      </w:pPr>
      <w:r w:rsidRPr="00185D13">
        <w:rPr>
          <w:lang w:val="en-AU"/>
        </w:rPr>
        <w:t xml:space="preserve">For more information, visit: </w:t>
      </w:r>
      <w:r w:rsidR="00A41550">
        <w:rPr>
          <w:lang w:val="en-AU"/>
        </w:rPr>
        <w:br/>
      </w:r>
      <w:hyperlink r:id="rId15" w:tooltip="Hyperlink to Department of Transport and Planning website" w:history="1">
        <w:r w:rsidRPr="00A41550">
          <w:rPr>
            <w:rStyle w:val="Hyperlink"/>
            <w:lang w:val="en-AU"/>
          </w:rPr>
          <w:t>land.vic.gov.au/maps-and-spatial/digital-twin-victoria/dtv-platform</w:t>
        </w:r>
      </w:hyperlink>
    </w:p>
    <w:p w14:paraId="171CF596" w14:textId="5D6FDA37" w:rsidR="004D2B01" w:rsidRDefault="00DA53AF" w:rsidP="00DA53AF">
      <w:pPr>
        <w:pStyle w:val="Heading1"/>
        <w:pageBreakBefore/>
      </w:pPr>
      <w:bookmarkStart w:id="3" w:name="_Toc211952538"/>
      <w:r w:rsidRPr="00DA53AF">
        <w:lastRenderedPageBreak/>
        <w:t>Investment opportunities and</w:t>
      </w:r>
      <w:r>
        <w:t> </w:t>
      </w:r>
      <w:r w:rsidRPr="00DA53AF">
        <w:t>government</w:t>
      </w:r>
      <w:r>
        <w:t> </w:t>
      </w:r>
      <w:r w:rsidRPr="00DA53AF">
        <w:t>funds</w:t>
      </w:r>
      <w:bookmarkEnd w:id="3"/>
    </w:p>
    <w:p w14:paraId="5B9CBE73" w14:textId="23AFEBB7" w:rsidR="00DA53AF" w:rsidRDefault="00DA53AF" w:rsidP="00DA53AF">
      <w:pPr>
        <w:pStyle w:val="Heading2"/>
      </w:pPr>
      <w:r w:rsidRPr="00DA53AF">
        <w:t>Investment Opportunity</w:t>
      </w:r>
    </w:p>
    <w:p w14:paraId="18E17285" w14:textId="77777777" w:rsidR="00DA53AF" w:rsidRPr="00DA53AF" w:rsidRDefault="00DA53AF" w:rsidP="00DA53AF">
      <w:pPr>
        <w:pStyle w:val="BodyText"/>
      </w:pPr>
      <w:r w:rsidRPr="00DA53AF">
        <w:t>Victoria’s growing digital and digital energy sectors are creating a wealth of investment opportunities. The following statistics show the pace and scale of growth:</w:t>
      </w:r>
    </w:p>
    <w:p w14:paraId="1BF30E58" w14:textId="5A6CECDE" w:rsidR="00DA53AF" w:rsidRPr="00DA53AF" w:rsidRDefault="00DA53AF" w:rsidP="00DA53AF">
      <w:pPr>
        <w:pStyle w:val="BodyText"/>
      </w:pPr>
      <w:r w:rsidRPr="00DA53AF">
        <w:t>Australia's growing digital technologies sector is expanding at a rate 4 times faster than the rest of the economy, having grown 26% to $167 billion since 2020 and expected to reach $244 billion by 2031</w:t>
      </w:r>
      <w:r>
        <w:rPr>
          <w:rStyle w:val="FootnoteReference"/>
        </w:rPr>
        <w:footnoteReference w:id="6"/>
      </w:r>
    </w:p>
    <w:p w14:paraId="2D342A3C" w14:textId="1C84E0B1" w:rsidR="00DA53AF" w:rsidRPr="00DA53AF" w:rsidRDefault="00DA53AF" w:rsidP="00DA53AF">
      <w:pPr>
        <w:pStyle w:val="BodyText"/>
        <w:rPr>
          <w:lang w:val="en-AU"/>
        </w:rPr>
      </w:pPr>
      <w:r w:rsidRPr="00DA53AF">
        <w:rPr>
          <w:lang w:val="en-AU"/>
        </w:rPr>
        <w:t>Melbourne is home to more than half of Australia’s top 20 technology companies.</w:t>
      </w:r>
      <w:r>
        <w:rPr>
          <w:rStyle w:val="FootnoteReference"/>
          <w:lang w:val="en-AU"/>
        </w:rPr>
        <w:footnoteReference w:id="7"/>
      </w:r>
    </w:p>
    <w:p w14:paraId="296C7EBD" w14:textId="77777777" w:rsidR="00DA53AF" w:rsidRPr="00DA53AF" w:rsidRDefault="00DA53AF" w:rsidP="00AC1AC6">
      <w:pPr>
        <w:pStyle w:val="Normalbeforebullets"/>
        <w:spacing w:after="240"/>
      </w:pPr>
      <w:r w:rsidRPr="00DA53AF">
        <w:t>We can connect you with the Australian and Victorian governments’ specialist investment vehicles, including:</w:t>
      </w:r>
    </w:p>
    <w:p w14:paraId="4246D3EE" w14:textId="77777777" w:rsidR="00DA53AF" w:rsidRPr="00DA53AF" w:rsidRDefault="00DA53AF" w:rsidP="00DA53AF">
      <w:pPr>
        <w:pStyle w:val="ListBullet"/>
      </w:pPr>
      <w:r w:rsidRPr="00EE7583">
        <w:rPr>
          <w:b/>
          <w:bCs/>
        </w:rPr>
        <w:t>Clean Energy Finance Corporation</w:t>
      </w:r>
      <w:r w:rsidRPr="00DA53AF">
        <w:t>: Australia’s ‘Green Bank’, with access to $30.5 billion in investment capital from the Australian Government</w:t>
      </w:r>
    </w:p>
    <w:p w14:paraId="323D1EF0" w14:textId="77777777" w:rsidR="00DA53AF" w:rsidRPr="00DA53AF" w:rsidRDefault="00DA53AF" w:rsidP="00DA53AF">
      <w:pPr>
        <w:pStyle w:val="ListBullet"/>
      </w:pPr>
      <w:r w:rsidRPr="00EE7583">
        <w:rPr>
          <w:b/>
          <w:bCs/>
        </w:rPr>
        <w:t>Australian Renewable Energy Agency</w:t>
      </w:r>
      <w:r w:rsidRPr="00DA53AF">
        <w:t>: Provides financial assistance for research, development, demonstration, commercialisation and deployment of renewable energy technologies</w:t>
      </w:r>
    </w:p>
    <w:p w14:paraId="6DD8AFFB" w14:textId="77777777" w:rsidR="00DA53AF" w:rsidRPr="00DA53AF" w:rsidRDefault="00DA53AF" w:rsidP="00DA53AF">
      <w:pPr>
        <w:pStyle w:val="ListBullet"/>
      </w:pPr>
      <w:r w:rsidRPr="00EE7583">
        <w:rPr>
          <w:b/>
          <w:bCs/>
        </w:rPr>
        <w:t>Breakthrough Victoria</w:t>
      </w:r>
      <w:r w:rsidRPr="00DA53AF">
        <w:t>: was launched in 2021 to be a private investment company for Victoria, providing patient capital and investment that impacts the State’s economy and wellbeing.</w:t>
      </w:r>
    </w:p>
    <w:p w14:paraId="6B75482E" w14:textId="195A8183" w:rsidR="004D2B01" w:rsidRDefault="004D2B01" w:rsidP="003C6686">
      <w:pPr>
        <w:pStyle w:val="Heading1"/>
        <w:pageBreakBefore/>
        <w:spacing w:after="600"/>
      </w:pPr>
      <w:bookmarkStart w:id="4" w:name="_Toc211952539"/>
      <w:r>
        <w:lastRenderedPageBreak/>
        <w:t>Access to Victoria's world-class renewable energy talent</w:t>
      </w:r>
      <w:bookmarkEnd w:id="4"/>
    </w:p>
    <w:p w14:paraId="284A330F" w14:textId="6E839FC4" w:rsidR="003C6686" w:rsidRPr="00B042D4" w:rsidRDefault="003C6686" w:rsidP="003C6686">
      <w:pPr>
        <w:pStyle w:val="Body-Intro"/>
      </w:pPr>
      <w:r w:rsidRPr="00B042D4">
        <w:t>Our growing, highly skilled workforce drives project delivery and fosters industry growth. To meet the needs of the sector, the Victorian Government has committed to significant new energy skills and workforce initiatives.</w:t>
      </w:r>
    </w:p>
    <w:p w14:paraId="41959B58" w14:textId="77777777" w:rsidR="003C6686" w:rsidRPr="00B042D4" w:rsidRDefault="003C6686" w:rsidP="003C6686">
      <w:pPr>
        <w:pStyle w:val="ListBullet"/>
      </w:pPr>
      <w:r w:rsidRPr="00B042D4">
        <w:t xml:space="preserve">Delivering the </w:t>
      </w:r>
      <w:r w:rsidRPr="00B042D4">
        <w:rPr>
          <w:i/>
          <w:iCs/>
        </w:rPr>
        <w:t>Victorian Energy Jobs Plan</w:t>
      </w:r>
      <w:r w:rsidRPr="00B042D4">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23755118" w14:textId="77777777" w:rsidR="003C6686" w:rsidRPr="00B042D4" w:rsidRDefault="003C6686" w:rsidP="003C6686">
      <w:pPr>
        <w:pStyle w:val="ListBullet"/>
      </w:pPr>
      <w:r w:rsidRPr="00B042D4">
        <w:t xml:space="preserve">Delivering the </w:t>
      </w:r>
      <w:r w:rsidRPr="00B042D4">
        <w:rPr>
          <w:i/>
          <w:iCs/>
        </w:rPr>
        <w:t>Women in Energy Strategy</w:t>
      </w:r>
      <w:r w:rsidRPr="00B042D4">
        <w:t xml:space="preserve">, which seeks to drive significant change for women in energy through Victoria’s energy transition, including addressing barriers to increasing the number of women in the energy workforce. The Strategy aligns with the </w:t>
      </w:r>
      <w:r w:rsidRPr="00B042D4">
        <w:rPr>
          <w:i/>
          <w:iCs/>
        </w:rPr>
        <w:t>Victorian Energy Jobs Plan</w:t>
      </w:r>
      <w:r w:rsidRPr="00B042D4">
        <w:t xml:space="preserve"> as well as </w:t>
      </w:r>
      <w:r w:rsidRPr="00B042D4">
        <w:rPr>
          <w:i/>
          <w:iCs/>
        </w:rPr>
        <w:t>Our Equal State</w:t>
      </w:r>
      <w:r w:rsidRPr="00B042D4">
        <w:t>, which seeks to increase participation by women, economic equity, inclusive and safe workplaces, and education opportunities.</w:t>
      </w:r>
    </w:p>
    <w:p w14:paraId="66B4BC31" w14:textId="77777777" w:rsidR="003C6686" w:rsidRPr="00B042D4" w:rsidRDefault="003C6686" w:rsidP="003C6686">
      <w:pPr>
        <w:pStyle w:val="ListBullet"/>
      </w:pPr>
      <w:r w:rsidRPr="00B042D4">
        <w:t>Supporting the establishment of the National Training Centre in New Energy Skills based in Melbourne, in partnership with the Australian Government, to train and reskill key workforces needed for the energy transition across Australia.</w:t>
      </w:r>
    </w:p>
    <w:p w14:paraId="3EA47FAA" w14:textId="77777777" w:rsidR="003C6686" w:rsidRDefault="003C6686" w:rsidP="003C6686">
      <w:pPr>
        <w:pStyle w:val="LastBulletinList"/>
      </w:pPr>
      <w:r w:rsidRPr="00B042D4">
        <w:t>Developing and supporting new energy training pathways through the $7 million for new Vocational Education and Training (VET) qualifications in renewable energy and utilising the $50 million TAFE Clean Energy Fund.</w:t>
      </w:r>
    </w:p>
    <w:p w14:paraId="47C26AC2" w14:textId="77777777" w:rsidR="003C6686" w:rsidRPr="00B042D4" w:rsidRDefault="003C6686" w:rsidP="003C6686">
      <w:pPr>
        <w:pStyle w:val="Heading2"/>
      </w:pPr>
      <w:r w:rsidRPr="00B042D4">
        <w:lastRenderedPageBreak/>
        <w:t>World-class education and training</w:t>
      </w:r>
    </w:p>
    <w:p w14:paraId="088671B1" w14:textId="77777777" w:rsidR="003C6686" w:rsidRPr="00B042D4" w:rsidRDefault="003C6686" w:rsidP="003C6686">
      <w:pPr>
        <w:pStyle w:val="BodyText"/>
      </w:pPr>
      <w:r w:rsidRPr="00B042D4">
        <w:t>Victoria has a globally renowned education and training system, including:</w:t>
      </w:r>
    </w:p>
    <w:p w14:paraId="28C44548" w14:textId="77777777" w:rsidR="003C6686" w:rsidRPr="00B042D4" w:rsidRDefault="003C6686" w:rsidP="003C6686">
      <w:pPr>
        <w:pStyle w:val="ListBullet"/>
      </w:pPr>
      <w:r w:rsidRPr="00B042D4">
        <w:t>2 global ‘Top 40’ universities1</w:t>
      </w:r>
      <w:r>
        <w:rPr>
          <w:rStyle w:val="FootnoteReference"/>
        </w:rPr>
        <w:footnoteReference w:id="8"/>
      </w:r>
    </w:p>
    <w:p w14:paraId="0CA2948E" w14:textId="77777777" w:rsidR="003C6686" w:rsidRPr="00B042D4" w:rsidRDefault="003C6686" w:rsidP="003C6686">
      <w:pPr>
        <w:pStyle w:val="ListBullet"/>
      </w:pPr>
      <w:r w:rsidRPr="00B042D4">
        <w:t>8 universities, including 4 dual-sector universities (offering both tertiary and vocational education)</w:t>
      </w:r>
    </w:p>
    <w:p w14:paraId="5429C44E" w14:textId="77777777" w:rsidR="003C6686" w:rsidRPr="00B042D4" w:rsidRDefault="003C6686" w:rsidP="003C6686">
      <w:pPr>
        <w:pStyle w:val="ListBullet"/>
      </w:pPr>
      <w:r w:rsidRPr="00B042D4">
        <w:t>12 independent technical and further education (TAFE) institutions under a single TAFE network</w:t>
      </w:r>
    </w:p>
    <w:p w14:paraId="20C55170" w14:textId="2FBB0044" w:rsidR="004D2B01" w:rsidRDefault="003C6686" w:rsidP="004D2B01">
      <w:pPr>
        <w:pStyle w:val="ListBullet"/>
      </w:pPr>
      <w:r w:rsidRPr="00B042D4">
        <w:t>a diverse talent pool with strong growth across the broad range of occupations relevant to the renewable energy sector.</w:t>
      </w:r>
    </w:p>
    <w:p w14:paraId="2A429402" w14:textId="66195BA6" w:rsidR="00977A95" w:rsidRDefault="00746904" w:rsidP="00977A95">
      <w:pPr>
        <w:pStyle w:val="Heading1"/>
        <w:pageBreakBefore/>
      </w:pPr>
      <w:bookmarkStart w:id="5" w:name="_Toc211952540"/>
      <w:r w:rsidRPr="00746904">
        <w:lastRenderedPageBreak/>
        <w:t>Exceptional research and development</w:t>
      </w:r>
      <w:r>
        <w:t> </w:t>
      </w:r>
      <w:r w:rsidRPr="00746904">
        <w:t>capabilities</w:t>
      </w:r>
      <w:bookmarkEnd w:id="5"/>
    </w:p>
    <w:p w14:paraId="27F30F9D" w14:textId="7160C079" w:rsidR="004148F5" w:rsidRPr="004148F5" w:rsidRDefault="004148F5" w:rsidP="004148F5">
      <w:pPr>
        <w:pStyle w:val="Body-Intro"/>
      </w:pPr>
      <w:r w:rsidRPr="004148F5">
        <w:t>Victoria boasts a thriving energy research and development sector, with</w:t>
      </w:r>
      <w:r>
        <w:t> </w:t>
      </w:r>
      <w:r w:rsidRPr="004148F5">
        <w:t>some of the world’s top research centres and facilities, including 2</w:t>
      </w:r>
      <w:r>
        <w:t> </w:t>
      </w:r>
      <w:r w:rsidRPr="004148F5">
        <w:t>universities in the world’s top 40 and 6 within the top 300.</w:t>
      </w:r>
      <w:r>
        <w:rPr>
          <w:rStyle w:val="FootnoteReference"/>
        </w:rPr>
        <w:footnoteReference w:id="9"/>
      </w:r>
    </w:p>
    <w:p w14:paraId="7443F404" w14:textId="77777777" w:rsidR="004148F5" w:rsidRPr="004148F5" w:rsidRDefault="004148F5" w:rsidP="004148F5">
      <w:pPr>
        <w:pStyle w:val="Heading2"/>
      </w:pPr>
      <w:r w:rsidRPr="004148F5">
        <w:t>Siemens Swinburne Energy Transition Hub</w:t>
      </w:r>
    </w:p>
    <w:p w14:paraId="6DF52CDE" w14:textId="77777777" w:rsidR="004148F5" w:rsidRPr="004148F5" w:rsidRDefault="004148F5" w:rsidP="004148F5">
      <w:pPr>
        <w:pStyle w:val="BodyText"/>
      </w:pPr>
      <w:r w:rsidRPr="004148F5">
        <w:t>Swinburne University of Technology is home to the Siemens Swinburne Energy Transition Hub, a research and development centre dedicated to accelerating the transition towards a sustainable energy sector, with a focus on achieving net zero targets and promoting the uptake of renewable energy sources.</w:t>
      </w:r>
    </w:p>
    <w:p w14:paraId="0F4CDA2B" w14:textId="3E6EEBE5" w:rsidR="004148F5" w:rsidRPr="004148F5" w:rsidRDefault="004148F5" w:rsidP="004148F5">
      <w:pPr>
        <w:pStyle w:val="BodyText"/>
        <w:rPr>
          <w:u w:val="thick"/>
          <w:lang w:val="en-AU"/>
        </w:rPr>
      </w:pPr>
      <w:r w:rsidRPr="004148F5">
        <w:rPr>
          <w:lang w:val="en-AU"/>
        </w:rPr>
        <w:t xml:space="preserve">For more information, visit: </w:t>
      </w:r>
      <w:r w:rsidRPr="004148F5">
        <w:rPr>
          <w:lang w:val="en-AU"/>
        </w:rPr>
        <w:br/>
      </w:r>
      <w:hyperlink r:id="rId16" w:tooltip="Hyperlink to Swinburne University of Technology website" w:history="1">
        <w:r w:rsidRPr="004148F5">
          <w:rPr>
            <w:rStyle w:val="Hyperlink"/>
            <w:lang w:val="en-AU"/>
          </w:rPr>
          <w:t>swinburne.edu.au/research/platforms-initiatives/siemens-swinburne-energy-transition-hub</w:t>
        </w:r>
      </w:hyperlink>
    </w:p>
    <w:p w14:paraId="2537F718" w14:textId="77777777" w:rsidR="004148F5" w:rsidRPr="004148F5" w:rsidRDefault="004148F5" w:rsidP="004148F5">
      <w:pPr>
        <w:pStyle w:val="Heading2"/>
      </w:pPr>
      <w:r w:rsidRPr="004148F5">
        <w:t>Deakin Digital Design and Engineering Centre (3DEC)</w:t>
      </w:r>
    </w:p>
    <w:p w14:paraId="6F0F0E89" w14:textId="77777777" w:rsidR="004148F5" w:rsidRPr="004148F5" w:rsidRDefault="004148F5" w:rsidP="004148F5">
      <w:pPr>
        <w:pStyle w:val="BodyText"/>
      </w:pPr>
      <w:r w:rsidRPr="004148F5">
        <w:t>3DEC was established in 2017 by integrating existing multi-disciplinary design and engineering R&amp;D in civil, mechanical, electronics, environmental, renewable energy and electrical engineering disciplines to advance industries that are vital for Australia’s social, economic and environmental future including the sustainable energy infrastructure industry.</w:t>
      </w:r>
    </w:p>
    <w:p w14:paraId="5D70FFF4" w14:textId="170653FD" w:rsidR="00746904" w:rsidRPr="00746904" w:rsidRDefault="004148F5" w:rsidP="004148F5">
      <w:pPr>
        <w:pStyle w:val="BodyText"/>
      </w:pPr>
      <w:r w:rsidRPr="004148F5">
        <w:rPr>
          <w:lang w:val="en-AU"/>
        </w:rPr>
        <w:t xml:space="preserve">For more information, visit: </w:t>
      </w:r>
      <w:hyperlink r:id="rId17" w:tooltip="Hyperlink to Deakin Digital Design and Engineering Centre website" w:history="1">
        <w:r w:rsidR="00EE7583">
          <w:rPr>
            <w:rStyle w:val="Hyperlink"/>
            <w:lang w:val="en-AU"/>
          </w:rPr>
          <w:t>deakin.edu.au/3dec</w:t>
        </w:r>
      </w:hyperlink>
    </w:p>
    <w:p w14:paraId="32E4342B" w14:textId="1FAC1419" w:rsidR="004148F5" w:rsidRPr="004148F5" w:rsidRDefault="004148F5" w:rsidP="004148F5">
      <w:pPr>
        <w:pStyle w:val="Heading1"/>
      </w:pPr>
      <w:bookmarkStart w:id="6" w:name="_Toc211952541"/>
      <w:r w:rsidRPr="004148F5">
        <w:lastRenderedPageBreak/>
        <w:t>Powering Victoria’s renewable</w:t>
      </w:r>
      <w:r>
        <w:t> </w:t>
      </w:r>
      <w:r w:rsidRPr="004148F5">
        <w:t>energy</w:t>
      </w:r>
      <w:r>
        <w:t> </w:t>
      </w:r>
      <w:r w:rsidRPr="004148F5">
        <w:t>future</w:t>
      </w:r>
      <w:bookmarkEnd w:id="6"/>
    </w:p>
    <w:p w14:paraId="6BBC4561" w14:textId="3C232D7D" w:rsidR="004148F5" w:rsidRPr="005051B4" w:rsidRDefault="004148F5" w:rsidP="004148F5">
      <w:pPr>
        <w:pStyle w:val="Heading2"/>
        <w:rPr>
          <w:lang w:val="en-AU"/>
        </w:rPr>
      </w:pPr>
      <w:r w:rsidRPr="005051B4">
        <w:rPr>
          <w:lang w:val="en-AU"/>
        </w:rPr>
        <w:t>What is SEC?</w:t>
      </w:r>
    </w:p>
    <w:p w14:paraId="30BE8CBB" w14:textId="77777777" w:rsidR="004148F5" w:rsidRPr="005051B4" w:rsidRDefault="004148F5" w:rsidP="004148F5">
      <w:pPr>
        <w:pStyle w:val="Normalbeforebullets"/>
      </w:pPr>
      <w:r w:rsidRPr="005051B4">
        <w:t>SEC is a government-owned renewable energy company that:</w:t>
      </w:r>
    </w:p>
    <w:p w14:paraId="1929AA64" w14:textId="77777777" w:rsidR="004148F5" w:rsidRPr="005051B4" w:rsidRDefault="004148F5" w:rsidP="004148F5">
      <w:pPr>
        <w:pStyle w:val="ListBullet"/>
        <w:spacing w:after="60"/>
        <w:rPr>
          <w:lang w:val="en-AU"/>
        </w:rPr>
      </w:pPr>
      <w:r w:rsidRPr="005051B4">
        <w:rPr>
          <w:lang w:val="en-AU"/>
        </w:rPr>
        <w:t>invests in renewable energy and storage projects that accelerate the energy transition and deliver sustainable returns</w:t>
      </w:r>
    </w:p>
    <w:p w14:paraId="6E7A8A9A" w14:textId="77777777" w:rsidR="004148F5" w:rsidRPr="005051B4" w:rsidRDefault="004148F5" w:rsidP="004148F5">
      <w:pPr>
        <w:pStyle w:val="ListBullet"/>
        <w:spacing w:after="60"/>
        <w:rPr>
          <w:lang w:val="en-AU"/>
        </w:rPr>
      </w:pPr>
      <w:r w:rsidRPr="005051B4">
        <w:rPr>
          <w:lang w:val="en-AU"/>
        </w:rPr>
        <w:t>retails to government and commercial and industrial businesses</w:t>
      </w:r>
    </w:p>
    <w:p w14:paraId="6E2432B3" w14:textId="77777777" w:rsidR="004148F5" w:rsidRPr="005051B4" w:rsidRDefault="004148F5" w:rsidP="004148F5">
      <w:pPr>
        <w:pStyle w:val="ListBullet"/>
        <w:spacing w:after="60"/>
        <w:rPr>
          <w:lang w:val="en-AU"/>
        </w:rPr>
      </w:pPr>
      <w:r w:rsidRPr="005051B4">
        <w:rPr>
          <w:lang w:val="en-AU"/>
        </w:rPr>
        <w:t>supports households to go all-electric to reduce their energy bills and emissions</w:t>
      </w:r>
    </w:p>
    <w:p w14:paraId="7DB9E77F" w14:textId="77777777" w:rsidR="004148F5" w:rsidRPr="005051B4" w:rsidRDefault="004148F5" w:rsidP="004148F5">
      <w:pPr>
        <w:pStyle w:val="ListBullet"/>
        <w:rPr>
          <w:lang w:val="en-AU"/>
        </w:rPr>
      </w:pPr>
      <w:r w:rsidRPr="005051B4">
        <w:rPr>
          <w:lang w:val="en-AU"/>
        </w:rPr>
        <w:t>supports the growth of the renewable energy workforce our energy transition requires.</w:t>
      </w:r>
    </w:p>
    <w:p w14:paraId="5FF2F7AF" w14:textId="77777777" w:rsidR="004148F5" w:rsidRPr="005051B4" w:rsidRDefault="004148F5" w:rsidP="004148F5">
      <w:pPr>
        <w:pStyle w:val="Heading2"/>
        <w:rPr>
          <w:lang w:val="en-AU"/>
        </w:rPr>
      </w:pPr>
      <w:r w:rsidRPr="005051B4">
        <w:rPr>
          <w:lang w:val="en-AU"/>
        </w:rPr>
        <w:t>How SEC invests:</w:t>
      </w:r>
    </w:p>
    <w:p w14:paraId="0714DADB" w14:textId="77777777" w:rsidR="004148F5" w:rsidRPr="005051B4" w:rsidRDefault="004148F5" w:rsidP="004148F5">
      <w:pPr>
        <w:pStyle w:val="BodyText"/>
        <w:rPr>
          <w:lang w:val="en-AU"/>
        </w:rPr>
      </w:pPr>
      <w:r w:rsidRPr="005051B4">
        <w:rPr>
          <w:lang w:val="en-AU"/>
        </w:rPr>
        <w:t>SEC is investing an initial $1 billion towards delivering 4.5 GW of new renewable energy generation and storage. Its work will ensure Victorian households and businesses continue to have the power they need as we transition to renewable energy.</w:t>
      </w:r>
    </w:p>
    <w:p w14:paraId="461CB4B6" w14:textId="4A950A0E" w:rsidR="004148F5" w:rsidRPr="005051B4" w:rsidRDefault="004148F5" w:rsidP="004148F5">
      <w:pPr>
        <w:pStyle w:val="BodyText"/>
        <w:rPr>
          <w:lang w:val="en-AU"/>
        </w:rPr>
      </w:pPr>
      <w:r w:rsidRPr="005051B4">
        <w:rPr>
          <w:lang w:val="en-AU"/>
        </w:rPr>
        <w:t>SEC’s investments include opportunities in renewable generation and storage. Utility-scale storage can address critical system gaps and help catalyse investment in large wind and solar generation to replace ageing coal assets.</w:t>
      </w:r>
    </w:p>
    <w:p w14:paraId="564D89F3" w14:textId="77777777" w:rsidR="004148F5" w:rsidRPr="005051B4" w:rsidRDefault="004148F5" w:rsidP="004148F5">
      <w:pPr>
        <w:pStyle w:val="BodyText"/>
        <w:rPr>
          <w:lang w:val="en-AU"/>
        </w:rPr>
      </w:pPr>
      <w:r w:rsidRPr="005051B4">
        <w:rPr>
          <w:lang w:val="en-AU"/>
        </w:rPr>
        <w:t>The organisation will also continue to explore emerging technologies, including long duration energy storage opportunities, that accelerate the sector's maturity by enabling high levels of renewable power generation in the power grid. SEC’s investment focus is on achieving sustainable returns while delivering broader benefits to the Victorian public and enabling the market.</w:t>
      </w:r>
    </w:p>
    <w:p w14:paraId="630C333F" w14:textId="77B21554" w:rsidR="00977A95" w:rsidRDefault="004148F5" w:rsidP="004148F5">
      <w:pPr>
        <w:pStyle w:val="BodyText"/>
      </w:pPr>
      <w:r w:rsidRPr="005051B4">
        <w:rPr>
          <w:lang w:val="en-AU"/>
        </w:rPr>
        <w:t xml:space="preserve">Find more information, visit: </w:t>
      </w:r>
      <w:hyperlink r:id="rId18" w:tooltip="Hyperlink to the State Electricity Commission of Victoria website" w:history="1">
        <w:r w:rsidRPr="005051B4">
          <w:rPr>
            <w:rStyle w:val="Hyperlink"/>
            <w:lang w:val="en-AU"/>
          </w:rPr>
          <w:t>secvictoria.com.au</w:t>
        </w:r>
      </w:hyperlink>
    </w:p>
    <w:p w14:paraId="086AE958" w14:textId="68815AB9" w:rsidR="004148F5" w:rsidRPr="004148F5" w:rsidRDefault="004148F5" w:rsidP="004148F5">
      <w:pPr>
        <w:pStyle w:val="Heading2"/>
      </w:pPr>
      <w:r>
        <w:lastRenderedPageBreak/>
        <w:t xml:space="preserve">Case study: </w:t>
      </w:r>
      <w:r w:rsidRPr="004148F5">
        <w:rPr>
          <w:b w:val="0"/>
          <w:bCs w:val="0"/>
        </w:rPr>
        <w:t>Amber Electric</w:t>
      </w:r>
    </w:p>
    <w:p w14:paraId="08867CC2" w14:textId="52AF8B7C" w:rsidR="004148F5" w:rsidRPr="004148F5" w:rsidRDefault="004148F5" w:rsidP="004148F5">
      <w:pPr>
        <w:pStyle w:val="BodyText"/>
      </w:pPr>
      <w:r w:rsidRPr="004148F5">
        <w:t>Amber Electric (Amber) is an innovative energy company giving households access to the real-time wholesale price of electricity and the technology to automate their home batteries and electric vehicles. This allows households to unlock more value from their assets while accelerating the energy transition.</w:t>
      </w:r>
    </w:p>
    <w:p w14:paraId="2A6CE343" w14:textId="77777777" w:rsidR="004148F5" w:rsidRPr="004148F5" w:rsidRDefault="004148F5" w:rsidP="004148F5">
      <w:pPr>
        <w:pStyle w:val="BodyText"/>
      </w:pPr>
      <w:r w:rsidRPr="004148F5">
        <w:t>Founded in December 2017 with the goal of using new technologies to benefit customers and build a more sustainable world, Amber is backed by Australia’s leading venture capitalists, impact-focused investors and individuals.</w:t>
      </w:r>
    </w:p>
    <w:p w14:paraId="2E575171" w14:textId="77777777" w:rsidR="004148F5" w:rsidRPr="004148F5" w:rsidRDefault="004148F5" w:rsidP="004148F5">
      <w:pPr>
        <w:pStyle w:val="BodyText"/>
      </w:pPr>
      <w:r w:rsidRPr="004148F5">
        <w:t>Through smart meters, Amber customers can see their detailed electricity usage data in the Amber app, allowing them to shift energy use and be rewarded for using power at cheaper and greener times.</w:t>
      </w:r>
    </w:p>
    <w:p w14:paraId="66DC1631" w14:textId="77777777" w:rsidR="004148F5" w:rsidRPr="004148F5" w:rsidRDefault="004148F5" w:rsidP="004148F5">
      <w:pPr>
        <w:pStyle w:val="BodyText"/>
      </w:pPr>
      <w:r w:rsidRPr="004148F5">
        <w:t>In February 2024 Victorian Government-backed investment fund, Breakthrough Victoria, announced an equity investment of $4.5m. Since this investment, Amber has grown its customer base to over 43,000 and hired over 40 people taking their total team size to greater than 140.</w:t>
      </w:r>
    </w:p>
    <w:p w14:paraId="0EB800AB" w14:textId="3705A190" w:rsidR="004148F5" w:rsidRDefault="004148F5" w:rsidP="001D7E27">
      <w:pPr>
        <w:pStyle w:val="BodyText"/>
        <w:spacing w:after="360"/>
        <w:rPr>
          <w:u w:val="thick"/>
          <w:lang w:val="en-AU"/>
        </w:rPr>
      </w:pPr>
      <w:r w:rsidRPr="004148F5">
        <w:rPr>
          <w:lang w:val="en-AU"/>
        </w:rPr>
        <w:t xml:space="preserve">For more information, visit: </w:t>
      </w:r>
      <w:hyperlink r:id="rId19" w:tooltip="Hyperlink to Amber Electric website" w:history="1">
        <w:r w:rsidRPr="001D7E27">
          <w:rPr>
            <w:rStyle w:val="Hyperlink"/>
            <w:lang w:val="en-AU"/>
          </w:rPr>
          <w:t>amber.com.au</w:t>
        </w:r>
      </w:hyperlink>
    </w:p>
    <w:p w14:paraId="72EC8F24" w14:textId="08A383D4" w:rsidR="001D7E27" w:rsidRPr="001D7E27" w:rsidRDefault="001D7E27" w:rsidP="001D7E27">
      <w:pPr>
        <w:pStyle w:val="Heading2"/>
      </w:pPr>
      <w:r>
        <w:t xml:space="preserve">Case study: </w:t>
      </w:r>
      <w:r w:rsidRPr="001D7E27">
        <w:rPr>
          <w:b w:val="0"/>
          <w:bCs w:val="0"/>
        </w:rPr>
        <w:t xml:space="preserve">HAL Systems and </w:t>
      </w:r>
      <w:proofErr w:type="spellStart"/>
      <w:r w:rsidRPr="001D7E27">
        <w:rPr>
          <w:b w:val="0"/>
          <w:bCs w:val="0"/>
        </w:rPr>
        <w:t>CivVic</w:t>
      </w:r>
      <w:proofErr w:type="spellEnd"/>
      <w:r>
        <w:rPr>
          <w:b w:val="0"/>
          <w:bCs w:val="0"/>
        </w:rPr>
        <w:t> </w:t>
      </w:r>
      <w:r w:rsidRPr="001D7E27">
        <w:rPr>
          <w:b w:val="0"/>
          <w:bCs w:val="0"/>
        </w:rPr>
        <w:t>Labs</w:t>
      </w:r>
      <w:r>
        <w:rPr>
          <w:b w:val="0"/>
          <w:bCs w:val="0"/>
        </w:rPr>
        <w:t> </w:t>
      </w:r>
      <w:r w:rsidRPr="001D7E27">
        <w:rPr>
          <w:b w:val="0"/>
          <w:bCs w:val="0"/>
        </w:rPr>
        <w:t>Digital</w:t>
      </w:r>
      <w:r>
        <w:rPr>
          <w:b w:val="0"/>
          <w:bCs w:val="0"/>
        </w:rPr>
        <w:t> </w:t>
      </w:r>
      <w:r w:rsidRPr="001D7E27">
        <w:rPr>
          <w:b w:val="0"/>
          <w:bCs w:val="0"/>
        </w:rPr>
        <w:t>Energy Challenge</w:t>
      </w:r>
    </w:p>
    <w:p w14:paraId="783C3ECD" w14:textId="77777777" w:rsidR="001D7E27" w:rsidRPr="001D7E27" w:rsidRDefault="001D7E27" w:rsidP="001D7E27">
      <w:pPr>
        <w:pStyle w:val="BodyText"/>
      </w:pPr>
      <w:r w:rsidRPr="001D7E27">
        <w:t>HAL Systems is an early-stage climate technology start-up focused on improving energy efficiency in commercial buildings through advanced predictive climate control technology.</w:t>
      </w:r>
    </w:p>
    <w:p w14:paraId="3A423FE0" w14:textId="77777777" w:rsidR="001D7E27" w:rsidRPr="001D7E27" w:rsidRDefault="001D7E27" w:rsidP="001D7E27">
      <w:pPr>
        <w:pStyle w:val="BodyText"/>
      </w:pPr>
      <w:r w:rsidRPr="001D7E27">
        <w:t xml:space="preserve">Founded with the mission to reduce CO2 emissions and operational costs in commercial properties, HAL Systems utilises real-time weather forecasts to optimise heating, </w:t>
      </w:r>
      <w:r w:rsidRPr="001D7E27">
        <w:lastRenderedPageBreak/>
        <w:t>ventilation, and air conditioning systems. This innovative solution ensures a balance between energy savings and occupant comfort, making it a valuable tool for building owners pursuing their sustainability goals.</w:t>
      </w:r>
    </w:p>
    <w:p w14:paraId="2F59257B" w14:textId="40AB7746" w:rsidR="004148F5" w:rsidRPr="004D2B01" w:rsidRDefault="001D7E27" w:rsidP="001D7E27">
      <w:pPr>
        <w:pStyle w:val="BodyText"/>
      </w:pPr>
      <w:r w:rsidRPr="001D7E27">
        <w:rPr>
          <w:lang w:val="en-AU"/>
        </w:rPr>
        <w:t xml:space="preserve">For more information, visit: </w:t>
      </w:r>
      <w:hyperlink r:id="rId20" w:tooltip="Hyperlink to HAL Systems website" w:history="1">
        <w:r w:rsidRPr="001D7E27">
          <w:rPr>
            <w:rStyle w:val="Hyperlink"/>
            <w:lang w:val="en-AU"/>
          </w:rPr>
          <w:t>halsystems.com.au</w:t>
        </w:r>
      </w:hyperlink>
    </w:p>
    <w:p w14:paraId="745E13BC" w14:textId="3C4BF12E" w:rsidR="004120AC" w:rsidRPr="006C3278" w:rsidRDefault="004120AC" w:rsidP="004120AC">
      <w:pPr>
        <w:pStyle w:val="Heading1"/>
        <w:pageBreakBefore/>
        <w:rPr>
          <w:lang w:val="en-AU"/>
        </w:rPr>
      </w:pPr>
      <w:bookmarkStart w:id="7" w:name="_Toc211952542"/>
      <w:r w:rsidRPr="006C3278">
        <w:rPr>
          <w:lang w:val="en-AU"/>
        </w:rPr>
        <w:lastRenderedPageBreak/>
        <w:t>Key Victorian Government entities</w:t>
      </w:r>
      <w:bookmarkEnd w:id="7"/>
    </w:p>
    <w:p w14:paraId="6BE115D9" w14:textId="5AF4ADF6" w:rsidR="004120AC" w:rsidRPr="006C3278" w:rsidRDefault="004120AC" w:rsidP="00C90FB7">
      <w:pPr>
        <w:pStyle w:val="Body-Intro"/>
        <w:spacing w:after="120"/>
        <w:rPr>
          <w:lang w:val="en-AU"/>
        </w:rPr>
      </w:pPr>
      <w:r w:rsidRPr="006C3278">
        <w:rPr>
          <w:lang w:val="en-AU"/>
        </w:rPr>
        <w:t>We can help facilitate connections with key Victorian Government entities and industry members across our renewable energy sector.</w:t>
      </w:r>
    </w:p>
    <w:p w14:paraId="32046C50" w14:textId="41303737" w:rsidR="004120AC" w:rsidRPr="006C3278" w:rsidRDefault="004120AC" w:rsidP="005B21DE">
      <w:pPr>
        <w:pStyle w:val="Heading2"/>
        <w:spacing w:after="240"/>
        <w:rPr>
          <w:lang w:val="en-AU"/>
        </w:rPr>
      </w:pPr>
      <w:r w:rsidRPr="006C3278">
        <w:rPr>
          <w:lang w:val="en-AU"/>
        </w:rPr>
        <w:t>Department of Energy, Environment and Climate Action (DEECA)</w:t>
      </w:r>
    </w:p>
    <w:p w14:paraId="6EBC197E" w14:textId="77777777" w:rsidR="004120AC" w:rsidRPr="006C3278" w:rsidRDefault="004120AC" w:rsidP="004120AC">
      <w:pPr>
        <w:pStyle w:val="BodyText"/>
        <w:rPr>
          <w:lang w:val="en-AU"/>
        </w:rPr>
      </w:pPr>
      <w:r w:rsidRPr="006C3278">
        <w:rPr>
          <w:lang w:val="en-AU"/>
        </w:rPr>
        <w:t>DEECA works with industry and the community to develop Victoria's secure and sustainable energy future.</w:t>
      </w:r>
    </w:p>
    <w:p w14:paraId="412AEE36" w14:textId="5EA10FAE" w:rsidR="004120AC" w:rsidRPr="006C3278" w:rsidRDefault="004120AC" w:rsidP="00C90FB7">
      <w:pPr>
        <w:pStyle w:val="BodyText"/>
        <w:spacing w:after="120"/>
        <w:rPr>
          <w:lang w:val="en-AU"/>
        </w:rPr>
      </w:pPr>
      <w:r w:rsidRPr="006C3278">
        <w:rPr>
          <w:lang w:val="en-AU"/>
        </w:rPr>
        <w:t xml:space="preserve">For information on Victoria’s energy policy landscape and facilitated connections across the Victorian Government and renewable energy sector, contact the Business and Industry Engagement team at: </w:t>
      </w:r>
      <w:hyperlink r:id="rId21" w:tooltip="Send an email to the Business and Industry Engagement team" w:history="1">
        <w:r w:rsidRPr="006C3278">
          <w:rPr>
            <w:rStyle w:val="Hyperlink"/>
            <w:lang w:val="en-AU"/>
          </w:rPr>
          <w:t>BIE@deeca.vic.gov.au</w:t>
        </w:r>
      </w:hyperlink>
    </w:p>
    <w:p w14:paraId="4FF03957" w14:textId="470F6424" w:rsidR="004120AC" w:rsidRPr="006C3278" w:rsidRDefault="004120AC" w:rsidP="00C90FB7">
      <w:pPr>
        <w:pStyle w:val="BodyText"/>
        <w:rPr>
          <w:lang w:val="en-AU"/>
        </w:rPr>
      </w:pPr>
      <w:r w:rsidRPr="006C3278">
        <w:rPr>
          <w:lang w:val="en-AU"/>
        </w:rPr>
        <w:t xml:space="preserve">For more information, visit: </w:t>
      </w:r>
      <w:hyperlink r:id="rId22" w:tooltip="Hyperlink to Energy Victoria website" w:history="1">
        <w:r w:rsidRPr="006C3278">
          <w:rPr>
            <w:rStyle w:val="Hyperlink"/>
            <w:lang w:val="en-AU"/>
          </w:rPr>
          <w:t>energy.vic.gov.au/industry/investment-opportunities</w:t>
        </w:r>
      </w:hyperlink>
    </w:p>
    <w:p w14:paraId="36E28925" w14:textId="77777777" w:rsidR="001D7E27" w:rsidRPr="006C3278" w:rsidRDefault="001D7E27" w:rsidP="001D7E27">
      <w:pPr>
        <w:pStyle w:val="Heading2"/>
        <w:rPr>
          <w:lang w:val="en-AU"/>
        </w:rPr>
      </w:pPr>
      <w:r w:rsidRPr="006C3278">
        <w:rPr>
          <w:lang w:val="en-AU"/>
        </w:rPr>
        <w:t>Solar Victoria</w:t>
      </w:r>
    </w:p>
    <w:p w14:paraId="2BB426FC" w14:textId="77777777" w:rsidR="001D7E27" w:rsidRPr="006C3278" w:rsidRDefault="001D7E27" w:rsidP="00C90FB7">
      <w:pPr>
        <w:pStyle w:val="BodyText"/>
        <w:spacing w:after="120"/>
        <w:rPr>
          <w:lang w:val="en-AU"/>
        </w:rPr>
      </w:pPr>
      <w:r w:rsidRPr="006C3278">
        <w:rPr>
          <w:lang w:val="en-AU"/>
        </w:rPr>
        <w:t>Solar Victoria is responsible for the delivery of the Victorian Government’s $1.3 billion Solar Homes Program – one of the most ambitious and transformative renewable energy programs in Australia.</w:t>
      </w:r>
    </w:p>
    <w:p w14:paraId="39486385" w14:textId="77777777" w:rsidR="001D7E27" w:rsidRPr="006C3278" w:rsidRDefault="001D7E27" w:rsidP="001D7E27">
      <w:pPr>
        <w:pStyle w:val="BodyText"/>
        <w:rPr>
          <w:rStyle w:val="Hyperlink"/>
          <w:lang w:val="en-AU"/>
        </w:rPr>
      </w:pPr>
      <w:r w:rsidRPr="006C3278">
        <w:rPr>
          <w:lang w:val="en-AU"/>
        </w:rPr>
        <w:t xml:space="preserve">For more information, visit: </w:t>
      </w:r>
      <w:r w:rsidRPr="006C3278">
        <w:rPr>
          <w:u w:val="thick"/>
          <w:lang w:val="en-AU"/>
        </w:rPr>
        <w:fldChar w:fldCharType="begin"/>
      </w:r>
      <w:r w:rsidRPr="006C3278">
        <w:rPr>
          <w:u w:val="thick"/>
          <w:lang w:val="en-AU"/>
        </w:rPr>
        <w:instrText>HYPERLINK "https://www.solar.vic.gov.au/" \o "Hyperlink to Solar Victoria website"</w:instrText>
      </w:r>
      <w:r w:rsidRPr="006C3278">
        <w:rPr>
          <w:u w:val="thick"/>
          <w:lang w:val="en-AU"/>
        </w:rPr>
      </w:r>
      <w:r w:rsidRPr="006C3278">
        <w:rPr>
          <w:u w:val="thick"/>
          <w:lang w:val="en-AU"/>
        </w:rPr>
        <w:fldChar w:fldCharType="separate"/>
      </w:r>
      <w:r w:rsidRPr="006C3278">
        <w:rPr>
          <w:rStyle w:val="Hyperlink"/>
          <w:lang w:val="en-AU"/>
        </w:rPr>
        <w:t>solar.vic.gov.au</w:t>
      </w:r>
    </w:p>
    <w:p w14:paraId="2325B387" w14:textId="19F48616" w:rsidR="001D7E27" w:rsidRPr="006C3278" w:rsidRDefault="001D7E27" w:rsidP="001D7E27">
      <w:pPr>
        <w:pStyle w:val="Heading2"/>
        <w:spacing w:after="240"/>
        <w:rPr>
          <w:lang w:val="en-AU"/>
        </w:rPr>
      </w:pPr>
      <w:r w:rsidRPr="006C3278">
        <w:rPr>
          <w:lang w:val="en-AU"/>
        </w:rPr>
        <w:fldChar w:fldCharType="end"/>
      </w:r>
      <w:r w:rsidRPr="006C3278">
        <w:rPr>
          <w:lang w:val="en-AU"/>
        </w:rPr>
        <w:t>SEC</w:t>
      </w:r>
    </w:p>
    <w:p w14:paraId="7865016E" w14:textId="77777777" w:rsidR="001D7E27" w:rsidRPr="006C3278" w:rsidRDefault="001D7E27" w:rsidP="00C90FB7">
      <w:pPr>
        <w:pStyle w:val="BodyText"/>
        <w:spacing w:after="120"/>
        <w:rPr>
          <w:lang w:val="en-AU"/>
        </w:rPr>
      </w:pPr>
      <w:r w:rsidRPr="006C3278">
        <w:rPr>
          <w:lang w:val="en-AU"/>
        </w:rPr>
        <w:t>SEC is a Victorian Government-owned renewable energy company. It is partnering with the private sector to deliver 4.5 GW of new renewable energy and storage projects with an initial investment of $1 billion.</w:t>
      </w:r>
    </w:p>
    <w:p w14:paraId="55F4CC6D" w14:textId="77777777" w:rsidR="001D7E27" w:rsidRPr="006C3278" w:rsidRDefault="001D7E27" w:rsidP="001D7E27">
      <w:pPr>
        <w:pStyle w:val="BodyText"/>
        <w:rPr>
          <w:lang w:val="en-AU"/>
        </w:rPr>
      </w:pPr>
      <w:r w:rsidRPr="006C3278">
        <w:rPr>
          <w:lang w:val="en-AU"/>
        </w:rPr>
        <w:t xml:space="preserve">For more information, visit: </w:t>
      </w:r>
      <w:hyperlink r:id="rId23" w:tooltip="Hyperlink to the State Electricity Commission of Victoria website" w:history="1">
        <w:r w:rsidRPr="006C3278">
          <w:rPr>
            <w:rStyle w:val="Hyperlink"/>
            <w:lang w:val="en-AU"/>
          </w:rPr>
          <w:t>secvictoria.com.au</w:t>
        </w:r>
      </w:hyperlink>
    </w:p>
    <w:p w14:paraId="3918C5A0" w14:textId="77777777" w:rsidR="00C90FB7" w:rsidRPr="00C90FB7" w:rsidRDefault="00C90FB7" w:rsidP="00C90FB7">
      <w:pPr>
        <w:pStyle w:val="Heading2"/>
        <w:spacing w:after="240"/>
        <w:rPr>
          <w:lang w:val="en-AU"/>
        </w:rPr>
      </w:pPr>
      <w:r w:rsidRPr="00C90FB7">
        <w:rPr>
          <w:lang w:val="en-AU"/>
        </w:rPr>
        <w:lastRenderedPageBreak/>
        <w:t>Launch Vic</w:t>
      </w:r>
    </w:p>
    <w:p w14:paraId="0662633F" w14:textId="3386EA11" w:rsidR="00C90FB7" w:rsidRPr="00C90FB7" w:rsidRDefault="00C90FB7" w:rsidP="00C90FB7">
      <w:pPr>
        <w:pStyle w:val="BodyText"/>
      </w:pPr>
      <w:proofErr w:type="spellStart"/>
      <w:r w:rsidRPr="00C90FB7">
        <w:t>LaunchVic</w:t>
      </w:r>
      <w:proofErr w:type="spellEnd"/>
      <w:r w:rsidRPr="00C90FB7">
        <w:t xml:space="preserve"> is Victoria’s startup agency, fuelling the growth of Victoria’s startup sector by helping startups grow and scale and develop the private early-stage investment landscape.</w:t>
      </w:r>
    </w:p>
    <w:p w14:paraId="6254CD0D" w14:textId="10CAC6C4" w:rsidR="00C90FB7" w:rsidRDefault="00C90FB7" w:rsidP="00C90FB7">
      <w:pPr>
        <w:pStyle w:val="BodyText"/>
      </w:pPr>
      <w:r w:rsidRPr="00C90FB7">
        <w:rPr>
          <w:lang w:val="en-AU"/>
        </w:rPr>
        <w:t xml:space="preserve">For more information, visit: </w:t>
      </w:r>
      <w:hyperlink r:id="rId24" w:tooltip="Hyperlink to Launchvic website" w:history="1">
        <w:r w:rsidRPr="00C90FB7">
          <w:rPr>
            <w:rStyle w:val="Hyperlink"/>
            <w:lang w:val="en-AU"/>
          </w:rPr>
          <w:t>launchvic.org</w:t>
        </w:r>
      </w:hyperlink>
    </w:p>
    <w:p w14:paraId="2B5347FE" w14:textId="098C3187" w:rsidR="001D7E27" w:rsidRPr="006C3278" w:rsidRDefault="001D7E27" w:rsidP="001D7E27">
      <w:pPr>
        <w:pStyle w:val="Heading2"/>
        <w:spacing w:after="240"/>
        <w:rPr>
          <w:lang w:val="en-AU"/>
        </w:rPr>
      </w:pPr>
      <w:r w:rsidRPr="006C3278">
        <w:rPr>
          <w:lang w:val="en-AU"/>
        </w:rPr>
        <w:t>Breakthrough Victoria</w:t>
      </w:r>
    </w:p>
    <w:p w14:paraId="34FD9F4F" w14:textId="77777777" w:rsidR="001D7E27" w:rsidRPr="006C3278" w:rsidRDefault="001D7E27" w:rsidP="001D7E27">
      <w:pPr>
        <w:pStyle w:val="BodyText"/>
        <w:rPr>
          <w:lang w:val="en-AU"/>
        </w:rPr>
      </w:pPr>
      <w:r w:rsidRPr="006C3278">
        <w:rPr>
          <w:lang w:val="en-AU"/>
        </w:rPr>
        <w:t>Breakthrough Victoria launched in 2021 and is a private investment company providing patient capital and investment that impact Victoria’s economy and wellbeing.</w:t>
      </w:r>
    </w:p>
    <w:p w14:paraId="696F1B43" w14:textId="1991CDAD" w:rsidR="001D7E27" w:rsidRPr="00C90FB7" w:rsidRDefault="001D7E27" w:rsidP="00C90FB7">
      <w:pPr>
        <w:pStyle w:val="BodyText"/>
        <w:rPr>
          <w:u w:val="thick"/>
          <w:lang w:val="en-AU"/>
        </w:rPr>
      </w:pPr>
      <w:r w:rsidRPr="006C3278">
        <w:rPr>
          <w:lang w:val="en-AU"/>
        </w:rPr>
        <w:t xml:space="preserve">For more information, visit: </w:t>
      </w:r>
      <w:hyperlink r:id="rId25" w:tooltip="Hyperlink to Breakthrough Victoria website" w:history="1">
        <w:r w:rsidRPr="006C3278">
          <w:rPr>
            <w:rStyle w:val="Hyperlink"/>
            <w:lang w:val="en-AU"/>
          </w:rPr>
          <w:t>breakthroughvictoria.com</w:t>
        </w:r>
      </w:hyperlink>
    </w:p>
    <w:p w14:paraId="32E87BC8" w14:textId="0C094D62" w:rsidR="004120AC" w:rsidRPr="006C3278" w:rsidRDefault="004120AC" w:rsidP="005B21DE">
      <w:pPr>
        <w:pStyle w:val="Heading2"/>
        <w:spacing w:after="240"/>
        <w:rPr>
          <w:lang w:val="en-AU"/>
        </w:rPr>
      </w:pPr>
      <w:r w:rsidRPr="006C3278">
        <w:rPr>
          <w:lang w:val="en-AU"/>
        </w:rPr>
        <w:t>Invest Victoria</w:t>
      </w:r>
    </w:p>
    <w:p w14:paraId="1BE17669" w14:textId="77777777" w:rsidR="004120AC" w:rsidRPr="006C3278" w:rsidRDefault="004120AC" w:rsidP="005B21DE">
      <w:pPr>
        <w:pStyle w:val="Normalbeforebullets"/>
        <w:ind w:right="-285"/>
      </w:pPr>
      <w:r w:rsidRPr="006C3278">
        <w:t>Invest Victoria is the Victorian Government’s investment attraction agency. Services include:</w:t>
      </w:r>
    </w:p>
    <w:p w14:paraId="338849F3" w14:textId="77777777" w:rsidR="004120AC" w:rsidRPr="006C3278" w:rsidRDefault="004120AC" w:rsidP="004120AC">
      <w:pPr>
        <w:pStyle w:val="ListBullet"/>
        <w:rPr>
          <w:lang w:val="en-AU"/>
        </w:rPr>
      </w:pPr>
      <w:r w:rsidRPr="006C3278">
        <w:rPr>
          <w:lang w:val="en-AU"/>
        </w:rPr>
        <w:t>market regulatory information</w:t>
      </w:r>
    </w:p>
    <w:p w14:paraId="0E89C4C6" w14:textId="77777777" w:rsidR="004120AC" w:rsidRPr="006C3278" w:rsidRDefault="004120AC" w:rsidP="004120AC">
      <w:pPr>
        <w:pStyle w:val="ListBullet"/>
        <w:rPr>
          <w:lang w:val="en-AU"/>
        </w:rPr>
      </w:pPr>
      <w:r w:rsidRPr="006C3278">
        <w:rPr>
          <w:lang w:val="en-AU"/>
        </w:rPr>
        <w:t>statutory approvals coordination</w:t>
      </w:r>
    </w:p>
    <w:p w14:paraId="564E9D12" w14:textId="77777777" w:rsidR="004120AC" w:rsidRPr="006C3278" w:rsidRDefault="004120AC" w:rsidP="004120AC">
      <w:pPr>
        <w:pStyle w:val="ListBullet"/>
        <w:rPr>
          <w:lang w:val="en-AU"/>
        </w:rPr>
      </w:pPr>
      <w:r w:rsidRPr="006C3278">
        <w:rPr>
          <w:lang w:val="en-AU"/>
        </w:rPr>
        <w:t>site location services</w:t>
      </w:r>
    </w:p>
    <w:p w14:paraId="20EC9DC6" w14:textId="77777777" w:rsidR="004120AC" w:rsidRPr="006C3278" w:rsidRDefault="004120AC" w:rsidP="004120AC">
      <w:pPr>
        <w:pStyle w:val="ListBullet"/>
        <w:rPr>
          <w:lang w:val="en-AU"/>
        </w:rPr>
      </w:pPr>
      <w:r w:rsidRPr="006C3278">
        <w:rPr>
          <w:lang w:val="en-AU"/>
        </w:rPr>
        <w:t>identification of infrastructure and utility requirements</w:t>
      </w:r>
    </w:p>
    <w:p w14:paraId="306D6D6D" w14:textId="77777777" w:rsidR="004120AC" w:rsidRPr="006C3278" w:rsidRDefault="004120AC" w:rsidP="005B21DE">
      <w:pPr>
        <w:pStyle w:val="LastBulletinList"/>
        <w:rPr>
          <w:lang w:val="en-AU"/>
        </w:rPr>
      </w:pPr>
      <w:r w:rsidRPr="006C3278">
        <w:rPr>
          <w:lang w:val="en-AU"/>
        </w:rPr>
        <w:t>advocacy within government.</w:t>
      </w:r>
    </w:p>
    <w:p w14:paraId="710BC6C9" w14:textId="77777777" w:rsidR="004120AC" w:rsidRPr="006C3278" w:rsidRDefault="004120AC" w:rsidP="005B21DE">
      <w:pPr>
        <w:pStyle w:val="BodyText"/>
        <w:ind w:right="-285"/>
        <w:rPr>
          <w:lang w:val="en-AU"/>
        </w:rPr>
      </w:pPr>
      <w:r w:rsidRPr="006C3278">
        <w:rPr>
          <w:lang w:val="en-AU"/>
        </w:rPr>
        <w:t xml:space="preserve">The Investment Coordinator-General role and function also </w:t>
      </w:r>
      <w:proofErr w:type="gramStart"/>
      <w:r w:rsidRPr="006C3278">
        <w:rPr>
          <w:lang w:val="en-AU"/>
        </w:rPr>
        <w:t>sits</w:t>
      </w:r>
      <w:proofErr w:type="gramEnd"/>
      <w:r w:rsidRPr="006C3278">
        <w:rPr>
          <w:lang w:val="en-AU"/>
        </w:rPr>
        <w:t xml:space="preserve"> within Invest Victoria, working across agencies to ensure approvals deadlines are met and helping to reduce delays.</w:t>
      </w:r>
    </w:p>
    <w:p w14:paraId="6BD60534" w14:textId="612EEAE4" w:rsidR="004120AC" w:rsidRPr="006C3278" w:rsidRDefault="004120AC" w:rsidP="004120AC">
      <w:pPr>
        <w:pStyle w:val="BodyText"/>
        <w:rPr>
          <w:u w:val="thick"/>
          <w:lang w:val="en-AU"/>
        </w:rPr>
      </w:pPr>
      <w:r w:rsidRPr="006C3278">
        <w:rPr>
          <w:lang w:val="en-AU"/>
        </w:rPr>
        <w:t xml:space="preserve">For more information, visit: </w:t>
      </w:r>
      <w:hyperlink r:id="rId26" w:tooltip="Hyperlink to Invest Victoria website" w:history="1">
        <w:r w:rsidRPr="006C3278">
          <w:rPr>
            <w:rStyle w:val="Hyperlink"/>
            <w:lang w:val="en-AU"/>
          </w:rPr>
          <w:t>invest.vic.gov.au</w:t>
        </w:r>
      </w:hyperlink>
    </w:p>
    <w:p w14:paraId="2A56FEB6" w14:textId="77777777" w:rsidR="00832374" w:rsidRPr="00B67EBE" w:rsidRDefault="00832374" w:rsidP="00B67EBE">
      <w:pPr>
        <w:pStyle w:val="Heading2"/>
        <w:spacing w:after="240"/>
        <w:rPr>
          <w:lang w:val="en-AU"/>
        </w:rPr>
      </w:pPr>
      <w:r w:rsidRPr="00B67EBE">
        <w:rPr>
          <w:lang w:val="en-AU"/>
        </w:rPr>
        <w:lastRenderedPageBreak/>
        <w:t xml:space="preserve">Contact a local Victorian Government Trade and Investment Office to help you: </w:t>
      </w:r>
    </w:p>
    <w:p w14:paraId="66764489" w14:textId="77777777" w:rsidR="00832374" w:rsidRPr="00832374" w:rsidRDefault="00832374" w:rsidP="00B67EBE">
      <w:pPr>
        <w:pStyle w:val="ListBullet"/>
      </w:pPr>
      <w:r w:rsidRPr="00832374">
        <w:t xml:space="preserve">navigate investment opportunities in Victoria’s new energy technology sector </w:t>
      </w:r>
    </w:p>
    <w:p w14:paraId="6230335A" w14:textId="77777777" w:rsidR="00832374" w:rsidRPr="00832374" w:rsidRDefault="00832374" w:rsidP="00B67EBE">
      <w:pPr>
        <w:pStyle w:val="ListBullet"/>
      </w:pPr>
      <w:r w:rsidRPr="00832374">
        <w:t xml:space="preserve">set up a briefing with energy specialists </w:t>
      </w:r>
    </w:p>
    <w:p w14:paraId="6E2F0000" w14:textId="77777777" w:rsidR="00832374" w:rsidRPr="00832374" w:rsidRDefault="00832374" w:rsidP="00B67EBE">
      <w:pPr>
        <w:pStyle w:val="ListBullet"/>
      </w:pPr>
      <w:r w:rsidRPr="00832374">
        <w:t xml:space="preserve">arrange inbound market visits </w:t>
      </w:r>
    </w:p>
    <w:p w14:paraId="1C1FE6F4" w14:textId="77777777" w:rsidR="00832374" w:rsidRPr="00832374" w:rsidRDefault="00832374" w:rsidP="00B67EBE">
      <w:pPr>
        <w:pStyle w:val="LastBulletinList"/>
      </w:pPr>
      <w:r w:rsidRPr="00832374">
        <w:t xml:space="preserve">introduce you to the Victorian Government’s Energy Business and Industry Engagement team and Invest Victoria. </w:t>
      </w:r>
    </w:p>
    <w:p w14:paraId="7324B6C2" w14:textId="5BBBD2AE" w:rsidR="004120AC" w:rsidRPr="006C3278" w:rsidRDefault="00832374" w:rsidP="00832374">
      <w:pPr>
        <w:pStyle w:val="BodyText"/>
      </w:pPr>
      <w:r w:rsidRPr="00832374">
        <w:t xml:space="preserve">For more information, visit: </w:t>
      </w:r>
      <w:hyperlink r:id="rId27" w:tooltip="Hyperlink to Global Victoria website" w:history="1">
        <w:r w:rsidRPr="00B67EBE">
          <w:rPr>
            <w:rStyle w:val="Hyperlink"/>
          </w:rPr>
          <w:t>global.vic.gov.au/meet-our-global-team/all-office-locations</w:t>
        </w:r>
      </w:hyperlink>
    </w:p>
    <w:p w14:paraId="6948B0BB" w14:textId="77777777" w:rsidR="00222FF2" w:rsidRPr="006C3278" w:rsidRDefault="00222FF2" w:rsidP="00885AAB">
      <w:pPr>
        <w:pStyle w:val="Heading1"/>
        <w:pageBreakBefore/>
        <w:spacing w:after="240"/>
        <w:rPr>
          <w:lang w:val="en-AU"/>
        </w:rPr>
      </w:pPr>
      <w:bookmarkStart w:id="8" w:name="_Toc184285036"/>
      <w:bookmarkStart w:id="9" w:name="_Toc211952543"/>
      <w:r w:rsidRPr="006C3278">
        <w:rPr>
          <w:lang w:val="en-AU"/>
        </w:rPr>
        <w:lastRenderedPageBreak/>
        <w:t>Publication information</w:t>
      </w:r>
      <w:bookmarkEnd w:id="8"/>
      <w:bookmarkEnd w:id="9"/>
    </w:p>
    <w:p w14:paraId="24B0DE63" w14:textId="77777777" w:rsidR="00222FF2" w:rsidRPr="006C3278" w:rsidRDefault="00222FF2" w:rsidP="00755F80">
      <w:pPr>
        <w:pStyle w:val="Heading2"/>
        <w:spacing w:after="240"/>
        <w:rPr>
          <w:sz w:val="32"/>
          <w:szCs w:val="32"/>
          <w:lang w:val="en-AU"/>
        </w:rPr>
      </w:pPr>
      <w:r w:rsidRPr="006C3278">
        <w:rPr>
          <w:sz w:val="32"/>
          <w:szCs w:val="32"/>
          <w:lang w:val="en-AU"/>
        </w:rPr>
        <w:t>Acknowledgements</w:t>
      </w:r>
    </w:p>
    <w:p w14:paraId="30503762" w14:textId="77777777" w:rsidR="00FF45EB" w:rsidRPr="006C3278" w:rsidRDefault="00FF45EB" w:rsidP="00FF45EB">
      <w:pPr>
        <w:pStyle w:val="BodyText"/>
        <w:spacing w:after="120"/>
        <w:rPr>
          <w:lang w:val="en-AU"/>
        </w:rPr>
      </w:pPr>
      <w:r w:rsidRPr="006C3278">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6C3278" w:rsidRDefault="00FF45EB" w:rsidP="00FF45EB">
      <w:pPr>
        <w:pStyle w:val="BodyText"/>
        <w:spacing w:after="120"/>
        <w:rPr>
          <w:lang w:val="en-AU"/>
        </w:rPr>
      </w:pPr>
      <w:r w:rsidRPr="006C3278">
        <w:rPr>
          <w:lang w:val="en-AU"/>
        </w:rPr>
        <w:t xml:space="preserve">We honour Elders past and present whose </w:t>
      </w:r>
      <w:proofErr w:type="gramStart"/>
      <w:r w:rsidRPr="006C3278">
        <w:rPr>
          <w:lang w:val="en-AU"/>
        </w:rPr>
        <w:t>knowledge</w:t>
      </w:r>
      <w:proofErr w:type="gramEnd"/>
      <w:r w:rsidRPr="006C3278">
        <w:rPr>
          <w:lang w:val="en-AU"/>
        </w:rPr>
        <w:t xml:space="preserve"> and wisdom has ensured the continuation of culture and traditional practices.</w:t>
      </w:r>
    </w:p>
    <w:p w14:paraId="3B471202" w14:textId="77777777" w:rsidR="00222FF2" w:rsidRPr="006C3278" w:rsidRDefault="00FF45EB" w:rsidP="00C51A83">
      <w:pPr>
        <w:pStyle w:val="BodyText"/>
        <w:spacing w:after="120"/>
        <w:rPr>
          <w:lang w:val="en-AU"/>
        </w:rPr>
      </w:pPr>
      <w:r w:rsidRPr="006C3278">
        <w:rPr>
          <w:lang w:val="en-AU"/>
        </w:rPr>
        <w:t>DEECA is committed to genuinely partnering with Victorian Traditional Owners and Victoria’s Aboriginal community to progress their aspirations.</w:t>
      </w:r>
    </w:p>
    <w:p w14:paraId="308AA64D" w14:textId="77777777" w:rsidR="00222FF2" w:rsidRPr="006C3278" w:rsidRDefault="00222FF2" w:rsidP="00755F80">
      <w:pPr>
        <w:pStyle w:val="Heading2"/>
        <w:spacing w:after="240"/>
        <w:rPr>
          <w:sz w:val="32"/>
          <w:szCs w:val="32"/>
          <w:lang w:val="en-AU"/>
        </w:rPr>
      </w:pPr>
      <w:r w:rsidRPr="006C3278">
        <w:rPr>
          <w:sz w:val="32"/>
          <w:szCs w:val="32"/>
          <w:lang w:val="en-AU"/>
        </w:rPr>
        <w:t>Copyright</w:t>
      </w:r>
    </w:p>
    <w:p w14:paraId="521AAE11" w14:textId="2E48F467" w:rsidR="00222FF2" w:rsidRPr="006C3278" w:rsidRDefault="00222FF2" w:rsidP="00C51A83">
      <w:pPr>
        <w:pStyle w:val="BodyText"/>
        <w:spacing w:after="120"/>
        <w:ind w:right="-285"/>
        <w:rPr>
          <w:lang w:val="en-AU"/>
        </w:rPr>
      </w:pPr>
      <w:r w:rsidRPr="006C3278">
        <w:rPr>
          <w:lang w:val="en-AU"/>
        </w:rPr>
        <w:t xml:space="preserve">© The State of Victoria Department of Energy, Environment and Climate Action, </w:t>
      </w:r>
      <w:r w:rsidR="00755F80" w:rsidRPr="006C3278">
        <w:rPr>
          <w:color w:val="000000" w:themeColor="text1"/>
          <w:lang w:val="en-AU"/>
        </w:rPr>
        <w:t>September</w:t>
      </w:r>
      <w:r w:rsidRPr="006C3278">
        <w:rPr>
          <w:color w:val="000000" w:themeColor="text1"/>
          <w:lang w:val="en-AU"/>
        </w:rPr>
        <w:t xml:space="preserve"> </w:t>
      </w:r>
      <w:r w:rsidRPr="006C3278">
        <w:rPr>
          <w:lang w:val="en-AU"/>
        </w:rPr>
        <w:t>202</w:t>
      </w:r>
      <w:r w:rsidR="00FF45EB" w:rsidRPr="006C3278">
        <w:rPr>
          <w:lang w:val="en-AU"/>
        </w:rPr>
        <w:t>5</w:t>
      </w:r>
      <w:r w:rsidRPr="006C3278">
        <w:rPr>
          <w:lang w:val="en-AU"/>
        </w:rPr>
        <w:t>.</w:t>
      </w:r>
    </w:p>
    <w:p w14:paraId="649490B3" w14:textId="77777777" w:rsidR="00222FF2" w:rsidRPr="006C3278" w:rsidRDefault="00222FF2" w:rsidP="00755F80">
      <w:pPr>
        <w:pStyle w:val="Heading2"/>
        <w:spacing w:after="240"/>
        <w:rPr>
          <w:sz w:val="32"/>
          <w:szCs w:val="32"/>
          <w:lang w:val="en-AU"/>
        </w:rPr>
      </w:pPr>
      <w:r w:rsidRPr="006C3278">
        <w:rPr>
          <w:sz w:val="32"/>
          <w:szCs w:val="32"/>
          <w:lang w:val="en-AU"/>
        </w:rPr>
        <w:t>Creative Commons</w:t>
      </w:r>
    </w:p>
    <w:p w14:paraId="32800AA8" w14:textId="19968123" w:rsidR="00222FF2" w:rsidRPr="006C3278" w:rsidRDefault="00222FF2" w:rsidP="00222FF2">
      <w:pPr>
        <w:pStyle w:val="BodyText"/>
        <w:ind w:right="-285"/>
        <w:rPr>
          <w:lang w:val="en-AU"/>
        </w:rPr>
      </w:pPr>
      <w:r w:rsidRPr="006C3278">
        <w:rPr>
          <w:lang w:val="en-AU"/>
        </w:rPr>
        <w:t xml:space="preserve">This work is licensed under a Creative Commons Attribution 4.0 International licence, visit the </w:t>
      </w:r>
      <w:hyperlink r:id="rId28" w:tooltip="Hyperlink to Creative Commons website" w:history="1">
        <w:r w:rsidRPr="006C3278">
          <w:rPr>
            <w:rStyle w:val="Hyperlink"/>
            <w:lang w:val="en-AU"/>
          </w:rPr>
          <w:t>Creative Commons website</w:t>
        </w:r>
      </w:hyperlink>
      <w:r w:rsidRPr="006C3278">
        <w:rPr>
          <w:lang w:val="en-AU"/>
        </w:rPr>
        <w:t xml:space="preserve"> (</w:t>
      </w:r>
      <w:hyperlink r:id="rId29" w:tooltip="Hyperlink to Creative Commons website" w:history="1">
        <w:r w:rsidRPr="006C3278">
          <w:rPr>
            <w:rStyle w:val="Hyperlink"/>
            <w:lang w:val="en-AU"/>
          </w:rPr>
          <w:t>http://creativecommons.org/licenses/by/4.0/</w:t>
        </w:r>
      </w:hyperlink>
      <w:r w:rsidRPr="006C3278">
        <w:rPr>
          <w:lang w:val="en-AU"/>
        </w:rPr>
        <w:t>).</w:t>
      </w:r>
    </w:p>
    <w:p w14:paraId="75258A85" w14:textId="77777777" w:rsidR="00222FF2" w:rsidRPr="006C3278" w:rsidRDefault="00222FF2" w:rsidP="00222FF2">
      <w:pPr>
        <w:pStyle w:val="BodyText"/>
        <w:ind w:right="-285"/>
        <w:rPr>
          <w:lang w:val="en-AU"/>
        </w:rPr>
      </w:pPr>
      <w:r w:rsidRPr="006C3278">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2CB25A0F" w:rsidR="00755F80" w:rsidRPr="00C90FB7" w:rsidRDefault="00755F80" w:rsidP="00755F80">
      <w:pPr>
        <w:pStyle w:val="BodyText"/>
        <w:spacing w:after="0"/>
        <w:ind w:right="-285"/>
      </w:pPr>
      <w:r w:rsidRPr="006C3278">
        <w:rPr>
          <w:b/>
          <w:bCs/>
          <w:lang w:val="en-AU"/>
        </w:rPr>
        <w:t xml:space="preserve">ISBN </w:t>
      </w:r>
      <w:r w:rsidR="00C90FB7" w:rsidRPr="00C90FB7">
        <w:t>978-1-76176-605-3</w:t>
      </w:r>
      <w:r w:rsidRPr="006C3278">
        <w:rPr>
          <w:b/>
          <w:bCs/>
          <w:lang w:val="en-AU"/>
        </w:rPr>
        <w:t xml:space="preserve"> (Print) </w:t>
      </w:r>
    </w:p>
    <w:p w14:paraId="020E4153" w14:textId="6B1AE764" w:rsidR="00222FF2" w:rsidRPr="00C90FB7" w:rsidRDefault="00755F80" w:rsidP="00755F80">
      <w:pPr>
        <w:pStyle w:val="BodyText"/>
        <w:spacing w:after="120"/>
        <w:ind w:right="-285"/>
      </w:pPr>
      <w:r w:rsidRPr="006C3278">
        <w:rPr>
          <w:b/>
          <w:bCs/>
          <w:lang w:val="en-AU"/>
        </w:rPr>
        <w:t xml:space="preserve">ISBN </w:t>
      </w:r>
      <w:r w:rsidR="00C90FB7" w:rsidRPr="00C90FB7">
        <w:t>978-1-76176-606-0</w:t>
      </w:r>
      <w:r w:rsidRPr="006C3278">
        <w:rPr>
          <w:b/>
          <w:bCs/>
          <w:lang w:val="en-AU"/>
        </w:rPr>
        <w:t xml:space="preserve"> (pdf/online/MS word)</w:t>
      </w:r>
      <w:r w:rsidR="00222FF2" w:rsidRPr="006C3278">
        <w:rPr>
          <w:b/>
          <w:bCs/>
          <w:lang w:val="en-AU"/>
        </w:rPr>
        <w:t>)</w:t>
      </w:r>
    </w:p>
    <w:p w14:paraId="77ECBDB4" w14:textId="77777777" w:rsidR="00222FF2" w:rsidRPr="006C3278" w:rsidRDefault="00222FF2" w:rsidP="00755F80">
      <w:pPr>
        <w:pStyle w:val="Heading2"/>
        <w:spacing w:after="240"/>
        <w:rPr>
          <w:sz w:val="32"/>
          <w:szCs w:val="32"/>
          <w:lang w:val="en-AU"/>
        </w:rPr>
      </w:pPr>
      <w:r w:rsidRPr="006C3278">
        <w:rPr>
          <w:sz w:val="32"/>
          <w:szCs w:val="32"/>
          <w:lang w:val="en-AU"/>
        </w:rPr>
        <w:lastRenderedPageBreak/>
        <w:t>Disclaimer</w:t>
      </w:r>
    </w:p>
    <w:p w14:paraId="50369735" w14:textId="77777777" w:rsidR="00222FF2" w:rsidRPr="006C3278" w:rsidRDefault="00222FF2" w:rsidP="00C51A83">
      <w:pPr>
        <w:pStyle w:val="BodyText"/>
        <w:spacing w:after="120"/>
        <w:rPr>
          <w:lang w:val="en-AU"/>
        </w:rPr>
      </w:pPr>
      <w:r w:rsidRPr="006C3278">
        <w:rPr>
          <w:lang w:val="en-AU"/>
        </w:rPr>
        <w:t xml:space="preserve">This publication may be of assistance to </w:t>
      </w:r>
      <w:proofErr w:type="gramStart"/>
      <w:r w:rsidRPr="006C3278">
        <w:rPr>
          <w:lang w:val="en-AU"/>
        </w:rPr>
        <w:t>you</w:t>
      </w:r>
      <w:proofErr w:type="gramEnd"/>
      <w:r w:rsidRPr="006C3278">
        <w:rPr>
          <w:lang w:val="en-AU"/>
        </w:rPr>
        <w:t xml:space="preserve"> but the State of Victoria and its employees do not guarantee that the publication is without flaw of any kind or is wholly appropriate for your </w:t>
      </w:r>
      <w:proofErr w:type="gramStart"/>
      <w:r w:rsidRPr="006C3278">
        <w:rPr>
          <w:lang w:val="en-AU"/>
        </w:rPr>
        <w:t>particular purposes</w:t>
      </w:r>
      <w:proofErr w:type="gramEnd"/>
      <w:r w:rsidRPr="006C3278">
        <w:rPr>
          <w:lang w:val="en-AU"/>
        </w:rPr>
        <w:t xml:space="preserve"> and therefore disclaims all liability for any error, loss or other consequence which may arise from you relying on any information in this publication.</w:t>
      </w:r>
    </w:p>
    <w:p w14:paraId="59539D8D" w14:textId="77777777" w:rsidR="00222FF2" w:rsidRPr="006C3278" w:rsidRDefault="00222FF2" w:rsidP="00755F80">
      <w:pPr>
        <w:pStyle w:val="Heading2"/>
        <w:spacing w:after="240"/>
        <w:rPr>
          <w:sz w:val="32"/>
          <w:szCs w:val="32"/>
          <w:lang w:val="en-AU"/>
        </w:rPr>
      </w:pPr>
      <w:r w:rsidRPr="006C3278">
        <w:rPr>
          <w:sz w:val="32"/>
          <w:szCs w:val="32"/>
          <w:lang w:val="en-AU"/>
        </w:rPr>
        <w:t>Accessibility</w:t>
      </w:r>
    </w:p>
    <w:p w14:paraId="77D00721" w14:textId="2CDD899B" w:rsidR="00222FF2" w:rsidRPr="006C3278" w:rsidRDefault="00222FF2" w:rsidP="00C51A83">
      <w:pPr>
        <w:pStyle w:val="BodyText"/>
        <w:spacing w:after="120"/>
        <w:rPr>
          <w:lang w:val="en-AU"/>
        </w:rPr>
      </w:pPr>
      <w:r w:rsidRPr="006C3278">
        <w:rPr>
          <w:lang w:val="en-AU"/>
        </w:rPr>
        <w:t xml:space="preserve">To receive this document in an alternative format, phone the Customer Service Centre on 136 186, email </w:t>
      </w:r>
      <w:hyperlink r:id="rId30" w:tooltip="Send an email to customer service" w:history="1">
        <w:r w:rsidRPr="006C3278">
          <w:rPr>
            <w:rStyle w:val="Hyperlink"/>
            <w:lang w:val="en-AU"/>
          </w:rPr>
          <w:t>customer.service@delwp.vic.gov.au</w:t>
        </w:r>
      </w:hyperlink>
      <w:r w:rsidRPr="006C3278">
        <w:rPr>
          <w:lang w:val="en-AU"/>
        </w:rPr>
        <w:t>, or contact National Relay Service on 133 677. Available at DEECA website (</w:t>
      </w:r>
      <w:hyperlink r:id="rId31" w:tooltip="Hyperlink to the DEECA website" w:history="1">
        <w:r w:rsidRPr="006C3278">
          <w:rPr>
            <w:rStyle w:val="Hyperlink"/>
            <w:lang w:val="en-AU"/>
          </w:rPr>
          <w:t>www.deeca.vic.gov.au</w:t>
        </w:r>
      </w:hyperlink>
      <w:r w:rsidRPr="006C3278">
        <w:rPr>
          <w:lang w:val="en-AU"/>
        </w:rPr>
        <w:t>).</w:t>
      </w:r>
    </w:p>
    <w:p w14:paraId="02AE8630" w14:textId="77777777" w:rsidR="00F767CD" w:rsidRPr="006C3278" w:rsidRDefault="00222FF2" w:rsidP="00755F80">
      <w:pPr>
        <w:pStyle w:val="BodyText"/>
        <w:spacing w:before="1200" w:after="0"/>
        <w:rPr>
          <w:b/>
          <w:bCs/>
          <w:lang w:val="en-AU"/>
        </w:rPr>
      </w:pPr>
      <w:r w:rsidRPr="006C3278">
        <w:rPr>
          <w:b/>
          <w:bCs/>
          <w:lang w:val="en-AU"/>
        </w:rPr>
        <w:t>End of document.</w:t>
      </w:r>
    </w:p>
    <w:sectPr w:rsidR="00F767CD" w:rsidRPr="006C3278" w:rsidSect="006B5F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21389" w14:textId="77777777" w:rsidR="003B1B53" w:rsidRDefault="003B1B53" w:rsidP="00F2730B">
      <w:pPr>
        <w:spacing w:after="0" w:line="240" w:lineRule="auto"/>
      </w:pPr>
      <w:r>
        <w:separator/>
      </w:r>
    </w:p>
  </w:endnote>
  <w:endnote w:type="continuationSeparator" w:id="0">
    <w:p w14:paraId="16F969DE" w14:textId="77777777" w:rsidR="003B1B53" w:rsidRDefault="003B1B53"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w:panose1 w:val="00000500000000000000"/>
    <w:charset w:val="4D"/>
    <w:family w:val="auto"/>
    <w:notTrueType/>
    <w:pitch w:val="variable"/>
    <w:sig w:usb0="00000007" w:usb1="00000000" w:usb2="00000000" w:usb3="00000000" w:csb0="00000093" w:csb1="00000000"/>
  </w:font>
  <w:font w:name="VIC Medium">
    <w:panose1 w:val="00000600000000000000"/>
    <w:charset w:val="4D"/>
    <w:family w:val="auto"/>
    <w:notTrueType/>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5DA5B285" w:rsidR="00EB277B" w:rsidRDefault="00202819" w:rsidP="00202819">
    <w:pPr>
      <w:pStyle w:val="Footer"/>
      <w:ind w:right="360"/>
    </w:pPr>
    <w:r w:rsidRPr="00202819">
      <w:t>Victoria's Investment Prospectus DIGITAL ENERGY AND INNOVATION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45511825" w:rsidR="00B165A7" w:rsidRDefault="00202819" w:rsidP="00202819">
    <w:pPr>
      <w:pStyle w:val="Footer"/>
      <w:ind w:right="360"/>
    </w:pPr>
    <w:r w:rsidRPr="00202819">
      <w:t>Victoria's Investment Prospectus DIGITAL ENERGY AND INNOVATION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C14E" w14:textId="77777777" w:rsidR="003B1B53" w:rsidRDefault="003B1B53" w:rsidP="00F2730B">
      <w:pPr>
        <w:spacing w:after="0" w:line="240" w:lineRule="auto"/>
      </w:pPr>
      <w:r>
        <w:separator/>
      </w:r>
    </w:p>
  </w:footnote>
  <w:footnote w:type="continuationSeparator" w:id="0">
    <w:p w14:paraId="106EC90C" w14:textId="77777777" w:rsidR="003B1B53" w:rsidRDefault="003B1B53" w:rsidP="00F2730B">
      <w:pPr>
        <w:spacing w:after="0" w:line="240" w:lineRule="auto"/>
      </w:pPr>
      <w:r>
        <w:continuationSeparator/>
      </w:r>
    </w:p>
  </w:footnote>
  <w:footnote w:id="1">
    <w:p w14:paraId="4EE7EA4F" w14:textId="77777777" w:rsidR="00622F6A" w:rsidRDefault="00622F6A" w:rsidP="00B67EBE">
      <w:pPr>
        <w:pStyle w:val="FootnoteText"/>
        <w:ind w:left="170" w:hanging="170"/>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77777777" w:rsidR="00622F6A" w:rsidRDefault="00622F6A" w:rsidP="00B67EBE">
      <w:pPr>
        <w:pStyle w:val="FootnoteText"/>
        <w:ind w:left="170" w:hanging="170"/>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proofErr w:type="spellStart"/>
        <w:r w:rsidRPr="001136C6">
          <w:rPr>
            <w:rStyle w:val="Hyperlink"/>
          </w:rPr>
          <w:t>victoria</w:t>
        </w:r>
        <w:proofErr w:type="spellEnd"/>
        <w:r w:rsidRPr="001136C6">
          <w:rPr>
            <w:rStyle w:val="Hyperlink"/>
          </w:rPr>
          <w:t>/manufacturing-statement</w:t>
        </w:r>
      </w:hyperlink>
    </w:p>
  </w:footnote>
  <w:footnote w:id="3">
    <w:p w14:paraId="7F4793BA" w14:textId="5E57815E" w:rsidR="00C16AE8" w:rsidRDefault="00C16AE8">
      <w:pPr>
        <w:pStyle w:val="FootnoteText"/>
      </w:pPr>
      <w:r>
        <w:rPr>
          <w:rStyle w:val="FootnoteReference"/>
        </w:rPr>
        <w:footnoteRef/>
      </w:r>
      <w:r>
        <w:t xml:space="preserve"> </w:t>
      </w:r>
      <w:hyperlink r:id="rId3" w:tooltip="Hyperlink to Launchvic website" w:history="1">
        <w:r w:rsidRPr="00C16AE8">
          <w:rPr>
            <w:rStyle w:val="Hyperlink"/>
          </w:rPr>
          <w:t>launchvic.org/our-ecosystem</w:t>
        </w:r>
      </w:hyperlink>
    </w:p>
  </w:footnote>
  <w:footnote w:id="4">
    <w:p w14:paraId="2BCD9665" w14:textId="72B87E9B" w:rsidR="00C16AE8" w:rsidRDefault="00C16AE8">
      <w:pPr>
        <w:pStyle w:val="FootnoteText"/>
      </w:pPr>
      <w:r>
        <w:rPr>
          <w:rStyle w:val="FootnoteReference"/>
        </w:rPr>
        <w:footnoteRef/>
      </w:r>
      <w:r>
        <w:t xml:space="preserve"> </w:t>
      </w:r>
      <w:hyperlink r:id="rId4" w:tooltip="Hyperlink to PDF document ‘2022-Tech-Jobs-Opportunity-report.pdf’ (586Kb)" w:history="1">
        <w:r w:rsidRPr="00C16AE8">
          <w:rPr>
            <w:rStyle w:val="Hyperlink"/>
          </w:rPr>
          <w:t>techcouncil.com.au/wp-content/uploads/2022/03/2022-Tech-Jobs-Opportunity-report.pdf</w:t>
        </w:r>
      </w:hyperlink>
    </w:p>
  </w:footnote>
  <w:footnote w:id="5">
    <w:p w14:paraId="4E8AF4F1" w14:textId="3E23FF04" w:rsidR="00A41550" w:rsidRDefault="00A41550">
      <w:pPr>
        <w:pStyle w:val="FootnoteText"/>
      </w:pPr>
      <w:r>
        <w:rPr>
          <w:rStyle w:val="FootnoteReference"/>
        </w:rPr>
        <w:footnoteRef/>
      </w:r>
      <w:r>
        <w:t xml:space="preserve"> </w:t>
      </w:r>
      <w:hyperlink r:id="rId5" w:tooltip="Hyperlink to Australian Energy Market Commission website" w:history="1">
        <w:r w:rsidR="00EE7583">
          <w:rPr>
            <w:rStyle w:val="Hyperlink"/>
          </w:rPr>
          <w:t>aemc.gov.au/news-centre/media-releases/aemc-finalises-landmark-reform-accelerate-smart-meter-rollout</w:t>
        </w:r>
      </w:hyperlink>
    </w:p>
  </w:footnote>
  <w:footnote w:id="6">
    <w:p w14:paraId="1FC7F983" w14:textId="493244E4" w:rsidR="00DA53AF" w:rsidRDefault="00DA53AF">
      <w:pPr>
        <w:pStyle w:val="FootnoteText"/>
      </w:pPr>
      <w:r>
        <w:rPr>
          <w:rStyle w:val="FootnoteReference"/>
        </w:rPr>
        <w:footnoteRef/>
      </w:r>
      <w:r>
        <w:t xml:space="preserve"> </w:t>
      </w:r>
      <w:r w:rsidRPr="00DA53AF">
        <w:t>Deloitte analysis conducted for the Department of Energy, Environment and Climate Action</w:t>
      </w:r>
    </w:p>
  </w:footnote>
  <w:footnote w:id="7">
    <w:p w14:paraId="30ACAC49" w14:textId="29272AAA" w:rsidR="00DA53AF" w:rsidRDefault="00DA53AF">
      <w:pPr>
        <w:pStyle w:val="FootnoteText"/>
      </w:pPr>
      <w:r>
        <w:rPr>
          <w:rStyle w:val="FootnoteReference"/>
        </w:rPr>
        <w:footnoteRef/>
      </w:r>
      <w:r>
        <w:t xml:space="preserve"> </w:t>
      </w:r>
      <w:hyperlink r:id="rId6" w:tooltip="Hyperlink to Breakthrough Victoria website" w:history="1">
        <w:r w:rsidR="00EE7583">
          <w:rPr>
            <w:rStyle w:val="Hyperlink"/>
          </w:rPr>
          <w:t>http://breakthroughvictoria.com/growth-sectors/digital-technologies</w:t>
        </w:r>
      </w:hyperlink>
    </w:p>
  </w:footnote>
  <w:footnote w:id="8">
    <w:p w14:paraId="40DB54C8" w14:textId="77777777" w:rsidR="003C6686" w:rsidRDefault="003C6686" w:rsidP="003C6686">
      <w:pPr>
        <w:pStyle w:val="FootnoteText"/>
      </w:pPr>
      <w:r>
        <w:rPr>
          <w:rStyle w:val="FootnoteReference"/>
        </w:rPr>
        <w:footnoteRef/>
      </w:r>
      <w:r>
        <w:t xml:space="preserve"> </w:t>
      </w:r>
      <w:r w:rsidRPr="00B042D4">
        <w:t xml:space="preserve">QS World University Rankings, June 2025, </w:t>
      </w:r>
      <w:hyperlink r:id="rId7" w:tooltip="Hyperlink to top universities website" w:history="1">
        <w:r>
          <w:rPr>
            <w:rStyle w:val="Hyperlink"/>
          </w:rPr>
          <w:t>topuniversities.com/world-university-rankings</w:t>
        </w:r>
      </w:hyperlink>
    </w:p>
  </w:footnote>
  <w:footnote w:id="9">
    <w:p w14:paraId="62BFC2AE" w14:textId="26548135" w:rsidR="004148F5" w:rsidRDefault="004148F5">
      <w:pPr>
        <w:pStyle w:val="FootnoteText"/>
      </w:pPr>
      <w:r>
        <w:rPr>
          <w:rStyle w:val="FootnoteReference"/>
        </w:rPr>
        <w:footnoteRef/>
      </w:r>
      <w:r>
        <w:t xml:space="preserve"> </w:t>
      </w:r>
      <w:r w:rsidRPr="004148F5">
        <w:t xml:space="preserve">QS World University Rankings, June 2025, </w:t>
      </w:r>
      <w:hyperlink r:id="rId8" w:tooltip="Hyperlink to top universities website" w:history="1">
        <w:r w:rsidR="00DA09D7">
          <w:rPr>
            <w:rStyle w:val="Hyperlink"/>
          </w:rPr>
          <w:t>topuniversities.com/world-university-rankings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9E3"/>
    <w:rsid w:val="000A4CB4"/>
    <w:rsid w:val="000B0305"/>
    <w:rsid w:val="000B181D"/>
    <w:rsid w:val="000B62B5"/>
    <w:rsid w:val="000B67F7"/>
    <w:rsid w:val="000C021F"/>
    <w:rsid w:val="000C1776"/>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AA6"/>
    <w:rsid w:val="00114AFF"/>
    <w:rsid w:val="0011571F"/>
    <w:rsid w:val="001164EC"/>
    <w:rsid w:val="00121F0D"/>
    <w:rsid w:val="00122F5B"/>
    <w:rsid w:val="00124CDD"/>
    <w:rsid w:val="00125150"/>
    <w:rsid w:val="001252BF"/>
    <w:rsid w:val="001273C5"/>
    <w:rsid w:val="00130812"/>
    <w:rsid w:val="00131B14"/>
    <w:rsid w:val="00132474"/>
    <w:rsid w:val="001326C2"/>
    <w:rsid w:val="0013327E"/>
    <w:rsid w:val="00135B36"/>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85ABC"/>
    <w:rsid w:val="00185D13"/>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D7E27"/>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819"/>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A3641"/>
    <w:rsid w:val="002B01C3"/>
    <w:rsid w:val="002C3499"/>
    <w:rsid w:val="002C41F0"/>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77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5074"/>
    <w:rsid w:val="00365844"/>
    <w:rsid w:val="0036602E"/>
    <w:rsid w:val="00367F37"/>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1B53"/>
    <w:rsid w:val="003B25BA"/>
    <w:rsid w:val="003B4284"/>
    <w:rsid w:val="003B4A00"/>
    <w:rsid w:val="003C005B"/>
    <w:rsid w:val="003C0AAC"/>
    <w:rsid w:val="003C2291"/>
    <w:rsid w:val="003C43C1"/>
    <w:rsid w:val="003C6686"/>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042"/>
    <w:rsid w:val="00404B9B"/>
    <w:rsid w:val="00404F0E"/>
    <w:rsid w:val="00407A5A"/>
    <w:rsid w:val="004120AC"/>
    <w:rsid w:val="00413A1C"/>
    <w:rsid w:val="004148F5"/>
    <w:rsid w:val="004153F9"/>
    <w:rsid w:val="004163B5"/>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44F8"/>
    <w:rsid w:val="004B752D"/>
    <w:rsid w:val="004B791C"/>
    <w:rsid w:val="004C32A5"/>
    <w:rsid w:val="004C5429"/>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D8B"/>
    <w:rsid w:val="00526FFF"/>
    <w:rsid w:val="00527384"/>
    <w:rsid w:val="00532EA0"/>
    <w:rsid w:val="0053353B"/>
    <w:rsid w:val="005350D9"/>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93D"/>
    <w:rsid w:val="005B5FC2"/>
    <w:rsid w:val="005C1D42"/>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EB"/>
    <w:rsid w:val="00673096"/>
    <w:rsid w:val="006738F0"/>
    <w:rsid w:val="00674F4A"/>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5F18"/>
    <w:rsid w:val="006B6218"/>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6B4C"/>
    <w:rsid w:val="00700646"/>
    <w:rsid w:val="00700BF1"/>
    <w:rsid w:val="007012DF"/>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46904"/>
    <w:rsid w:val="00750D1B"/>
    <w:rsid w:val="007520C4"/>
    <w:rsid w:val="00752E0C"/>
    <w:rsid w:val="00753D3B"/>
    <w:rsid w:val="00753ECA"/>
    <w:rsid w:val="007547F5"/>
    <w:rsid w:val="00755F80"/>
    <w:rsid w:val="00760099"/>
    <w:rsid w:val="00764EAB"/>
    <w:rsid w:val="00766336"/>
    <w:rsid w:val="00766822"/>
    <w:rsid w:val="00767C6C"/>
    <w:rsid w:val="00772A54"/>
    <w:rsid w:val="00775061"/>
    <w:rsid w:val="0077748E"/>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26AE"/>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1550"/>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0E97"/>
    <w:rsid w:val="00A72005"/>
    <w:rsid w:val="00A73005"/>
    <w:rsid w:val="00A74C09"/>
    <w:rsid w:val="00A75B0D"/>
    <w:rsid w:val="00A76292"/>
    <w:rsid w:val="00A76DC6"/>
    <w:rsid w:val="00A803C5"/>
    <w:rsid w:val="00A80DB1"/>
    <w:rsid w:val="00A80EB7"/>
    <w:rsid w:val="00A842C0"/>
    <w:rsid w:val="00A93914"/>
    <w:rsid w:val="00A9514F"/>
    <w:rsid w:val="00A96FA1"/>
    <w:rsid w:val="00AA45F8"/>
    <w:rsid w:val="00AA76D7"/>
    <w:rsid w:val="00AB025E"/>
    <w:rsid w:val="00AB048F"/>
    <w:rsid w:val="00AB395B"/>
    <w:rsid w:val="00AB4ACE"/>
    <w:rsid w:val="00AB6104"/>
    <w:rsid w:val="00AB79D2"/>
    <w:rsid w:val="00AB7BD4"/>
    <w:rsid w:val="00AC112E"/>
    <w:rsid w:val="00AC1AC6"/>
    <w:rsid w:val="00AC1CA0"/>
    <w:rsid w:val="00AC494F"/>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0777"/>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67EBE"/>
    <w:rsid w:val="00B712B3"/>
    <w:rsid w:val="00B71F5A"/>
    <w:rsid w:val="00B74706"/>
    <w:rsid w:val="00B74969"/>
    <w:rsid w:val="00B74A19"/>
    <w:rsid w:val="00B75868"/>
    <w:rsid w:val="00B77E61"/>
    <w:rsid w:val="00B8049E"/>
    <w:rsid w:val="00B80711"/>
    <w:rsid w:val="00B80DD2"/>
    <w:rsid w:val="00B84C3C"/>
    <w:rsid w:val="00B868B3"/>
    <w:rsid w:val="00B95309"/>
    <w:rsid w:val="00B97B9C"/>
    <w:rsid w:val="00BA2CB8"/>
    <w:rsid w:val="00BA2EE9"/>
    <w:rsid w:val="00BA4CD9"/>
    <w:rsid w:val="00BA5EAE"/>
    <w:rsid w:val="00BA7D24"/>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708"/>
    <w:rsid w:val="00C14FE6"/>
    <w:rsid w:val="00C15AB0"/>
    <w:rsid w:val="00C16AE8"/>
    <w:rsid w:val="00C173AC"/>
    <w:rsid w:val="00C17C49"/>
    <w:rsid w:val="00C20104"/>
    <w:rsid w:val="00C20D01"/>
    <w:rsid w:val="00C2301E"/>
    <w:rsid w:val="00C23328"/>
    <w:rsid w:val="00C26A0D"/>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6259B"/>
    <w:rsid w:val="00C62E58"/>
    <w:rsid w:val="00C638FE"/>
    <w:rsid w:val="00C64186"/>
    <w:rsid w:val="00C65271"/>
    <w:rsid w:val="00C70A9E"/>
    <w:rsid w:val="00C71AEC"/>
    <w:rsid w:val="00C77C1E"/>
    <w:rsid w:val="00C81AC2"/>
    <w:rsid w:val="00C84AD9"/>
    <w:rsid w:val="00C8500E"/>
    <w:rsid w:val="00C85C5D"/>
    <w:rsid w:val="00C90FB7"/>
    <w:rsid w:val="00C92318"/>
    <w:rsid w:val="00C92D1B"/>
    <w:rsid w:val="00C9496D"/>
    <w:rsid w:val="00CA0627"/>
    <w:rsid w:val="00CA0A25"/>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D5B1C"/>
    <w:rsid w:val="00CE21D3"/>
    <w:rsid w:val="00CE394E"/>
    <w:rsid w:val="00CE420F"/>
    <w:rsid w:val="00CE4D84"/>
    <w:rsid w:val="00CE60C5"/>
    <w:rsid w:val="00CF0272"/>
    <w:rsid w:val="00CF1E94"/>
    <w:rsid w:val="00CF2858"/>
    <w:rsid w:val="00CF423E"/>
    <w:rsid w:val="00CF4417"/>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0EA0"/>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09D7"/>
    <w:rsid w:val="00DA2645"/>
    <w:rsid w:val="00DA537A"/>
    <w:rsid w:val="00DA53AF"/>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5DD9"/>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5012"/>
    <w:rsid w:val="00EE52CC"/>
    <w:rsid w:val="00EE6E3F"/>
    <w:rsid w:val="00EE7583"/>
    <w:rsid w:val="00EF11FD"/>
    <w:rsid w:val="00EF522C"/>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4F1C"/>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819"/>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1E065E"/>
    <w:pPr>
      <w:keepNext/>
      <w:keepLines/>
      <w:spacing w:after="360" w:line="5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1E065E"/>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3C005B"/>
    <w:pPr>
      <w:spacing w:after="120" w:line="360" w:lineRule="auto"/>
      <w:ind w:left="227" w:hanging="227"/>
    </w:pPr>
    <w:rPr>
      <w:sz w:val="20"/>
      <w:szCs w:val="20"/>
    </w:rPr>
  </w:style>
  <w:style w:type="character" w:customStyle="1" w:styleId="FootnoteTextChar">
    <w:name w:val="Footnote Text Char"/>
    <w:basedOn w:val="DefaultParagraphFont"/>
    <w:link w:val="FootnoteText"/>
    <w:uiPriority w:val="99"/>
    <w:semiHidden/>
    <w:rsid w:val="003C005B"/>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CaseStudyHeadingNETIStyles">
    <w:name w:val="_Case Study Heading (NETI_Styles)"/>
    <w:basedOn w:val="Normal"/>
    <w:uiPriority w:val="99"/>
    <w:rsid w:val="007D6A91"/>
    <w:pPr>
      <w:autoSpaceDE w:val="0"/>
      <w:autoSpaceDN w:val="0"/>
      <w:adjustRightInd w:val="0"/>
      <w:spacing w:after="397" w:line="380" w:lineRule="atLeast"/>
      <w:textAlignment w:val="center"/>
    </w:pPr>
    <w:rPr>
      <w:rFonts w:ascii="VIC" w:hAnsi="VIC" w:cs="VIC"/>
      <w:b/>
      <w:bCs/>
      <w:color w:val="1D1146"/>
      <w:spacing w:val="-2"/>
      <w:sz w:val="36"/>
      <w:szCs w:val="36"/>
      <w:lang w:val="en-GB"/>
    </w:rPr>
  </w:style>
  <w:style w:type="character" w:customStyle="1" w:styleId="HyperlinkNETIStyles">
    <w:name w:val="_Hyperlink (NETI_Styles)"/>
    <w:uiPriority w:val="99"/>
    <w:rsid w:val="007D6A91"/>
    <w:rPr>
      <w:rFonts w:ascii="VIC Medium" w:hAnsi="VIC Medium" w:cs="VIC Medium"/>
      <w:color w:val="1D1146"/>
      <w:u w:val="thick"/>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cvictoria.com.au/" TargetMode="External"/><Relationship Id="rId26" Type="http://schemas.openxmlformats.org/officeDocument/2006/relationships/hyperlink" Target="http://invest.vic.gov.au/" TargetMode="External"/><Relationship Id="rId3" Type="http://schemas.openxmlformats.org/officeDocument/2006/relationships/styles" Target="styles.xml"/><Relationship Id="rId21" Type="http://schemas.openxmlformats.org/officeDocument/2006/relationships/hyperlink" Target="mailto:BIE@deeca.vic.gov.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eakin.edu.au/3dec" TargetMode="External"/><Relationship Id="rId25" Type="http://schemas.openxmlformats.org/officeDocument/2006/relationships/hyperlink" Target="https://breakthroughvictoria.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inburne.edu.au/research/platforms-initiatives/siemens-swinburne-energy-transition-hub" TargetMode="External"/><Relationship Id="rId20" Type="http://schemas.openxmlformats.org/officeDocument/2006/relationships/hyperlink" Target="http://halsystems.com.au/" TargetMode="External"/><Relationship Id="rId29"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launchvic.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nd.vic.gov.au/maps-and-spatial/digital-twin-victoria/dtv-platform" TargetMode="External"/><Relationship Id="rId23" Type="http://schemas.openxmlformats.org/officeDocument/2006/relationships/hyperlink" Target="http://secvictoria.com.au/" TargetMode="External"/><Relationship Id="rId28" Type="http://schemas.openxmlformats.org/officeDocument/2006/relationships/hyperlink" Target="http://creativecommons.org/licenses/by/4.0/" TargetMode="External"/><Relationship Id="rId10" Type="http://schemas.openxmlformats.org/officeDocument/2006/relationships/hyperlink" Target="http://deeca.vic.gov.au/aboriginalselfdetermination/self-determination-reform-strategy" TargetMode="External"/><Relationship Id="rId19" Type="http://schemas.openxmlformats.org/officeDocument/2006/relationships/hyperlink" Target="http://amber.com.au/" TargetMode="External"/><Relationship Id="rId31" Type="http://schemas.openxmlformats.org/officeDocument/2006/relationships/hyperlink" Target="http://www.deeca.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ata.vic.gov.au/" TargetMode="External"/><Relationship Id="rId22" Type="http://schemas.openxmlformats.org/officeDocument/2006/relationships/hyperlink" Target="http://energy.vic.gov.au/industry/investment-opportunities" TargetMode="External"/><Relationship Id="rId27" Type="http://schemas.openxmlformats.org/officeDocument/2006/relationships/hyperlink" Target="http://global.vic.gov.au/meet-our-global-team/all-office-locations" TargetMode="External"/><Relationship Id="rId30" Type="http://schemas.openxmlformats.org/officeDocument/2006/relationships/hyperlink" Target="mailto:customer.service@delwp.vic.gov.au"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topuniversities.com/world-university-rankings" TargetMode="External"/><Relationship Id="rId3" Type="http://schemas.openxmlformats.org/officeDocument/2006/relationships/hyperlink" Target="http://launchvic.org/our-ecosystem" TargetMode="External"/><Relationship Id="rId7" Type="http://schemas.openxmlformats.org/officeDocument/2006/relationships/hyperlink" Target="http://topuniversities.com/world-university-rankings"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 Id="rId6" Type="http://schemas.openxmlformats.org/officeDocument/2006/relationships/hyperlink" Target="http://breakthroughvictoria.com/growth-sectors/digital-technologies" TargetMode="External"/><Relationship Id="rId5" Type="http://schemas.openxmlformats.org/officeDocument/2006/relationships/hyperlink" Target="http://aemc.gov.au/news-centre/media-releases/aemc-finalises-landmark-reform-accelerate-smart-meter-rollout" TargetMode="External"/><Relationship Id="rId4" Type="http://schemas.openxmlformats.org/officeDocument/2006/relationships/hyperlink" Target="http://techcouncil.com.au/wp-content/uploads/2022/03/2022-Tech-Jobs-Opportunity-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57</TotalTime>
  <Pages>19</Pages>
  <Words>2812</Words>
  <Characters>18088</Characters>
  <Application>Microsoft Office Word</Application>
  <DocSecurity>0</DocSecurity>
  <Lines>354</Lines>
  <Paragraphs>202</Paragraphs>
  <ScaleCrop>false</ScaleCrop>
  <HeadingPairs>
    <vt:vector size="2" baseType="variant">
      <vt:variant>
        <vt:lpstr>Title</vt:lpstr>
      </vt:variant>
      <vt:variant>
        <vt:i4>1</vt:i4>
      </vt:variant>
    </vt:vector>
  </HeadingPairs>
  <TitlesOfParts>
    <vt:vector size="1" baseType="lpstr">
      <vt:lpstr>Victoria's Investment Prospectus DIGITAL ENERGY AND INNOVATION</vt:lpstr>
    </vt:vector>
  </TitlesOfParts>
  <Manager>N/A</Manager>
  <Company>Department of Energy, Environment and Climate Action </Company>
  <LinksUpToDate>false</LinksUpToDate>
  <CharactersWithSpaces>20698</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DIGITAL ENERGY AND INNOVATION</dc:title>
  <dc:subject>Victoria's Investment Prospectus DIGITAL ENERGY AND INNOVATION</dc:subject>
  <dc:creator>Department of Energy, Environment and Climate Action </dc:creator>
  <cp:keywords/>
  <dc:description>© October 2025 The State of Victoria Department of Energy, Environment and Climate Action </dc:description>
  <cp:lastModifiedBy>John Allen</cp:lastModifiedBy>
  <cp:revision>8</cp:revision>
  <dcterms:created xsi:type="dcterms:W3CDTF">2025-10-21T03:14:00Z</dcterms:created>
  <dcterms:modified xsi:type="dcterms:W3CDTF">2025-10-21T04:49:00Z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