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75ED3" w:rsidRPr="00975ED3" w:rsidRDefault="00D91512" w:rsidP="003F46E9">
            <w:pPr>
              <w:pStyle w:val="Title"/>
            </w:pPr>
            <w:r w:rsidRPr="00D91512">
              <w:t>Victorian Energy Efficiency Target Scheme</w:t>
            </w:r>
          </w:p>
        </w:tc>
      </w:tr>
      <w:tr w:rsidR="00975ED3" w:rsidTr="003F46E9">
        <w:trPr>
          <w:trHeight w:val="1247"/>
        </w:trPr>
        <w:tc>
          <w:tcPr>
            <w:tcW w:w="7761" w:type="dxa"/>
            <w:vAlign w:val="center"/>
          </w:tcPr>
          <w:p w:rsidR="00975ED3" w:rsidRDefault="00D91512" w:rsidP="003A4C58">
            <w:pPr>
              <w:pStyle w:val="Subtitle"/>
            </w:pPr>
            <w:r w:rsidRPr="00D91512">
              <w:t xml:space="preserve">Response to Consultation – </w:t>
            </w:r>
            <w:r w:rsidR="003A4C58">
              <w:t>Activity of installing a high efficiency television</w:t>
            </w:r>
          </w:p>
        </w:tc>
      </w:tr>
    </w:tbl>
    <w:p w:rsidR="00806AB6" w:rsidRDefault="00806AB6" w:rsidP="00307C36"/>
    <w:p w:rsidR="00806AB6" w:rsidRDefault="00806AB6" w:rsidP="00806AB6">
      <w:pPr>
        <w:pStyle w:val="BodyText"/>
        <w:sectPr w:rsidR="00806AB6" w:rsidSect="00E97294">
          <w:headerReference w:type="even" r:id="rId9"/>
          <w:headerReference w:type="default" r:id="rId10"/>
          <w:footerReference w:type="even" r:id="rId11"/>
          <w:footerReference w:type="default" r:id="rId12"/>
          <w:headerReference w:type="first" r:id="rId13"/>
          <w:footerReference w:type="first" r:id="rId14"/>
          <w:pgSz w:w="11907" w:h="16840" w:code="9"/>
          <w:pgMar w:top="2211" w:right="737" w:bottom="794" w:left="851" w:header="284" w:footer="284" w:gutter="0"/>
          <w:cols w:space="284"/>
          <w:titlePg/>
          <w:docGrid w:linePitch="360"/>
        </w:sectPr>
      </w:pPr>
    </w:p>
    <w:p w:rsidR="001306D2" w:rsidRPr="00E927BC" w:rsidRDefault="003A4C58" w:rsidP="004808C3">
      <w:pPr>
        <w:pStyle w:val="IntroFeatureText"/>
        <w:spacing w:after="0" w:line="340" w:lineRule="exact"/>
        <w:rPr>
          <w:sz w:val="28"/>
          <w:szCs w:val="28"/>
        </w:rPr>
      </w:pPr>
      <w:r w:rsidRPr="00E927BC">
        <w:rPr>
          <w:sz w:val="28"/>
          <w:szCs w:val="28"/>
        </w:rPr>
        <w:lastRenderedPageBreak/>
        <w:t xml:space="preserve">In June 2016, the Department of Environment, Land, Water and Planning (the Department) invited stakeholder views on a proposed change to Schedule 24 of the VEET Regulations for the Victorian Energy Efficiency Target (VEET) scheme, the activity of installing a high efficiency television. </w:t>
      </w:r>
      <w:r w:rsidR="001306D2" w:rsidRPr="00E927BC">
        <w:rPr>
          <w:sz w:val="28"/>
          <w:szCs w:val="28"/>
        </w:rPr>
        <w:t xml:space="preserve">  </w:t>
      </w:r>
    </w:p>
    <w:p w:rsidR="003A4C58" w:rsidRPr="003A4C58" w:rsidRDefault="003A4C58" w:rsidP="003A4C58">
      <w:pPr>
        <w:pStyle w:val="BodyText"/>
      </w:pPr>
      <w:r w:rsidRPr="003A4C58">
        <w:t>The proposal comprised changes and additions to Schedule 24 of the VEET Regulat</w:t>
      </w:r>
      <w:r>
        <w:t>ions 2008 (the Regulations)</w:t>
      </w:r>
      <w:r w:rsidRPr="003A4C58">
        <w:t xml:space="preserve"> which define the activity.</w:t>
      </w:r>
    </w:p>
    <w:p w:rsidR="007631EC" w:rsidRDefault="003A4C58" w:rsidP="003A4C58">
      <w:pPr>
        <w:pStyle w:val="BodyText"/>
      </w:pPr>
      <w:r w:rsidRPr="003A4C58">
        <w:t xml:space="preserve">The consultation period, which covered a range of proposed scheme changes, ran from 15 June to 22 July 2016. </w:t>
      </w:r>
      <w:r w:rsidR="007631EC" w:rsidRPr="003A4C58">
        <w:t>The Department hosted a public consultation day on Wednesday 15 June 2016 at the Melbourne Convention and Exhibition Centre which was attended by around 250 people.</w:t>
      </w:r>
      <w:r w:rsidR="007631EC">
        <w:t xml:space="preserve"> </w:t>
      </w:r>
    </w:p>
    <w:p w:rsidR="00E927BC" w:rsidRPr="003A4C58" w:rsidRDefault="003A4C58" w:rsidP="003A4C58">
      <w:pPr>
        <w:pStyle w:val="BodyText"/>
      </w:pPr>
      <w:r w:rsidRPr="003A4C58">
        <w:t>As part of this</w:t>
      </w:r>
      <w:r w:rsidR="007631EC">
        <w:t xml:space="preserve"> consultation</w:t>
      </w:r>
      <w:r w:rsidRPr="003A4C58">
        <w:t xml:space="preserve">, the Department released a consultation paper, ‘Proposed Activity Regulation Changes’. </w:t>
      </w:r>
      <w:r w:rsidR="00E927BC">
        <w:t xml:space="preserve">This consultation paper also covered proposed changes to weather sealing activities and underfloor insulation. The amendments for these activities have been delayed. The Department will provide </w:t>
      </w:r>
      <w:r w:rsidR="00E04297">
        <w:t>a response to the issue</w:t>
      </w:r>
      <w:r w:rsidR="00F77292">
        <w:t>s</w:t>
      </w:r>
      <w:r w:rsidR="00E04297">
        <w:t xml:space="preserve"> </w:t>
      </w:r>
      <w:r w:rsidR="00F77292">
        <w:t xml:space="preserve">raised in consultation for those methods separately. </w:t>
      </w:r>
    </w:p>
    <w:p w:rsidR="003A4C58" w:rsidRDefault="003A4C58" w:rsidP="003A4C58">
      <w:pPr>
        <w:pStyle w:val="BodyText"/>
      </w:pPr>
      <w:r w:rsidRPr="003A4C58">
        <w:t xml:space="preserve">Four written submissions were received from peak bodies and energy efficiency service providers. The VEET policy team at the Department would like to thank those who made a submission. Submissions not marked as confidential have been posted on the Department’s website: </w:t>
      </w:r>
      <w:hyperlink r:id="rId15" w:history="1">
        <w:r w:rsidR="00E87626">
          <w:rPr>
            <w:rStyle w:val="Hyperlink"/>
          </w:rPr>
          <w:t>http://delwp.vic.gov.au/energy/legislation/energy-saver-incentive</w:t>
        </w:r>
      </w:hyperlink>
      <w:r>
        <w:t>.</w:t>
      </w:r>
    </w:p>
    <w:p w:rsidR="00D91512" w:rsidRDefault="003A4C58" w:rsidP="003A4C58">
      <w:pPr>
        <w:pStyle w:val="BodyText"/>
      </w:pPr>
      <w:r w:rsidRPr="003A4C58">
        <w:t>The purpose of this document is to share the results of the consultation, detail how this input has shaped the proposed activity amendment and provide appropriate additional explanation.</w:t>
      </w:r>
    </w:p>
    <w:p w:rsidR="00D91512" w:rsidRDefault="00D91512" w:rsidP="00D91512">
      <w:pPr>
        <w:pStyle w:val="Heading1"/>
      </w:pPr>
      <w:r>
        <w:lastRenderedPageBreak/>
        <w:t>Your views</w:t>
      </w:r>
    </w:p>
    <w:p w:rsidR="003A4C58" w:rsidRDefault="008C4890" w:rsidP="003A4C58">
      <w:pPr>
        <w:pStyle w:val="Heading2"/>
      </w:pPr>
      <w:r>
        <w:t>Baseline level</w:t>
      </w:r>
    </w:p>
    <w:p w:rsidR="001337D9" w:rsidRPr="001337D9" w:rsidRDefault="001337D9" w:rsidP="001337D9">
      <w:pPr>
        <w:pStyle w:val="BodyText"/>
      </w:pPr>
      <w:r>
        <w:t xml:space="preserve">One </w:t>
      </w:r>
      <w:r w:rsidR="00E927BC">
        <w:t>s</w:t>
      </w:r>
      <w:r w:rsidR="00E927BC" w:rsidRPr="001337D9">
        <w:t>takeholder</w:t>
      </w:r>
      <w:r w:rsidRPr="001337D9">
        <w:t xml:space="preserve"> suggested that using the </w:t>
      </w:r>
      <w:r w:rsidR="008C4890">
        <w:t>Minimum Energy Performance Standard (</w:t>
      </w:r>
      <w:r w:rsidRPr="001337D9">
        <w:t>MEPS</w:t>
      </w:r>
      <w:r w:rsidR="008C4890">
        <w:t>)</w:t>
      </w:r>
      <w:r w:rsidRPr="001337D9">
        <w:t xml:space="preserve"> energy consumption level as a baseline</w:t>
      </w:r>
      <w:r>
        <w:t xml:space="preserve"> for the abatement calculation for</w:t>
      </w:r>
      <w:r w:rsidRPr="001337D9">
        <w:t xml:space="preserve"> the activity is </w:t>
      </w:r>
      <w:r w:rsidR="00E927BC">
        <w:t>not appropriate</w:t>
      </w:r>
      <w:r w:rsidRPr="001337D9">
        <w:t xml:space="preserve">, and that an industry average should be used. </w:t>
      </w:r>
    </w:p>
    <w:p w:rsidR="005D4DD4" w:rsidRDefault="005D4DD4" w:rsidP="001337D9">
      <w:pPr>
        <w:pStyle w:val="BodyText"/>
      </w:pPr>
      <w:r>
        <w:t>An industry average is only applicable to activities which require replacement of existing old appliances with new efficient appliances.</w:t>
      </w:r>
      <w:r w:rsidR="00B83B45">
        <w:t xml:space="preserve"> Schedule 24 has no requirement to retire a functional inefficient appliance.</w:t>
      </w:r>
    </w:p>
    <w:p w:rsidR="00E927BC" w:rsidRDefault="00E927BC" w:rsidP="001337D9">
      <w:pPr>
        <w:pStyle w:val="BodyText"/>
      </w:pPr>
      <w:r>
        <w:t>The high efficiency television activity is incentivising purchase of a higher efficiency item than would otherwise be purchased.  Accordingly, the MEPS baseline, which rep</w:t>
      </w:r>
      <w:r w:rsidR="006411F0">
        <w:t>re</w:t>
      </w:r>
      <w:r>
        <w:t>sents the minimum efficiency of televisions available for sale, is appropriate.</w:t>
      </w:r>
    </w:p>
    <w:p w:rsidR="003A4C58" w:rsidRDefault="001A3353" w:rsidP="003A4C58">
      <w:pPr>
        <w:pStyle w:val="Heading2"/>
      </w:pPr>
      <w:r>
        <w:t>Definition of the consumer of electricity or gas</w:t>
      </w:r>
    </w:p>
    <w:p w:rsidR="003A4C58" w:rsidRDefault="003A4C58" w:rsidP="003A4C58">
      <w:pPr>
        <w:pStyle w:val="BodyText"/>
      </w:pPr>
      <w:r>
        <w:t>One submission request</w:t>
      </w:r>
      <w:r w:rsidR="001337D9">
        <w:t>ed that the Regulations</w:t>
      </w:r>
      <w:r w:rsidR="001A3353">
        <w:t xml:space="preserve"> allow the appliance retailer to be deemed the consumer of electricity or gas, which would allow the retailer to be the certificate creator</w:t>
      </w:r>
      <w:r w:rsidR="001337D9">
        <w:t>, thus reducing administrative complexity</w:t>
      </w:r>
      <w:r w:rsidR="001A3353">
        <w:t>. This is approach is permitted in</w:t>
      </w:r>
      <w:r>
        <w:t xml:space="preserve"> the N</w:t>
      </w:r>
      <w:r w:rsidR="001A3353">
        <w:t xml:space="preserve">ew </w:t>
      </w:r>
      <w:r>
        <w:t>S</w:t>
      </w:r>
      <w:r w:rsidR="001A3353">
        <w:t xml:space="preserve">outh </w:t>
      </w:r>
      <w:r>
        <w:t>W</w:t>
      </w:r>
      <w:r w:rsidR="001A3353">
        <w:t>ales Energy Savings Scheme</w:t>
      </w:r>
      <w:r>
        <w:t>.</w:t>
      </w:r>
    </w:p>
    <w:p w:rsidR="003A4C58" w:rsidRDefault="003A4C58" w:rsidP="003A4C58">
      <w:pPr>
        <w:pStyle w:val="BodyText"/>
      </w:pPr>
      <w:r w:rsidRPr="003A4C58">
        <w:t>The suggested change is beyond the scope of the current Regulatory amendment</w:t>
      </w:r>
      <w:r w:rsidR="00D8071D">
        <w:t>. It has been suggested in relation to other VEET activities as well, and will likely</w:t>
      </w:r>
      <w:r w:rsidR="001337D9">
        <w:t xml:space="preserve"> be considered in </w:t>
      </w:r>
      <w:r w:rsidR="00D8071D">
        <w:t xml:space="preserve">a </w:t>
      </w:r>
      <w:r w:rsidR="001337D9">
        <w:t>future</w:t>
      </w:r>
      <w:r w:rsidR="00D8071D">
        <w:t xml:space="preserve"> activity review</w:t>
      </w:r>
      <w:r w:rsidRPr="003A4C58">
        <w:t>.</w:t>
      </w:r>
    </w:p>
    <w:p w:rsidR="008D1847" w:rsidRDefault="008D1847" w:rsidP="006074BD">
      <w:pPr>
        <w:pStyle w:val="BodyText"/>
        <w:rPr>
          <w:rFonts w:cs="Arial"/>
          <w:b/>
          <w:bCs/>
          <w:iCs/>
          <w:color w:val="0072CE" w:themeColor="text2"/>
          <w:kern w:val="20"/>
          <w:sz w:val="22"/>
          <w:szCs w:val="28"/>
          <w:lang w:eastAsia="en-AU"/>
        </w:rPr>
      </w:pPr>
      <w:r w:rsidRPr="008D1847">
        <w:rPr>
          <w:rFonts w:cs="Arial"/>
          <w:b/>
          <w:bCs/>
          <w:iCs/>
          <w:color w:val="0072CE" w:themeColor="text2"/>
          <w:kern w:val="20"/>
          <w:sz w:val="22"/>
          <w:szCs w:val="28"/>
          <w:lang w:eastAsia="en-AU"/>
        </w:rPr>
        <w:t>Higher performance requirements may reduce installations</w:t>
      </w:r>
    </w:p>
    <w:p w:rsidR="006074BD" w:rsidRPr="008D1847" w:rsidRDefault="00C152FA" w:rsidP="006074BD">
      <w:pPr>
        <w:rPr>
          <w:rFonts w:cs="Times New Roman"/>
          <w:lang w:eastAsia="en-US"/>
        </w:rPr>
      </w:pPr>
      <w:r>
        <w:t>Two s</w:t>
      </w:r>
      <w:r w:rsidR="006074BD" w:rsidRPr="006074BD">
        <w:t xml:space="preserve">takeholders </w:t>
      </w:r>
      <w:r w:rsidR="008C4890">
        <w:t>noted</w:t>
      </w:r>
      <w:r w:rsidR="008C4890" w:rsidRPr="006074BD">
        <w:t xml:space="preserve"> </w:t>
      </w:r>
      <w:r w:rsidR="006074BD" w:rsidRPr="006074BD">
        <w:t xml:space="preserve">that </w:t>
      </w:r>
      <w:r w:rsidR="008D1847">
        <w:t>the proposed changes</w:t>
      </w:r>
      <w:r w:rsidR="006074BD" w:rsidRPr="006074BD">
        <w:t xml:space="preserve"> will reduce the number of eligible </w:t>
      </w:r>
      <w:r w:rsidR="008D1847">
        <w:t>televisions</w:t>
      </w:r>
      <w:r w:rsidR="006074BD" w:rsidRPr="006074BD">
        <w:t xml:space="preserve">, potentially reducing installations. </w:t>
      </w:r>
      <w:r w:rsidR="000250D4">
        <w:t>They asked that the proposed changes not be implemented.</w:t>
      </w:r>
    </w:p>
    <w:p w:rsidR="008D1847" w:rsidRPr="006074BD" w:rsidRDefault="008D1847" w:rsidP="006074BD"/>
    <w:p w:rsidR="004A4E00" w:rsidRDefault="006074BD" w:rsidP="006074BD">
      <w:pPr>
        <w:sectPr w:rsidR="004A4E00" w:rsidSect="006E1C8D">
          <w:type w:val="continuous"/>
          <w:pgSz w:w="11907" w:h="16840" w:code="9"/>
          <w:pgMar w:top="2211" w:right="851" w:bottom="794" w:left="851" w:header="284" w:footer="284" w:gutter="0"/>
          <w:cols w:num="2" w:space="284"/>
          <w:docGrid w:linePitch="360"/>
        </w:sectPr>
      </w:pPr>
      <w:r w:rsidRPr="006074BD">
        <w:t xml:space="preserve">The minimum specifications currently in the VEET regulations </w:t>
      </w:r>
      <w:r w:rsidR="008D1847">
        <w:t>were developed in 2010</w:t>
      </w:r>
      <w:r w:rsidRPr="006074BD">
        <w:t xml:space="preserve"> and there have been many changes in </w:t>
      </w:r>
      <w:r w:rsidR="00E927BC">
        <w:t xml:space="preserve">television technology </w:t>
      </w:r>
      <w:r w:rsidRPr="006074BD">
        <w:t xml:space="preserve">since then. This includes increases in MEPS levels for </w:t>
      </w:r>
      <w:r w:rsidR="008D1847">
        <w:t>televisions</w:t>
      </w:r>
      <w:r w:rsidRPr="006074BD">
        <w:t xml:space="preserve">, </w:t>
      </w:r>
      <w:r w:rsidRPr="006074BD">
        <w:lastRenderedPageBreak/>
        <w:t xml:space="preserve">and general improvements in the efficiency of </w:t>
      </w:r>
      <w:r w:rsidR="008D1847">
        <w:t>televisions available on the Australian market</w:t>
      </w:r>
      <w:r w:rsidRPr="006074BD">
        <w:t xml:space="preserve">. It is therefore timely to increase the minimum standards of products in the VEET scheme to ensure that the scheme </w:t>
      </w:r>
      <w:r w:rsidR="00B83B45">
        <w:t>only</w:t>
      </w:r>
      <w:r w:rsidRPr="006074BD">
        <w:t xml:space="preserve"> incentivise</w:t>
      </w:r>
      <w:r w:rsidR="00B83B45">
        <w:t>s</w:t>
      </w:r>
      <w:r w:rsidRPr="006074BD">
        <w:t xml:space="preserve"> the installation of high </w:t>
      </w:r>
      <w:r w:rsidRPr="006074BD">
        <w:lastRenderedPageBreak/>
        <w:t>efficiency equipment.</w:t>
      </w:r>
      <w:r w:rsidR="008C4890">
        <w:t xml:space="preserve"> </w:t>
      </w:r>
      <w:r w:rsidR="0064246D">
        <w:t xml:space="preserve">This will also ensure VEET incentives are only provided for activities which are beyond business-as-usual. </w:t>
      </w:r>
      <w:r w:rsidR="000250D4" w:rsidRPr="006074BD">
        <w:t xml:space="preserve">The minimum specifications </w:t>
      </w:r>
      <w:r w:rsidR="000250D4">
        <w:t>proposed</w:t>
      </w:r>
      <w:r w:rsidR="000250D4" w:rsidRPr="006074BD">
        <w:t xml:space="preserve"> are capable of being met by a </w:t>
      </w:r>
      <w:r w:rsidR="000250D4">
        <w:t>number of televisions</w:t>
      </w:r>
      <w:r w:rsidR="000250D4" w:rsidRPr="006074BD">
        <w:t xml:space="preserve"> currently available on the market.</w:t>
      </w:r>
    </w:p>
    <w:p w:rsidR="006074BD" w:rsidRPr="00B37393" w:rsidRDefault="006074BD" w:rsidP="006074BD"/>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01E86" w:rsidTr="009E3FD3">
        <w:trPr>
          <w:trHeight w:val="2608"/>
        </w:trPr>
        <w:tc>
          <w:tcPr>
            <w:tcW w:w="5216" w:type="dxa"/>
            <w:shd w:val="clear" w:color="auto" w:fill="auto"/>
          </w:tcPr>
          <w:p w:rsidR="00001E86" w:rsidRDefault="00001E86" w:rsidP="00C255C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E87626">
              <w:rPr>
                <w:noProof/>
              </w:rPr>
              <w:t>2017</w:t>
            </w:r>
            <w:r>
              <w:fldChar w:fldCharType="end"/>
            </w:r>
          </w:p>
          <w:p w:rsidR="00001E86" w:rsidRDefault="00001E86" w:rsidP="00C255C2">
            <w:pPr>
              <w:pStyle w:val="SmallBodyText"/>
            </w:pPr>
            <w:r>
              <w:rPr>
                <w:noProof/>
              </w:rPr>
              <w:drawing>
                <wp:anchor distT="0" distB="0" distL="114300" distR="36195" simplePos="0" relativeHeight="251656192" behindDoc="0" locked="1" layoutInCell="1" allowOverlap="1" wp14:anchorId="27B968F5" wp14:editId="0EFC3ABA">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6">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1" w:name="_ImprintPageOne"/>
            <w:bookmarkEnd w:id="1"/>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E97294" w:rsidRPr="008F559C" w:rsidRDefault="00E97294" w:rsidP="00C255C2">
            <w:pPr>
              <w:pStyle w:val="SmallHeading"/>
            </w:pPr>
            <w:r w:rsidRPr="00C255C2">
              <w:t>Disclaimer</w:t>
            </w:r>
          </w:p>
          <w:p w:rsidR="00001E86" w:rsidRDefault="00E97294" w:rsidP="00C255C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001E86" w:rsidRPr="00E97294" w:rsidRDefault="00001E86" w:rsidP="00C255C2">
            <w:pPr>
              <w:pStyle w:val="xAccessibilityHeading"/>
            </w:pPr>
            <w:bookmarkStart w:id="2" w:name="_Accessibility"/>
            <w:bookmarkEnd w:id="2"/>
            <w:r w:rsidRPr="00E97294">
              <w:t>Accessibility</w:t>
            </w:r>
          </w:p>
          <w:p w:rsidR="00001E86" w:rsidRDefault="00001E86" w:rsidP="00C255C2">
            <w:pPr>
              <w:pStyle w:val="xAccessibilityText"/>
            </w:pPr>
            <w:r>
              <w:t>If you would like to receive this publication in an alternative format, please telephone the DELWP Customer Service Centre on 136186, email </w:t>
            </w:r>
            <w:hyperlink r:id="rId17" w:history="1">
              <w:r w:rsidR="00EB52C0">
                <w:t>energysaver</w:t>
              </w:r>
              <w:r w:rsidRPr="003C5C56">
                <w:t>.</w:t>
              </w:r>
              <w:r w:rsidR="00EB52C0">
                <w:t>incentive</w:t>
              </w:r>
              <w:r w:rsidRPr="003C5C56">
                <w:t>@delwp.vic.gov.au</w:t>
              </w:r>
            </w:hyperlink>
            <w:r>
              <w:t xml:space="preserve">, or via the National Relay Service on 133 677 </w:t>
            </w:r>
            <w:hyperlink r:id="rId18" w:history="1">
              <w:r w:rsidRPr="00AE3298">
                <w:t>www.relayservice.com.au</w:t>
              </w:r>
            </w:hyperlink>
            <w:r>
              <w:t xml:space="preserve">. This document is also available on the internet at </w:t>
            </w:r>
            <w:hyperlink r:id="rId19" w:history="1">
              <w:r w:rsidRPr="00AE3298">
                <w:t>www.delwp.vic.gov.au</w:t>
              </w:r>
            </w:hyperlink>
            <w:r>
              <w:t xml:space="preserve">. </w:t>
            </w:r>
          </w:p>
          <w:p w:rsidR="00001E86" w:rsidRDefault="00001E86" w:rsidP="00C255C2">
            <w:pPr>
              <w:pStyle w:val="SmallBodyText"/>
            </w:pPr>
          </w:p>
        </w:tc>
      </w:tr>
    </w:tbl>
    <w:p w:rsidR="00001E86" w:rsidRPr="00806AB6" w:rsidRDefault="00001E86" w:rsidP="004C6213">
      <w:bookmarkStart w:id="3" w:name="_GoBack"/>
      <w:bookmarkEnd w:id="3"/>
    </w:p>
    <w:sectPr w:rsidR="00001E86" w:rsidRPr="00806AB6" w:rsidSect="006E1C8D">
      <w:type w:val="continuous"/>
      <w:pgSz w:w="11907" w:h="16840" w:code="9"/>
      <w:pgMar w:top="2211" w:right="851" w:bottom="794" w:left="851" w:header="284" w:footer="284"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512" w:rsidRDefault="00D91512">
      <w:r>
        <w:separator/>
      </w:r>
    </w:p>
    <w:p w:rsidR="00D91512" w:rsidRDefault="00D91512"/>
    <w:p w:rsidR="00D91512" w:rsidRDefault="00D91512"/>
  </w:endnote>
  <w:endnote w:type="continuationSeparator" w:id="0">
    <w:p w:rsidR="00D91512" w:rsidRDefault="00D91512">
      <w:r>
        <w:continuationSeparator/>
      </w:r>
    </w:p>
    <w:p w:rsidR="00D91512" w:rsidRDefault="00D91512"/>
    <w:p w:rsidR="00D91512" w:rsidRDefault="00D91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7A7DAC41" wp14:editId="42462AE8">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18E8DDE0" wp14:editId="38949AD0">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444B163D" wp14:editId="0FA0F735">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A209C4" w:rsidP="00213C82">
                          <w:pPr>
                            <w:pStyle w:val="xWeb"/>
                          </w:pPr>
                          <w:bookmarkStart w:id="0" w:name="Here"/>
                          <w:r w:rsidRPr="009F69FA">
                            <w:t>de</w:t>
                          </w:r>
                          <w:r>
                            <w:t>lwp</w:t>
                          </w:r>
                          <w:r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WebAddress" o:spid="_x0000_s1028"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rsidR="00A209C4" w:rsidRPr="009F69FA" w:rsidRDefault="00A209C4" w:rsidP="00213C82">
                    <w:pPr>
                      <w:pStyle w:val="xWeb"/>
                    </w:pPr>
                    <w:bookmarkStart w:id="1" w:name="Here"/>
                    <w:r w:rsidRPr="009F69FA">
                      <w:t>de</w:t>
                    </w:r>
                    <w:r>
                      <w:t>lwp</w:t>
                    </w:r>
                    <w:r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2D3865F3" wp14:editId="67ABEFDF">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512" w:rsidRPr="008F5280" w:rsidRDefault="00D91512" w:rsidP="008F5280">
      <w:pPr>
        <w:pStyle w:val="FootnoteSeparator"/>
      </w:pPr>
    </w:p>
    <w:p w:rsidR="00D91512" w:rsidRDefault="00D91512"/>
  </w:footnote>
  <w:footnote w:type="continuationSeparator" w:id="0">
    <w:p w:rsidR="00D91512" w:rsidRDefault="00D91512" w:rsidP="008F5280">
      <w:pPr>
        <w:pStyle w:val="FootnoteSeparator"/>
      </w:pPr>
    </w:p>
    <w:p w:rsidR="00D91512" w:rsidRDefault="00D91512"/>
    <w:p w:rsidR="00D91512" w:rsidRDefault="00D91512"/>
  </w:footnote>
  <w:footnote w:type="continuationNotice" w:id="1">
    <w:p w:rsidR="00D91512" w:rsidRDefault="00D91512" w:rsidP="00D55628"/>
    <w:p w:rsidR="00D91512" w:rsidRDefault="00D91512"/>
    <w:p w:rsidR="00D91512" w:rsidRDefault="00D915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rsidTr="00920652">
      <w:trPr>
        <w:trHeight w:hRule="exact" w:val="1418"/>
      </w:trPr>
      <w:tc>
        <w:tcPr>
          <w:tcW w:w="7761" w:type="dxa"/>
          <w:vAlign w:val="center"/>
        </w:tcPr>
        <w:p w:rsidR="00A209C4" w:rsidRPr="00975ED3" w:rsidRDefault="00DB0645" w:rsidP="00920652">
          <w:pPr>
            <w:pStyle w:val="Header"/>
          </w:pPr>
          <w:fldSimple w:instr=" STYLEREF  Title  \* MERGEFORMAT ">
            <w:r w:rsidR="009A2541">
              <w:rPr>
                <w:noProof/>
              </w:rPr>
              <w:t>Victorian Energy Efficiency Target Scheme</w:t>
            </w:r>
          </w:fldSimple>
        </w:p>
      </w:tc>
    </w:tr>
  </w:tbl>
  <w:p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499DC4E6" wp14:editId="44978B8A">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04D0FAC3" wp14:editId="6030C535">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0072ce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4A0A6F33" wp14:editId="0D58D56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A209C4" w:rsidRDefault="00A20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55C" w:rsidRDefault="00EE25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3803FF7F" wp14:editId="0C6D6E20">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5D2683EF" wp14:editId="29A05E83">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99c7eb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085696A5" wp14:editId="7CDDDD41">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0072ce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667DF1FC" wp14:editId="08B935A1">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1">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72CE"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D545EC4"/>
    <w:multiLevelType w:val="multilevel"/>
    <w:tmpl w:val="A39C1EC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2">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3">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4">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5">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6">
    <w:nsid w:val="68F55DA3"/>
    <w:multiLevelType w:val="hybridMultilevel"/>
    <w:tmpl w:val="73F4FB58"/>
    <w:lvl w:ilvl="0" w:tplc="A29CA7BC">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72CE"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9">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9"/>
  </w:num>
  <w:num w:numId="2">
    <w:abstractNumId w:val="17"/>
  </w:num>
  <w:num w:numId="3">
    <w:abstractNumId w:val="14"/>
  </w:num>
  <w:num w:numId="4">
    <w:abstractNumId w:val="19"/>
  </w:num>
  <w:num w:numId="5">
    <w:abstractNumId w:val="6"/>
  </w:num>
  <w:num w:numId="6">
    <w:abstractNumId w:val="3"/>
  </w:num>
  <w:num w:numId="7">
    <w:abstractNumId w:val="2"/>
  </w:num>
  <w:num w:numId="8">
    <w:abstractNumId w:val="1"/>
  </w:num>
  <w:num w:numId="9">
    <w:abstractNumId w:val="18"/>
  </w:num>
  <w:num w:numId="10">
    <w:abstractNumId w:val="4"/>
  </w:num>
  <w:num w:numId="11">
    <w:abstractNumId w:val="7"/>
  </w:num>
  <w:num w:numId="12">
    <w:abstractNumId w:val="5"/>
  </w:num>
  <w:num w:numId="13">
    <w:abstractNumId w:val="10"/>
  </w:num>
  <w:num w:numId="14">
    <w:abstractNumId w:val="11"/>
  </w:num>
  <w:num w:numId="15">
    <w:abstractNumId w:val="0"/>
  </w:num>
  <w:num w:numId="16">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SpellingErrors/>
  <w:activeWritingStyle w:appName="MSWord" w:lang="en-US" w:vendorID="64" w:dllVersion="131078" w:nlCheck="1" w:checkStyle="1"/>
  <w:activeWritingStyle w:appName="MSWord" w:lang="en-AU"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8676"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1"/>
  </w:docVars>
  <w:rsids>
    <w:rsidRoot w:val="00D91512"/>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0D4"/>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4C3"/>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7D9"/>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353"/>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CD3"/>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58B"/>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04"/>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C58"/>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2F0"/>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8C3"/>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4E00"/>
    <w:rsid w:val="004A5164"/>
    <w:rsid w:val="004A5391"/>
    <w:rsid w:val="004A5619"/>
    <w:rsid w:val="004A5897"/>
    <w:rsid w:val="004A593E"/>
    <w:rsid w:val="004A5D61"/>
    <w:rsid w:val="004A650C"/>
    <w:rsid w:val="004A69C8"/>
    <w:rsid w:val="004A6C97"/>
    <w:rsid w:val="004A701D"/>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4DD4"/>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4B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1F0"/>
    <w:rsid w:val="00641975"/>
    <w:rsid w:val="00641FE4"/>
    <w:rsid w:val="006421A8"/>
    <w:rsid w:val="00642290"/>
    <w:rsid w:val="006423EC"/>
    <w:rsid w:val="0064246D"/>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C7424"/>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31EC"/>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25"/>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890"/>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847"/>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07C"/>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713"/>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541"/>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CCA"/>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39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172"/>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45"/>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2FA"/>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3F0"/>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71D"/>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512"/>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351"/>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645"/>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297"/>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626"/>
    <w:rsid w:val="00E87B3F"/>
    <w:rsid w:val="00E904D3"/>
    <w:rsid w:val="00E90569"/>
    <w:rsid w:val="00E9072E"/>
    <w:rsid w:val="00E908B6"/>
    <w:rsid w:val="00E910FD"/>
    <w:rsid w:val="00E915BF"/>
    <w:rsid w:val="00E9176C"/>
    <w:rsid w:val="00E927B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2C0"/>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5C"/>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292"/>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172"/>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1C"/>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6" style="mso-position-horizontal-relative:page;mso-position-vertical-relative:page" stroke="f">
      <v:stroke on="f"/>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unhideWhenUsed="0"/>
    <w:lsdException w:name="header" w:uiPriority="99"/>
    <w:lsdException w:name="table of figures"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iPriority="99" w:unhideWhenUsed="0"/>
    <w:lsdException w:name="Default Paragraph Font" w:uiPriority="1"/>
    <w:lsdException w:name="Body Text" w:qFormat="1"/>
    <w:lsdException w:name="List Continue" w:uiPriority="1" w:qFormat="1"/>
    <w:lsdException w:name="List Continue 2" w:uiPriority="1" w:qFormat="1"/>
    <w:lsdException w:name="Subtitle" w:semiHidden="0" w:uiPriority="99"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72CE"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72CE"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72CE"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72CE"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72CE"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72CE" w:themeColor="text2"/>
        <w:bottom w:val="single" w:sz="8" w:space="0" w:color="0072CE" w:themeColor="text2"/>
        <w:insideH w:val="single" w:sz="8" w:space="0" w:color="0072CE"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72CE" w:themeFill="text2"/>
      </w:tcPr>
    </w:tblStylePr>
    <w:tblStylePr w:type="lastRow">
      <w:rPr>
        <w:b w:val="0"/>
      </w:rPr>
    </w:tblStylePr>
    <w:tblStylePr w:type="lastCol">
      <w:pPr>
        <w:jc w:val="left"/>
      </w:pPr>
    </w:tblStylePr>
    <w:tblStylePr w:type="band1Vert">
      <w:tblPr/>
      <w:tcPr>
        <w:shd w:val="clear" w:color="auto" w:fill="E5F1F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72CE"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72CE"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72CE"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72CE"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72CE"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72CE"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72CE"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72CE"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72CE"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72CE"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72CE"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1F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1F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72CE"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72CE" w:themeColor="text2"/>
        <w:left w:val="single" w:sz="4" w:space="0" w:color="0072CE" w:themeColor="text2"/>
        <w:bottom w:val="single" w:sz="4" w:space="0" w:color="0072CE" w:themeColor="text2"/>
        <w:right w:val="single" w:sz="4" w:space="0" w:color="0072CE"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72CE"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72CE"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72CE" w:themeFill="text2"/>
    </w:tcPr>
  </w:style>
  <w:style w:type="paragraph" w:customStyle="1" w:styleId="BodyText100ThemeColour">
    <w:name w:val="Body Text 100% Theme Colour"/>
    <w:basedOn w:val="BodyText"/>
    <w:qFormat/>
    <w:rsid w:val="00096B2D"/>
    <w:rPr>
      <w:color w:val="0072CE"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72CE" w:themeColor="text2"/>
      <w:kern w:val="32"/>
      <w:sz w:val="40"/>
      <w:szCs w:val="32"/>
    </w:rPr>
  </w:style>
  <w:style w:type="character" w:customStyle="1" w:styleId="Heading2Char">
    <w:name w:val="Heading 2 Char"/>
    <w:basedOn w:val="DefaultParagraphFont"/>
    <w:link w:val="Heading2"/>
    <w:rsid w:val="001306D2"/>
    <w:rPr>
      <w:b/>
      <w:bCs/>
      <w:iCs/>
      <w:color w:val="0072CE"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styleId="ListNumber4">
    <w:name w:val="List Number 4"/>
    <w:basedOn w:val="Normal"/>
    <w:semiHidden/>
    <w:rsid w:val="003A4C58"/>
    <w:pPr>
      <w:numPr>
        <w:numId w:val="15"/>
      </w:numPr>
      <w:spacing w:line="240" w:lineRule="auto"/>
    </w:pPr>
    <w:rPr>
      <w:rFonts w:ascii="Calibri" w:hAnsi="Calibri" w:cs="Times New Roman"/>
      <w:color w:val="auto"/>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unhideWhenUsed="0"/>
    <w:lsdException w:name="header" w:uiPriority="99"/>
    <w:lsdException w:name="table of figures"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iPriority="99" w:unhideWhenUsed="0"/>
    <w:lsdException w:name="Default Paragraph Font" w:uiPriority="1"/>
    <w:lsdException w:name="Body Text" w:qFormat="1"/>
    <w:lsdException w:name="List Continue" w:uiPriority="1" w:qFormat="1"/>
    <w:lsdException w:name="List Continue 2" w:uiPriority="1" w:qFormat="1"/>
    <w:lsdException w:name="Subtitle" w:semiHidden="0" w:uiPriority="99"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72CE"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72CE"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72CE"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72CE"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72CE"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72CE" w:themeColor="text2"/>
        <w:bottom w:val="single" w:sz="8" w:space="0" w:color="0072CE" w:themeColor="text2"/>
        <w:insideH w:val="single" w:sz="8" w:space="0" w:color="0072CE"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72CE" w:themeFill="text2"/>
      </w:tcPr>
    </w:tblStylePr>
    <w:tblStylePr w:type="lastRow">
      <w:rPr>
        <w:b w:val="0"/>
      </w:rPr>
    </w:tblStylePr>
    <w:tblStylePr w:type="lastCol">
      <w:pPr>
        <w:jc w:val="left"/>
      </w:pPr>
    </w:tblStylePr>
    <w:tblStylePr w:type="band1Vert">
      <w:tblPr/>
      <w:tcPr>
        <w:shd w:val="clear" w:color="auto" w:fill="E5F1F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72CE"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72CE"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72CE"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72CE"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72CE"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72CE"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72CE"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72CE"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72CE"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72CE"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72CE"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1F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1F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72CE"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72CE" w:themeColor="text2"/>
        <w:left w:val="single" w:sz="4" w:space="0" w:color="0072CE" w:themeColor="text2"/>
        <w:bottom w:val="single" w:sz="4" w:space="0" w:color="0072CE" w:themeColor="text2"/>
        <w:right w:val="single" w:sz="4" w:space="0" w:color="0072CE"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72CE"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72CE"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72CE" w:themeFill="text2"/>
    </w:tcPr>
  </w:style>
  <w:style w:type="paragraph" w:customStyle="1" w:styleId="BodyText100ThemeColour">
    <w:name w:val="Body Text 100% Theme Colour"/>
    <w:basedOn w:val="BodyText"/>
    <w:qFormat/>
    <w:rsid w:val="00096B2D"/>
    <w:rPr>
      <w:color w:val="0072CE"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72CE" w:themeColor="text2"/>
      <w:kern w:val="32"/>
      <w:sz w:val="40"/>
      <w:szCs w:val="32"/>
    </w:rPr>
  </w:style>
  <w:style w:type="character" w:customStyle="1" w:styleId="Heading2Char">
    <w:name w:val="Heading 2 Char"/>
    <w:basedOn w:val="DefaultParagraphFont"/>
    <w:link w:val="Heading2"/>
    <w:rsid w:val="001306D2"/>
    <w:rPr>
      <w:b/>
      <w:bCs/>
      <w:iCs/>
      <w:color w:val="0072CE"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styleId="ListNumber4">
    <w:name w:val="List Number 4"/>
    <w:basedOn w:val="Normal"/>
    <w:semiHidden/>
    <w:rsid w:val="003A4C58"/>
    <w:pPr>
      <w:numPr>
        <w:numId w:val="15"/>
      </w:numPr>
      <w:spacing w:line="240" w:lineRule="auto"/>
    </w:pPr>
    <w:rPr>
      <w:rFonts w:ascii="Calibri" w:hAnsi="Calibri" w:cs="Times New Roman"/>
      <w:color w:val="aut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relayservice.com.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customer.service@delwp.vic.gov.au"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delwp.vic.gov.au/energy/legislation/energy-saver-incentive" TargetMode="External"/><Relationship Id="rId10" Type="http://schemas.openxmlformats.org/officeDocument/2006/relationships/header" Target="header2.xml"/><Relationship Id="rId19" Type="http://schemas.openxmlformats.org/officeDocument/2006/relationships/hyperlink" Target="http://www.delwp.vic.gov.a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asHeK\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72CE"/>
      </a:dk2>
      <a:lt2>
        <a:srgbClr val="E5F1FA"/>
      </a:lt2>
      <a:accent1>
        <a:srgbClr val="00B2A9"/>
      </a:accent1>
      <a:accent2>
        <a:srgbClr val="0072CE"/>
      </a:accent2>
      <a:accent3>
        <a:srgbClr val="201547"/>
      </a:accent3>
      <a:accent4>
        <a:srgbClr val="99E0DD"/>
      </a:accent4>
      <a:accent5>
        <a:srgbClr val="99C7EB"/>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A20A9-1890-40EC-9690-22B492B7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0</TotalTime>
  <Pages>2</Pages>
  <Words>768</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Victorian Government</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Kathryn Lucas-Healey</dc:creator>
  <cp:lastModifiedBy>Andrew Rothberg (DELWP)</cp:lastModifiedBy>
  <cp:revision>2</cp:revision>
  <cp:lastPrinted>2016-10-12T03:04:00Z</cp:lastPrinted>
  <dcterms:created xsi:type="dcterms:W3CDTF">2017-04-19T04:20:00Z</dcterms:created>
  <dcterms:modified xsi:type="dcterms:W3CDTF">2017-04-19T04:20:00Z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