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639A8" w14:textId="6463A64E" w:rsidR="00CA2AD9" w:rsidRPr="00D101EC" w:rsidRDefault="00D101EC" w:rsidP="00100399">
      <w:pPr>
        <w:pStyle w:val="Title"/>
        <w:spacing w:after="480"/>
      </w:pPr>
      <w:r w:rsidRPr="00D101EC">
        <w:t>Energy Efficiency for Rental Properties in Victoria</w:t>
      </w:r>
    </w:p>
    <w:p w14:paraId="00F8DCD4" w14:textId="5F0828ED" w:rsidR="00100399" w:rsidRDefault="00100399" w:rsidP="00100399">
      <w:pPr>
        <w:pStyle w:val="BasicParagraph"/>
      </w:pPr>
      <w:bookmarkStart w:id="0" w:name="_Toc184285036"/>
      <w:r>
        <w:rPr>
          <w:noProof/>
        </w:rPr>
        <w:drawing>
          <wp:inline distT="0" distB="0" distL="0" distR="0" wp14:anchorId="5717064E" wp14:editId="43538B44">
            <wp:extent cx="6120130" cy="2516177"/>
            <wp:effectExtent l="0" t="0" r="1270" b="0"/>
            <wp:docPr id="646854782"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54782" name="Picture 3">
                      <a:extLst>
                        <a:ext uri="{C183D7F6-B498-43B3-948B-1728B52AA6E4}">
                          <adec:decorative xmlns:adec="http://schemas.microsoft.com/office/drawing/2017/decorative" val="1"/>
                        </a:ext>
                      </a:extLst>
                    </pic:cNvPr>
                    <pic:cNvPicPr/>
                  </pic:nvPicPr>
                  <pic:blipFill rotWithShape="1">
                    <a:blip r:embed="rId8"/>
                    <a:srcRect b="16842"/>
                    <a:stretch/>
                  </pic:blipFill>
                  <pic:spPr bwMode="auto">
                    <a:xfrm>
                      <a:off x="0" y="0"/>
                      <a:ext cx="6120130" cy="2516177"/>
                    </a:xfrm>
                    <a:prstGeom prst="rect">
                      <a:avLst/>
                    </a:prstGeom>
                    <a:ln>
                      <a:noFill/>
                    </a:ln>
                    <a:extLst>
                      <a:ext uri="{53640926-AAD7-44D8-BBD7-CCE9431645EC}">
                        <a14:shadowObscured xmlns:a14="http://schemas.microsoft.com/office/drawing/2010/main"/>
                      </a:ext>
                    </a:extLst>
                  </pic:spPr>
                </pic:pic>
              </a:graphicData>
            </a:graphic>
          </wp:inline>
        </w:drawing>
      </w:r>
    </w:p>
    <w:p w14:paraId="4DD81C41" w14:textId="77777777" w:rsidR="00100399" w:rsidRPr="00100399" w:rsidRDefault="00100399" w:rsidP="00100399">
      <w:pPr>
        <w:rPr>
          <w:lang w:val="en-GB"/>
        </w:rPr>
      </w:pPr>
    </w:p>
    <w:p w14:paraId="2C37C4D9" w14:textId="14404738" w:rsidR="00D101EC" w:rsidRPr="00D101EC" w:rsidRDefault="00D101EC" w:rsidP="00D101EC">
      <w:pPr>
        <w:pStyle w:val="Heading1"/>
      </w:pPr>
      <w:r w:rsidRPr="00D101EC">
        <w:t>Investments in energy efficiency and electrification increases dwelling values</w:t>
      </w:r>
    </w:p>
    <w:p w14:paraId="728778F8" w14:textId="77777777" w:rsidR="00D101EC" w:rsidRPr="00D101EC" w:rsidRDefault="00D101EC" w:rsidP="00D101EC">
      <w:pPr>
        <w:pStyle w:val="ListBullet"/>
      </w:pPr>
      <w:r w:rsidRPr="00D101EC">
        <w:t>Global evidence shows energy efficiency upgrades raise property values and premiums when leased.</w:t>
      </w:r>
    </w:p>
    <w:p w14:paraId="5238AE84" w14:textId="718856ED" w:rsidR="00D101EC" w:rsidRPr="00D101EC" w:rsidRDefault="00D101EC" w:rsidP="00D101EC">
      <w:pPr>
        <w:pStyle w:val="ListBullet"/>
      </w:pPr>
      <w:r w:rsidRPr="00D101EC">
        <w:t>A 2011–2016 University of Melbourne study of Australian Capital Territory (ACT) property transactions found 5 and 6-star energy homes had sale premiums of 2 and 2.4%, compared to 3-star properties. This translates to a $15,000 to $18,000 premium for homes in the Melbourne market.</w:t>
      </w:r>
    </w:p>
    <w:p w14:paraId="638BD17F" w14:textId="77777777" w:rsidR="00D101EC" w:rsidRPr="00D101EC" w:rsidRDefault="00D101EC" w:rsidP="00D101EC">
      <w:pPr>
        <w:pStyle w:val="ListBullet"/>
      </w:pPr>
      <w:r w:rsidRPr="00D101EC">
        <w:t>Further efficiency upgrades led to even higher prices, with 7-star properties attracting sale premiums of up to 9.4%.</w:t>
      </w:r>
    </w:p>
    <w:p w14:paraId="05F0E349" w14:textId="015D7DC4" w:rsidR="00D101EC" w:rsidRPr="00D101EC" w:rsidRDefault="00D101EC" w:rsidP="00D101EC">
      <w:pPr>
        <w:pStyle w:val="ListBullet"/>
      </w:pPr>
      <w:r w:rsidRPr="00D101EC">
        <w:t>Rental properties with 5 and 6-star energy ratings leased at a 3.5 and 3.6% premium, compared to 3-star properties.</w:t>
      </w:r>
    </w:p>
    <w:p w14:paraId="054C1B73" w14:textId="5372CDDC" w:rsidR="00D101EC" w:rsidRPr="00D101EC" w:rsidRDefault="00000000" w:rsidP="00D101EC">
      <w:pPr>
        <w:pStyle w:val="ListBullet"/>
      </w:pPr>
      <w:hyperlink r:id="rId9" w:tooltip="Hyperlink to Domain Sustainability in Property Report 2022" w:history="1">
        <w:r w:rsidR="00D101EC" w:rsidRPr="00D101EC">
          <w:rPr>
            <w:rStyle w:val="Hyperlink"/>
          </w:rPr>
          <w:t>Domain Sustainability in Property Report 2022</w:t>
        </w:r>
      </w:hyperlink>
      <w:r w:rsidR="00D101EC" w:rsidRPr="00D101EC">
        <w:t xml:space="preserve"> found that in the ACT, a higher energy-efficiency rating (EER) relates to a higher price per square metre for houses. The report observed a consistent increase in price with higher EER across the ACT.</w:t>
      </w:r>
    </w:p>
    <w:p w14:paraId="53C5B988" w14:textId="77777777" w:rsidR="00D101EC" w:rsidRPr="00D101EC" w:rsidRDefault="00D101EC" w:rsidP="00D101EC">
      <w:pPr>
        <w:pStyle w:val="ListBullet"/>
        <w:rPr>
          <w:b/>
          <w:bCs/>
          <w:lang w:val="en-US"/>
        </w:rPr>
      </w:pPr>
      <w:r w:rsidRPr="00D101EC">
        <w:t>More than half of Domain advertisements in 2022 included keywords related to energy efficiency.</w:t>
      </w:r>
    </w:p>
    <w:p w14:paraId="636B7D6E" w14:textId="77777777" w:rsidR="00D101EC" w:rsidRPr="00D101EC" w:rsidRDefault="00D101EC" w:rsidP="00D101EC">
      <w:pPr>
        <w:pStyle w:val="Heading1"/>
      </w:pPr>
      <w:r w:rsidRPr="00D101EC">
        <w:t>The Victorian Government will improve minimum energy efficiency standards for rental properties in 2025</w:t>
      </w:r>
    </w:p>
    <w:p w14:paraId="2DB7DBCC" w14:textId="3E340F6E" w:rsidR="00D101EC" w:rsidRPr="00D101EC" w:rsidRDefault="00D101EC" w:rsidP="00D101EC">
      <w:pPr>
        <w:pStyle w:val="BodyText"/>
      </w:pPr>
      <w:r w:rsidRPr="00D101EC">
        <w:t xml:space="preserve">Rental homes in Victoria must have a fixed heater in the main living area with at least a </w:t>
      </w:r>
      <w:r w:rsidR="00100399">
        <w:br/>
      </w:r>
      <w:r w:rsidRPr="00D101EC">
        <w:t>2-star energy rating.</w:t>
      </w:r>
    </w:p>
    <w:p w14:paraId="0177FE19" w14:textId="6D23D02F" w:rsidR="00D101EC" w:rsidRPr="00D101EC" w:rsidRDefault="00D101EC" w:rsidP="00D101EC">
      <w:pPr>
        <w:pStyle w:val="BodyText"/>
      </w:pPr>
      <w:r w:rsidRPr="00D101EC">
        <w:t xml:space="preserve">The December 2023 Gas Substitution Roadmap Update committed to new energy efficiency standards for rental homes. </w:t>
      </w:r>
      <w:hyperlink r:id="rId10" w:tooltip="Hyperlink to the Minimum Standards for Rental Properties and Rooming Houses report" w:history="1">
        <w:r w:rsidRPr="00162918">
          <w:rPr>
            <w:rStyle w:val="Hyperlink"/>
          </w:rPr>
          <w:t>A Regulatory Impact Statement and draft Regulations</w:t>
        </w:r>
      </w:hyperlink>
      <w:r w:rsidRPr="00D101EC">
        <w:t xml:space="preserve"> were released for public comment in June 2024. The Government is currently considering feedback.</w:t>
      </w:r>
    </w:p>
    <w:p w14:paraId="34EF1FEB" w14:textId="77777777" w:rsidR="00D101EC" w:rsidRDefault="00D101EC" w:rsidP="00D101EC">
      <w:pPr>
        <w:pStyle w:val="BodyText"/>
        <w:rPr>
          <w:lang w:val="en-AU"/>
        </w:rPr>
      </w:pPr>
      <w:r w:rsidRPr="00D101EC">
        <w:rPr>
          <w:lang w:val="en-AU"/>
        </w:rPr>
        <w:t>Proposed new standards include ceiling insulation, draught sealing, hot water, cooling and a revised heating standard, as well as a heating standard for rooming houses.</w:t>
      </w:r>
    </w:p>
    <w:p w14:paraId="120784A7" w14:textId="4FDBC343" w:rsidR="00D101EC" w:rsidRPr="00D101EC" w:rsidRDefault="00D101EC" w:rsidP="00100399">
      <w:pPr>
        <w:pStyle w:val="BodyText"/>
        <w:spacing w:line="360" w:lineRule="auto"/>
        <w:ind w:right="-143"/>
        <w:rPr>
          <w:u w:val="thick"/>
        </w:rPr>
      </w:pPr>
      <w:r w:rsidRPr="00100399">
        <w:rPr>
          <w:b/>
          <w:bCs/>
        </w:rPr>
        <w:t>For more information about Victoria's rental standards see</w:t>
      </w:r>
      <w:r w:rsidRPr="00D101EC">
        <w:t xml:space="preserve"> </w:t>
      </w:r>
      <w:hyperlink r:id="rId11" w:tooltip="Hyperlink to Consumer Affairs Victoria website" w:history="1">
        <w:r w:rsidR="002C12F7">
          <w:rPr>
            <w:rStyle w:val="Hyperlink"/>
          </w:rPr>
          <w:t>https://www.consumer.vic.gov.au/</w:t>
        </w:r>
      </w:hyperlink>
    </w:p>
    <w:p w14:paraId="0A012D0F" w14:textId="007E95A1" w:rsidR="00D101EC" w:rsidRDefault="00D101EC" w:rsidP="00100399">
      <w:pPr>
        <w:pStyle w:val="BodyText"/>
        <w:spacing w:line="360" w:lineRule="auto"/>
        <w:ind w:right="-143"/>
        <w:rPr>
          <w:u w:val="thick"/>
        </w:rPr>
      </w:pPr>
      <w:r w:rsidRPr="00100399">
        <w:rPr>
          <w:b/>
          <w:bCs/>
        </w:rPr>
        <w:t>Check</w:t>
      </w:r>
      <w:r w:rsidRPr="00D101EC">
        <w:t xml:space="preserve"> </w:t>
      </w:r>
      <w:hyperlink r:id="rId12" w:tooltip="Hyperlink to the Energy Rating Calculator website" w:history="1">
        <w:r w:rsidRPr="002C12F7">
          <w:rPr>
            <w:rStyle w:val="Hyperlink"/>
          </w:rPr>
          <w:t>https://calculator.energyrating.gov.au/</w:t>
        </w:r>
      </w:hyperlink>
      <w:r w:rsidRPr="002C12F7">
        <w:t xml:space="preserve"> </w:t>
      </w:r>
      <w:r w:rsidRPr="00100399">
        <w:rPr>
          <w:b/>
          <w:bCs/>
        </w:rPr>
        <w:t>to see if your heater meets the 2-star standard</w:t>
      </w:r>
    </w:p>
    <w:p w14:paraId="2F1CFB0C" w14:textId="77777777" w:rsidR="00D101EC" w:rsidRPr="00D101EC" w:rsidRDefault="00D101EC" w:rsidP="00D101EC">
      <w:pPr>
        <w:pStyle w:val="Heading1"/>
      </w:pPr>
      <w:r w:rsidRPr="00D101EC">
        <w:t>The Victorian Government supports rental providers to invest in energy efficiency and electrification</w:t>
      </w:r>
    </w:p>
    <w:p w14:paraId="05D7D979" w14:textId="4BB5588E" w:rsidR="00D101EC" w:rsidRPr="00D101EC" w:rsidRDefault="00D101EC" w:rsidP="00D101EC">
      <w:pPr>
        <w:pStyle w:val="BodyText"/>
      </w:pPr>
      <w:r w:rsidRPr="00D101EC">
        <w:t xml:space="preserve">Discounts are available for energy efficiency upgrades through the </w:t>
      </w:r>
      <w:hyperlink r:id="rId13" w:tooltip="Hyperlink to the Energy Victoria website" w:history="1">
        <w:r w:rsidRPr="002C12F7">
          <w:rPr>
            <w:rStyle w:val="Hyperlink"/>
          </w:rPr>
          <w:t>Victorian Energy Upgrades (VEU) program</w:t>
        </w:r>
      </w:hyperlink>
      <w:r w:rsidRPr="00D101EC">
        <w:t xml:space="preserve">, including replacing a gas heater with a reverse cycle air </w:t>
      </w:r>
      <w:r w:rsidRPr="00D101EC">
        <w:lastRenderedPageBreak/>
        <w:t>conditioner or switching a gas hot water heater with a heat pump. VEU offers home energy rating assessments for targeted recommendations on improving energy efficiency.</w:t>
      </w:r>
    </w:p>
    <w:p w14:paraId="44BEAFD4" w14:textId="7F061FFF" w:rsidR="00D101EC" w:rsidRPr="00D101EC" w:rsidRDefault="00000000" w:rsidP="00D101EC">
      <w:pPr>
        <w:pStyle w:val="BodyText"/>
      </w:pPr>
      <w:hyperlink r:id="rId14" w:tooltip="Hyperlink to Solar Victoria website" w:history="1">
        <w:r w:rsidR="00D101EC" w:rsidRPr="002C12F7">
          <w:rPr>
            <w:rStyle w:val="Hyperlink"/>
          </w:rPr>
          <w:t>Solar for Rentals</w:t>
        </w:r>
      </w:hyperlink>
      <w:r w:rsidR="00D101EC" w:rsidRPr="00D101EC">
        <w:t xml:space="preserve"> offers eligible landlords a rebate of up to $1,400 for the installation of solar panels (PV), slashing the upfront costs of solar while raising the value and appeal of their property.</w:t>
      </w:r>
    </w:p>
    <w:p w14:paraId="626C2CAF" w14:textId="77777777" w:rsidR="00D101EC" w:rsidRPr="00D101EC" w:rsidRDefault="00D101EC" w:rsidP="00D101EC">
      <w:pPr>
        <w:pStyle w:val="BodyText"/>
      </w:pPr>
      <w:r w:rsidRPr="00D101EC">
        <w:t>Eligible rental providers can apply for an interest-free loan of up to $1,400 to further reduce the upfront cost of the solar panel system.</w:t>
      </w:r>
    </w:p>
    <w:p w14:paraId="4202F75F" w14:textId="2141783C" w:rsidR="00D101EC" w:rsidRDefault="00000000" w:rsidP="00100399">
      <w:pPr>
        <w:pStyle w:val="BodyText"/>
        <w:spacing w:after="0"/>
        <w:rPr>
          <w:lang w:val="en-AU"/>
        </w:rPr>
      </w:pPr>
      <w:hyperlink r:id="rId15" w:tooltip="Hyperlink to the Victorian Energy Compare website" w:history="1">
        <w:r w:rsidR="00D101EC" w:rsidRPr="002C12F7">
          <w:rPr>
            <w:rStyle w:val="Hyperlink"/>
            <w:lang w:val="en-AU"/>
          </w:rPr>
          <w:t>Victorian Energy Compare</w:t>
        </w:r>
      </w:hyperlink>
      <w:r w:rsidR="00D101EC" w:rsidRPr="00D101EC">
        <w:rPr>
          <w:lang w:val="en-AU"/>
        </w:rPr>
        <w:t xml:space="preserve"> helps customers find the lowest price energy offer.</w:t>
      </w:r>
    </w:p>
    <w:p w14:paraId="179C44A3" w14:textId="394442C4" w:rsidR="00162918" w:rsidRDefault="00162918" w:rsidP="00162918">
      <w:pPr>
        <w:pStyle w:val="Caption"/>
        <w:keepNext/>
      </w:pPr>
      <w:r>
        <w:t xml:space="preserve">Figure </w:t>
      </w:r>
      <w:fldSimple w:instr=" SEQ Figure \* ARABIC ">
        <w:r>
          <w:rPr>
            <w:noProof/>
          </w:rPr>
          <w:t>1</w:t>
        </w:r>
      </w:fldSimple>
      <w:r>
        <w:t>: An all-electric home</w:t>
      </w:r>
    </w:p>
    <w:p w14:paraId="5339382D" w14:textId="36EA9FEA" w:rsidR="00162918" w:rsidRDefault="00162918" w:rsidP="00100399">
      <w:pPr>
        <w:pStyle w:val="BodyText"/>
        <w:spacing w:after="0"/>
        <w:jc w:val="center"/>
        <w:rPr>
          <w:lang w:val="en-AU"/>
        </w:rPr>
      </w:pPr>
      <w:r>
        <w:rPr>
          <w:noProof/>
          <w:lang w:val="en-AU"/>
        </w:rPr>
        <w:drawing>
          <wp:inline distT="0" distB="0" distL="0" distR="0" wp14:anchorId="62059F62" wp14:editId="658B2E09">
            <wp:extent cx="4633983" cy="2660072"/>
            <wp:effectExtent l="0" t="0" r="1905" b="0"/>
            <wp:docPr id="575727824" name="Picture 1" descr="Illustration of an all-electric home setup. Solar panels connect to an induction cooktop, multi-split heating/cooling system, and a heat pump water heater. Illustrations depict a person using the cooktop and another adjusting the heating/cooling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27824" name="Picture 1" descr="Illustration of an all-electric home setup. Solar panels connect to an induction cooktop, multi-split heating/cooling system, and a heat pump water heater. Illustrations depict a person using the cooktop and another adjusting the heating/cooling unit."/>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4738979" cy="2720343"/>
                    </a:xfrm>
                    <a:prstGeom prst="rect">
                      <a:avLst/>
                    </a:prstGeom>
                    <a:ln>
                      <a:noFill/>
                    </a:ln>
                    <a:extLst>
                      <a:ext uri="{53640926-AAD7-44D8-BBD7-CCE9431645EC}">
                        <a14:shadowObscured xmlns:a14="http://schemas.microsoft.com/office/drawing/2010/main"/>
                      </a:ext>
                    </a:extLst>
                  </pic:spPr>
                </pic:pic>
              </a:graphicData>
            </a:graphic>
          </wp:inline>
        </w:drawing>
      </w:r>
    </w:p>
    <w:p w14:paraId="6C92C814" w14:textId="77777777" w:rsidR="00D101EC" w:rsidRPr="00D101EC" w:rsidRDefault="00D101EC" w:rsidP="00100399">
      <w:pPr>
        <w:pStyle w:val="Heading1"/>
        <w:spacing w:before="120" w:after="240"/>
      </w:pPr>
      <w:r w:rsidRPr="00D101EC">
        <w:t>New energy efficiency standards are not expected to impact rental supply</w:t>
      </w:r>
    </w:p>
    <w:p w14:paraId="5612A4D8" w14:textId="77777777" w:rsidR="00D101EC" w:rsidRPr="00D101EC" w:rsidRDefault="00D101EC" w:rsidP="00100399">
      <w:pPr>
        <w:pStyle w:val="ListBullet"/>
        <w:ind w:right="-143"/>
      </w:pPr>
      <w:r w:rsidRPr="00D101EC">
        <w:t>Australian Housing and Urban Research Institute research suggests that changes to increased minimum standards do not significantly influence landlords leaving the market.</w:t>
      </w:r>
    </w:p>
    <w:p w14:paraId="1AEBD321" w14:textId="330DCB1F" w:rsidR="00D101EC" w:rsidRDefault="00D101EC" w:rsidP="00D101EC">
      <w:pPr>
        <w:pStyle w:val="ListBullet"/>
        <w:rPr>
          <w:lang w:val="en-AU"/>
        </w:rPr>
      </w:pPr>
      <w:r w:rsidRPr="00D101EC">
        <w:rPr>
          <w:lang w:val="en-AU"/>
        </w:rPr>
        <w:t xml:space="preserve">In 2022, </w:t>
      </w:r>
      <w:hyperlink r:id="rId17" w:tooltip="Hyperlink to the realestate.com.au website" w:history="1">
        <w:r w:rsidRPr="002C12F7">
          <w:rPr>
            <w:rStyle w:val="Hyperlink"/>
            <w:lang w:val="en-AU"/>
          </w:rPr>
          <w:t xml:space="preserve">Analysis by REA Group’s </w:t>
        </w:r>
        <w:proofErr w:type="spellStart"/>
        <w:r w:rsidRPr="002C12F7">
          <w:rPr>
            <w:rStyle w:val="Hyperlink"/>
            <w:lang w:val="en-AU"/>
          </w:rPr>
          <w:t>PropTrack</w:t>
        </w:r>
        <w:proofErr w:type="spellEnd"/>
      </w:hyperlink>
      <w:r w:rsidRPr="00D101EC">
        <w:rPr>
          <w:lang w:val="en-AU"/>
        </w:rPr>
        <w:t xml:space="preserve"> found new standards have not led to an increase in rents and sales by landlords, according to data released one year later.</w:t>
      </w:r>
    </w:p>
    <w:p w14:paraId="0E2661F2" w14:textId="5DFFAF26" w:rsidR="00880EAE" w:rsidRPr="00CA4414" w:rsidRDefault="00000000" w:rsidP="00100399">
      <w:pPr>
        <w:pStyle w:val="BodyText"/>
        <w:spacing w:before="240"/>
        <w:rPr>
          <w:b/>
          <w:bCs/>
        </w:rPr>
      </w:pPr>
      <w:hyperlink r:id="rId18" w:tooltip="Hyperlink to the Energy Victoria website" w:history="1">
        <w:r w:rsidR="00E22996" w:rsidRPr="00E22996">
          <w:rPr>
            <w:rStyle w:val="Hyperlink"/>
            <w:b/>
            <w:bCs/>
          </w:rPr>
          <w:t>energy.vic.gov.au</w:t>
        </w:r>
      </w:hyperlink>
      <w:r w:rsidR="00880EAE">
        <w:br w:type="page"/>
      </w:r>
    </w:p>
    <w:p w14:paraId="07E360EA" w14:textId="5C10DE20" w:rsidR="00222FF2" w:rsidRPr="00CA175F" w:rsidRDefault="00222FF2" w:rsidP="00880EAE">
      <w:pPr>
        <w:pStyle w:val="Heading1"/>
        <w:spacing w:after="240"/>
        <w:rPr>
          <w:sz w:val="48"/>
        </w:rPr>
      </w:pPr>
      <w:r w:rsidRPr="00AD02AB">
        <w:lastRenderedPageBreak/>
        <w:t>Publication information</w:t>
      </w:r>
      <w:bookmarkEnd w:id="0"/>
    </w:p>
    <w:p w14:paraId="390996EC" w14:textId="3A726EAD" w:rsidR="00222FF2" w:rsidRPr="00880EAE" w:rsidRDefault="00222FF2" w:rsidP="00880EAE">
      <w:pPr>
        <w:pStyle w:val="Heading2"/>
        <w:spacing w:after="120" w:line="276" w:lineRule="auto"/>
        <w:rPr>
          <w:sz w:val="28"/>
          <w:szCs w:val="28"/>
        </w:rPr>
      </w:pPr>
      <w:r w:rsidRPr="00880EAE">
        <w:rPr>
          <w:sz w:val="28"/>
          <w:szCs w:val="28"/>
        </w:rPr>
        <w:t>Acknowledgement</w:t>
      </w:r>
      <w:r w:rsidR="00CA175F" w:rsidRPr="00880EAE">
        <w:rPr>
          <w:sz w:val="28"/>
          <w:szCs w:val="28"/>
        </w:rPr>
        <w:t xml:space="preserve"> of </w:t>
      </w:r>
      <w:r w:rsidR="00CA175F" w:rsidRPr="00880EAE">
        <w:rPr>
          <w:sz w:val="28"/>
          <w:szCs w:val="28"/>
          <w:lang w:val="en-AU"/>
        </w:rPr>
        <w:t>Traditional Owners</w:t>
      </w:r>
    </w:p>
    <w:p w14:paraId="3FEFB221" w14:textId="0469C522" w:rsidR="00222FF2" w:rsidRPr="00CA175F" w:rsidRDefault="00CA175F" w:rsidP="00880EAE">
      <w:pPr>
        <w:pStyle w:val="BodyText"/>
        <w:spacing w:after="120"/>
      </w:pPr>
      <w:r w:rsidRPr="00CA175F">
        <w:t>We acknowledge Victorian Traditional Owners and their Elders past and present as the original custodians of Victoria’s land and waters and commit to genuinely partnering with</w:t>
      </w:r>
      <w:r w:rsidR="00CA4414">
        <w:t xml:space="preserve"> </w:t>
      </w:r>
      <w:r w:rsidRPr="00CA175F">
        <w:t>them and Victoria’s Aboriginal community to progress their aspirations</w:t>
      </w:r>
      <w:r w:rsidR="00222FF2" w:rsidRPr="006D3BAD">
        <w:t>.</w:t>
      </w:r>
    </w:p>
    <w:p w14:paraId="69916005" w14:textId="77777777" w:rsidR="00222FF2" w:rsidRPr="00880EAE" w:rsidRDefault="00222FF2" w:rsidP="00880EAE">
      <w:pPr>
        <w:pStyle w:val="Heading2"/>
        <w:spacing w:after="120" w:line="276" w:lineRule="auto"/>
        <w:rPr>
          <w:sz w:val="28"/>
          <w:szCs w:val="28"/>
        </w:rPr>
      </w:pPr>
      <w:r w:rsidRPr="00880EAE">
        <w:rPr>
          <w:sz w:val="28"/>
          <w:szCs w:val="28"/>
        </w:rPr>
        <w:t>Copyright</w:t>
      </w:r>
    </w:p>
    <w:p w14:paraId="091D9D53" w14:textId="2CB84F57" w:rsidR="00222FF2" w:rsidRDefault="00222FF2" w:rsidP="00880EAE">
      <w:pPr>
        <w:pStyle w:val="BodyText"/>
        <w:spacing w:after="120"/>
        <w:ind w:right="-285"/>
      </w:pPr>
      <w:r w:rsidRPr="00F666C5">
        <w:rPr>
          <w:lang w:val="en-US"/>
        </w:rPr>
        <w:t xml:space="preserve">© The State of Victoria Department of Energy, Environment and Climate Action, </w:t>
      </w:r>
      <w:r w:rsidR="00AE62D4" w:rsidRPr="00AE62D4">
        <w:rPr>
          <w:lang w:val="en-US"/>
        </w:rPr>
        <w:t>2024. Updated December 2024</w:t>
      </w:r>
      <w:r w:rsidRPr="006D3BAD">
        <w:t>.</w:t>
      </w:r>
    </w:p>
    <w:p w14:paraId="31F99C3B" w14:textId="77777777" w:rsidR="002F5198" w:rsidRPr="00D7712C" w:rsidRDefault="002F5198" w:rsidP="002F5198">
      <w:pPr>
        <w:pStyle w:val="BodyText"/>
        <w:spacing w:after="120"/>
        <w:ind w:right="-285"/>
        <w:rPr>
          <w:lang w:val="en-US"/>
        </w:rPr>
      </w:pPr>
      <w:r w:rsidRPr="00D7712C">
        <w:rPr>
          <w:lang w:val="en-US"/>
        </w:rPr>
        <w:t>I</w:t>
      </w:r>
      <w:r w:rsidRPr="00C25790">
        <w:rPr>
          <w:b/>
          <w:bCs/>
          <w:lang w:val="en-US"/>
        </w:rPr>
        <w:t>SBN</w:t>
      </w:r>
      <w:r w:rsidRPr="00D7712C">
        <w:rPr>
          <w:lang w:val="en-US"/>
        </w:rPr>
        <w:t xml:space="preserve"> 978-1-76136-669-7 </w:t>
      </w:r>
      <w:r w:rsidRPr="00C25790">
        <w:rPr>
          <w:b/>
          <w:bCs/>
          <w:lang w:val="en-US"/>
        </w:rPr>
        <w:t>(Print)</w:t>
      </w:r>
    </w:p>
    <w:p w14:paraId="4FEB449F" w14:textId="09B8F7EF" w:rsidR="002F5198" w:rsidRPr="00D7712C" w:rsidRDefault="002F5198" w:rsidP="002F5198">
      <w:pPr>
        <w:pStyle w:val="BodyText"/>
        <w:spacing w:after="120"/>
        <w:ind w:right="-285"/>
        <w:rPr>
          <w:lang w:val="en-US"/>
        </w:rPr>
      </w:pPr>
      <w:r w:rsidRPr="00C25790">
        <w:rPr>
          <w:b/>
          <w:bCs/>
          <w:lang w:val="en-US"/>
        </w:rPr>
        <w:t>ISBN</w:t>
      </w:r>
      <w:r w:rsidRPr="00D7712C">
        <w:rPr>
          <w:lang w:val="en-US"/>
        </w:rPr>
        <w:t xml:space="preserve"> </w:t>
      </w:r>
      <w:r w:rsidRPr="00C25790">
        <w:rPr>
          <w:rFonts w:ascii="Arial" w:hAnsi="Arial" w:cs="Arial"/>
          <w:color w:val="000000"/>
          <w:shd w:val="clear" w:color="auto" w:fill="FFFFFF"/>
        </w:rPr>
        <w:t>978-1-76176-036-5</w:t>
      </w:r>
      <w:r w:rsidRPr="00D7712C">
        <w:rPr>
          <w:lang w:val="en-US"/>
        </w:rPr>
        <w:t xml:space="preserve"> </w:t>
      </w:r>
      <w:r w:rsidRPr="00C25790">
        <w:rPr>
          <w:b/>
          <w:bCs/>
          <w:lang w:val="en-US"/>
        </w:rPr>
        <w:t>(pdf/online/MS word)</w:t>
      </w:r>
      <w:r w:rsidRPr="00D7712C">
        <w:rPr>
          <w:lang w:val="en-US"/>
        </w:rPr>
        <w:t xml:space="preserve"> </w:t>
      </w:r>
    </w:p>
    <w:p w14:paraId="50293625" w14:textId="77777777" w:rsidR="00222FF2" w:rsidRPr="00880EAE" w:rsidRDefault="00222FF2" w:rsidP="00880EAE">
      <w:pPr>
        <w:pStyle w:val="Heading2"/>
        <w:spacing w:after="120" w:line="276" w:lineRule="auto"/>
        <w:rPr>
          <w:sz w:val="28"/>
          <w:szCs w:val="28"/>
        </w:rPr>
      </w:pPr>
      <w:r w:rsidRPr="00880EAE">
        <w:rPr>
          <w:sz w:val="28"/>
          <w:szCs w:val="28"/>
        </w:rPr>
        <w:t>Creative Commons</w:t>
      </w:r>
    </w:p>
    <w:p w14:paraId="580EFDBC" w14:textId="1C284F5D"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19" w:tooltip="Hyperlink to Creative Commons website" w:history="1">
        <w:r w:rsidRPr="00F666C5">
          <w:rPr>
            <w:rStyle w:val="Hyperlink"/>
            <w:lang w:val="en-US"/>
          </w:rPr>
          <w:t>Creative</w:t>
        </w:r>
        <w:r w:rsidR="00CA4414">
          <w:rPr>
            <w:rStyle w:val="Hyperlink"/>
            <w:lang w:val="en-US"/>
          </w:rPr>
          <w:t xml:space="preserve"> </w:t>
        </w:r>
        <w:r w:rsidRPr="00F666C5">
          <w:rPr>
            <w:rStyle w:val="Hyperlink"/>
            <w:lang w:val="en-US"/>
          </w:rPr>
          <w:t>Commons website</w:t>
        </w:r>
      </w:hyperlink>
      <w:r w:rsidRPr="00F666C5">
        <w:rPr>
          <w:lang w:val="en-US"/>
        </w:rPr>
        <w:t xml:space="preserve"> (</w:t>
      </w:r>
      <w:hyperlink r:id="rId20" w:tooltip="Hyperlink to Creative Commons website" w:history="1">
        <w:r w:rsidRPr="00F666C5">
          <w:rPr>
            <w:rStyle w:val="Hyperlink"/>
            <w:lang w:val="en-US"/>
          </w:rPr>
          <w:t>http://creativecommons.org/licenses/by/4.0/</w:t>
        </w:r>
      </w:hyperlink>
      <w:r w:rsidRPr="00F666C5">
        <w:rPr>
          <w:lang w:val="en-US"/>
        </w:rPr>
        <w:t>).</w:t>
      </w:r>
    </w:p>
    <w:p w14:paraId="5228FC66" w14:textId="39E5F7DF" w:rsidR="00222FF2" w:rsidRPr="00F666C5" w:rsidRDefault="00222FF2" w:rsidP="00880EAE">
      <w:pPr>
        <w:pStyle w:val="BodyText"/>
        <w:spacing w:after="120"/>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The </w:t>
      </w:r>
      <w:proofErr w:type="spellStart"/>
      <w:r w:rsidRPr="00F666C5">
        <w:rPr>
          <w:lang w:val="en-US"/>
        </w:rPr>
        <w:t>licence</w:t>
      </w:r>
      <w:proofErr w:type="spellEnd"/>
      <w:r w:rsidRPr="00F666C5">
        <w:rPr>
          <w:lang w:val="en-US"/>
        </w:rPr>
        <w:t xml:space="preserve"> does not apply to any images, photographs or branding, including the</w:t>
      </w:r>
      <w:r w:rsidR="00CA4414">
        <w:rPr>
          <w:lang w:val="en-US"/>
        </w:rPr>
        <w:t xml:space="preserve"> </w:t>
      </w:r>
      <w:r w:rsidRPr="00F666C5">
        <w:rPr>
          <w:lang w:val="en-US"/>
        </w:rPr>
        <w:t>Victorian Coat of Arms, and the Victorian Government and Department logos.</w:t>
      </w:r>
    </w:p>
    <w:p w14:paraId="7169B32C" w14:textId="77777777" w:rsidR="00222FF2" w:rsidRPr="00880EAE" w:rsidRDefault="00222FF2" w:rsidP="00880EAE">
      <w:pPr>
        <w:pStyle w:val="Heading2"/>
        <w:spacing w:after="120" w:line="276" w:lineRule="auto"/>
        <w:rPr>
          <w:sz w:val="28"/>
          <w:szCs w:val="28"/>
        </w:rPr>
      </w:pPr>
      <w:r w:rsidRPr="00880EAE">
        <w:rPr>
          <w:sz w:val="28"/>
          <w:szCs w:val="28"/>
        </w:rPr>
        <w:t>Disclaimer</w:t>
      </w:r>
    </w:p>
    <w:p w14:paraId="7F0B8795" w14:textId="77777777" w:rsidR="00222FF2" w:rsidRPr="005A5FCD" w:rsidRDefault="00222FF2" w:rsidP="00880EAE">
      <w:pPr>
        <w:pStyle w:val="BodyText"/>
        <w:spacing w:after="120"/>
      </w:pPr>
      <w:r w:rsidRPr="005A5FCD">
        <w:t xml:space="preserve">This publication may be of assistance to </w:t>
      </w:r>
      <w:proofErr w:type="gramStart"/>
      <w:r w:rsidRPr="005A5FCD">
        <w:t>you</w:t>
      </w:r>
      <w:proofErr w:type="gramEnd"/>
      <w:r w:rsidRPr="005A5FCD">
        <w:t xml:space="preserve"> but the State of Victoria and its employees do not</w:t>
      </w:r>
      <w:r>
        <w:t xml:space="preserve"> </w:t>
      </w:r>
      <w:r w:rsidRPr="005A5FCD">
        <w:t>guarantee that the publication is without flaw of any kind or is wholly appropriate for your particular purposes and therefore disclaims all liability for any error, loss or other consequence which</w:t>
      </w:r>
      <w:r>
        <w:t xml:space="preserve"> </w:t>
      </w:r>
      <w:r w:rsidRPr="005A5FCD">
        <w:t>may arise from you relying on any information in this publication</w:t>
      </w:r>
      <w:r>
        <w:t>.</w:t>
      </w:r>
    </w:p>
    <w:p w14:paraId="785D4ED8" w14:textId="77777777" w:rsidR="00222FF2" w:rsidRPr="00880EAE" w:rsidRDefault="00222FF2" w:rsidP="00880EAE">
      <w:pPr>
        <w:pStyle w:val="Heading2"/>
        <w:spacing w:after="120" w:line="276" w:lineRule="auto"/>
        <w:rPr>
          <w:sz w:val="28"/>
          <w:szCs w:val="28"/>
        </w:rPr>
      </w:pPr>
      <w:r w:rsidRPr="00880EAE">
        <w:rPr>
          <w:sz w:val="28"/>
          <w:szCs w:val="28"/>
        </w:rPr>
        <w:lastRenderedPageBreak/>
        <w:t>Accessibility</w:t>
      </w:r>
    </w:p>
    <w:p w14:paraId="2EA6AE14" w14:textId="77777777" w:rsidR="00222FF2" w:rsidRPr="00CB4B87" w:rsidRDefault="00222FF2" w:rsidP="00880EAE">
      <w:pPr>
        <w:pStyle w:val="BodyText"/>
        <w:spacing w:after="120"/>
      </w:pPr>
      <w:r>
        <w:t xml:space="preserve">To receive this document in an alternative format, phone the Customer Service Centre on 136 186, email </w:t>
      </w:r>
      <w:hyperlink r:id="rId21" w:tooltip="Send an email to customer service" w:history="1">
        <w:r w:rsidRPr="0078282A">
          <w:rPr>
            <w:rStyle w:val="Hyperlink"/>
          </w:rPr>
          <w:t>customer.service@delwp.vic.gov.au</w:t>
        </w:r>
      </w:hyperlink>
      <w:r>
        <w:t>, or contact National Relay Service on 133 677. Available at DEECA website (</w:t>
      </w:r>
      <w:hyperlink r:id="rId22" w:tooltip="Hyperlink to the DEECA website" w:history="1">
        <w:r w:rsidRPr="0078282A">
          <w:rPr>
            <w:rStyle w:val="Hyperlink"/>
          </w:rPr>
          <w:t>www.deeca.vic.gov.au</w:t>
        </w:r>
      </w:hyperlink>
      <w:r>
        <w:t>).</w:t>
      </w:r>
    </w:p>
    <w:p w14:paraId="4B71079D" w14:textId="77777777" w:rsidR="00F767CD" w:rsidRPr="00F767CD" w:rsidRDefault="00222FF2" w:rsidP="00880EAE">
      <w:pPr>
        <w:pStyle w:val="BodyText"/>
        <w:spacing w:before="120"/>
        <w:rPr>
          <w:b/>
          <w:bCs/>
        </w:rPr>
      </w:pPr>
      <w:r w:rsidRPr="00F767CD">
        <w:rPr>
          <w:b/>
          <w:bCs/>
        </w:rPr>
        <w:t>End of document.</w:t>
      </w:r>
    </w:p>
    <w:sectPr w:rsidR="00F767CD" w:rsidRPr="00F767CD" w:rsidSect="00880EAE">
      <w:footerReference w:type="even" r:id="rId23"/>
      <w:footerReference w:type="default" r:id="rId24"/>
      <w:pgSz w:w="11906" w:h="16838"/>
      <w:pgMar w:top="907" w:right="1134" w:bottom="1134" w:left="1134" w:header="720" w:footer="22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9AAB" w14:textId="77777777" w:rsidR="00DB3003" w:rsidRDefault="00DB3003" w:rsidP="00F2730B">
      <w:pPr>
        <w:spacing w:after="0" w:line="240" w:lineRule="auto"/>
      </w:pPr>
      <w:r>
        <w:separator/>
      </w:r>
    </w:p>
  </w:endnote>
  <w:endnote w:type="continuationSeparator" w:id="0">
    <w:p w14:paraId="4048FBD2" w14:textId="77777777" w:rsidR="00DB3003" w:rsidRDefault="00DB3003"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00"/>
    <w:family w:val="auto"/>
    <w:notTrueType/>
    <w:pitch w:val="default"/>
    <w:sig w:usb0="00000003" w:usb1="00000000" w:usb2="00000000" w:usb3="00000000" w:csb0="00000001" w:csb1="00000000"/>
  </w:font>
  <w:font w:name="VIC (OTF) Light Italic">
    <w:altName w:val="VIC"/>
    <w:panose1 w:val="020B0604020202020204"/>
    <w:charset w:val="4D"/>
    <w:family w:val="auto"/>
    <w:notTrueType/>
    <w:pitch w:val="variable"/>
    <w:sig w:usb0="00000007" w:usb1="00000000" w:usb2="00000000" w:usb3="00000000" w:csb0="00000093" w:csb1="00000000"/>
  </w:font>
  <w:font w:name="VIC (OTF) SemiBold">
    <w:altName w:val="VIC"/>
    <w:panose1 w:val="020B0604020202020204"/>
    <w:charset w:val="4D"/>
    <w:family w:val="auto"/>
    <w:notTrueType/>
    <w:pitch w:val="variable"/>
    <w:sig w:usb0="00000007" w:usb1="00000000" w:usb2="00000000" w:usb3="00000000" w:csb0="00000093" w:csb1="00000000"/>
  </w:font>
  <w:font w:name="Times New Roman (Body CS)">
    <w:altName w:val="Times New Roman"/>
    <w:panose1 w:val="020B0604020202020204"/>
    <w:charset w:val="00"/>
    <w:family w:val="roman"/>
    <w:notTrueType/>
    <w:pitch w:val="default"/>
  </w:font>
  <w:font w:name="Arial (Headings)">
    <w:altName w:val="Arial"/>
    <w:panose1 w:val="020B0604020202020204"/>
    <w:charset w:val="00"/>
    <w:family w:val="roman"/>
    <w:pitch w:val="default"/>
  </w:font>
  <w:font w:name="Minion Pro">
    <w:altName w:val="Cambria"/>
    <w:panose1 w:val="0204070306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3597967"/>
      <w:docPartObj>
        <w:docPartGallery w:val="Page Numbers (Bottom of Page)"/>
        <w:docPartUnique/>
      </w:docPartObj>
    </w:sdtPr>
    <w:sdtContent>
      <w:p w14:paraId="2AEA107D" w14:textId="105072F5" w:rsidR="00880EAE" w:rsidRDefault="00880EAE" w:rsidP="001844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50B8A" w14:textId="77777777" w:rsidR="00880EAE" w:rsidRDefault="00880EAE" w:rsidP="00880E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0"/>
        <w:szCs w:val="20"/>
      </w:rPr>
      <w:id w:val="1868484055"/>
      <w:docPartObj>
        <w:docPartGallery w:val="Page Numbers (Bottom of Page)"/>
        <w:docPartUnique/>
      </w:docPartObj>
    </w:sdtPr>
    <w:sdtContent>
      <w:p w14:paraId="43CE201D" w14:textId="7830242C" w:rsidR="00880EAE" w:rsidRPr="00880EAE" w:rsidRDefault="00880EAE" w:rsidP="001844F4">
        <w:pPr>
          <w:pStyle w:val="Footer"/>
          <w:framePr w:wrap="none" w:vAnchor="text" w:hAnchor="margin" w:xAlign="right" w:y="1"/>
          <w:rPr>
            <w:rStyle w:val="PageNumber"/>
            <w:sz w:val="20"/>
            <w:szCs w:val="20"/>
          </w:rPr>
        </w:pPr>
        <w:r w:rsidRPr="00880EAE">
          <w:rPr>
            <w:rStyle w:val="PageNumber"/>
            <w:sz w:val="20"/>
            <w:szCs w:val="20"/>
          </w:rPr>
          <w:fldChar w:fldCharType="begin"/>
        </w:r>
        <w:r w:rsidRPr="00880EAE">
          <w:rPr>
            <w:rStyle w:val="PageNumber"/>
            <w:sz w:val="20"/>
            <w:szCs w:val="20"/>
          </w:rPr>
          <w:instrText xml:space="preserve"> PAGE </w:instrText>
        </w:r>
        <w:r w:rsidRPr="00880EAE">
          <w:rPr>
            <w:rStyle w:val="PageNumber"/>
            <w:sz w:val="20"/>
            <w:szCs w:val="20"/>
          </w:rPr>
          <w:fldChar w:fldCharType="separate"/>
        </w:r>
        <w:r w:rsidRPr="00880EAE">
          <w:rPr>
            <w:rStyle w:val="PageNumber"/>
            <w:noProof/>
            <w:sz w:val="20"/>
            <w:szCs w:val="20"/>
          </w:rPr>
          <w:t>1</w:t>
        </w:r>
        <w:r w:rsidRPr="00880EAE">
          <w:rPr>
            <w:rStyle w:val="PageNumber"/>
            <w:sz w:val="20"/>
            <w:szCs w:val="20"/>
          </w:rPr>
          <w:fldChar w:fldCharType="end"/>
        </w:r>
      </w:p>
    </w:sdtContent>
  </w:sdt>
  <w:p w14:paraId="2C47D643" w14:textId="69BC386B" w:rsidR="00880EAE" w:rsidRPr="00880EAE" w:rsidRDefault="006362F1" w:rsidP="00880EAE">
    <w:pPr>
      <w:pStyle w:val="Footer"/>
      <w:ind w:right="360"/>
      <w:rPr>
        <w:sz w:val="20"/>
        <w:szCs w:val="20"/>
        <w:lang w:val="en-GB"/>
      </w:rPr>
    </w:pPr>
    <w:r w:rsidRPr="006362F1">
      <w:rPr>
        <w:sz w:val="20"/>
        <w:szCs w:val="20"/>
      </w:rPr>
      <w:t>Energy Efficiency for Rental Properties in Victoria</w:t>
    </w:r>
  </w:p>
  <w:p w14:paraId="7840FAD7" w14:textId="77777777" w:rsidR="00B165A7" w:rsidRPr="00880EAE" w:rsidRDefault="00B165A7" w:rsidP="00B165A7">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BE883" w14:textId="77777777" w:rsidR="00DB3003" w:rsidRDefault="00DB3003" w:rsidP="00F2730B">
      <w:pPr>
        <w:spacing w:after="0" w:line="240" w:lineRule="auto"/>
      </w:pPr>
      <w:r>
        <w:separator/>
      </w:r>
    </w:p>
  </w:footnote>
  <w:footnote w:type="continuationSeparator" w:id="0">
    <w:p w14:paraId="63772493" w14:textId="77777777" w:rsidR="00DB3003" w:rsidRDefault="00DB3003" w:rsidP="00F27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A55995"/>
    <w:multiLevelType w:val="hybridMultilevel"/>
    <w:tmpl w:val="1F16EC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7F46DE"/>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5B07F5"/>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9D62FFB"/>
    <w:multiLevelType w:val="hybridMultilevel"/>
    <w:tmpl w:val="C8AC28D0"/>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305E37BC"/>
    <w:multiLevelType w:val="multilevel"/>
    <w:tmpl w:val="4AB455C8"/>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34AF5816"/>
    <w:multiLevelType w:val="multilevel"/>
    <w:tmpl w:val="FCC470D2"/>
    <w:lvl w:ilvl="0">
      <w:start w:val="6"/>
      <w:numFmt w:val="decimal"/>
      <w:lvlText w:val="%1"/>
      <w:lvlJc w:val="left"/>
      <w:pPr>
        <w:ind w:left="380" w:hanging="380"/>
      </w:pPr>
      <w:rPr>
        <w:rFonts w:hint="default"/>
      </w:rPr>
    </w:lvl>
    <w:lvl w:ilvl="1">
      <w:start w:val="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9049C5"/>
    <w:multiLevelType w:val="hybridMultilevel"/>
    <w:tmpl w:val="222C6B04"/>
    <w:lvl w:ilvl="0" w:tplc="FFFFFFF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2C25B72"/>
    <w:multiLevelType w:val="hybridMultilevel"/>
    <w:tmpl w:val="0672B8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6F0C5E"/>
    <w:multiLevelType w:val="hybridMultilevel"/>
    <w:tmpl w:val="C8AC28D0"/>
    <w:lvl w:ilvl="0" w:tplc="B7C21A1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694661C"/>
    <w:multiLevelType w:val="hybridMultilevel"/>
    <w:tmpl w:val="204E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27"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33"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610019"/>
    <w:multiLevelType w:val="hybridMultilevel"/>
    <w:tmpl w:val="FDFE90EC"/>
    <w:lvl w:ilvl="0" w:tplc="FFFFFFFF">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8D6458"/>
    <w:multiLevelType w:val="hybridMultilevel"/>
    <w:tmpl w:val="82C4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0C7030"/>
    <w:multiLevelType w:val="hybridMultilevel"/>
    <w:tmpl w:val="3F7CE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0E50A4"/>
    <w:multiLevelType w:val="hybridMultilevel"/>
    <w:tmpl w:val="268E655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FB24E9B"/>
    <w:multiLevelType w:val="hybridMultilevel"/>
    <w:tmpl w:val="A9FE1D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41" w15:restartNumberingAfterBreak="0">
    <w:nsid w:val="75175492"/>
    <w:multiLevelType w:val="hybridMultilevel"/>
    <w:tmpl w:val="5EB474DC"/>
    <w:lvl w:ilvl="0" w:tplc="08090011">
      <w:start w:val="1"/>
      <w:numFmt w:val="decimal"/>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42"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4981408">
    <w:abstractNumId w:val="17"/>
  </w:num>
  <w:num w:numId="2" w16cid:durableId="601570190">
    <w:abstractNumId w:val="42"/>
  </w:num>
  <w:num w:numId="3" w16cid:durableId="1813522522">
    <w:abstractNumId w:val="3"/>
  </w:num>
  <w:num w:numId="4" w16cid:durableId="533276510">
    <w:abstractNumId w:val="40"/>
  </w:num>
  <w:num w:numId="5" w16cid:durableId="771362055">
    <w:abstractNumId w:val="2"/>
  </w:num>
  <w:num w:numId="6" w16cid:durableId="3823149">
    <w:abstractNumId w:val="27"/>
  </w:num>
  <w:num w:numId="7" w16cid:durableId="338390637">
    <w:abstractNumId w:val="5"/>
  </w:num>
  <w:num w:numId="8" w16cid:durableId="182984412">
    <w:abstractNumId w:val="32"/>
  </w:num>
  <w:num w:numId="9" w16cid:durableId="853954488">
    <w:abstractNumId w:val="25"/>
  </w:num>
  <w:num w:numId="10" w16cid:durableId="307325374">
    <w:abstractNumId w:val="10"/>
  </w:num>
  <w:num w:numId="11" w16cid:durableId="1207567416">
    <w:abstractNumId w:val="16"/>
  </w:num>
  <w:num w:numId="12" w16cid:durableId="1714499310">
    <w:abstractNumId w:val="15"/>
  </w:num>
  <w:num w:numId="13" w16cid:durableId="1557817223">
    <w:abstractNumId w:val="29"/>
  </w:num>
  <w:num w:numId="14" w16cid:durableId="766468131">
    <w:abstractNumId w:val="7"/>
  </w:num>
  <w:num w:numId="15" w16cid:durableId="401634644">
    <w:abstractNumId w:val="4"/>
  </w:num>
  <w:num w:numId="16" w16cid:durableId="2004504209">
    <w:abstractNumId w:val="20"/>
    <w:lvlOverride w:ilvl="0">
      <w:lvl w:ilvl="0">
        <w:start w:val="1"/>
        <w:numFmt w:val="bullet"/>
        <w:lvlText w:val=""/>
        <w:lvlJc w:val="left"/>
        <w:pPr>
          <w:ind w:left="360" w:hanging="360"/>
        </w:pPr>
        <w:rPr>
          <w:rFonts w:ascii="Symbol" w:hAnsi="Symbol" w:hint="default"/>
        </w:rPr>
      </w:lvl>
    </w:lvlOverride>
  </w:num>
  <w:num w:numId="17" w16cid:durableId="1333338980">
    <w:abstractNumId w:val="8"/>
  </w:num>
  <w:num w:numId="18" w16cid:durableId="2077896738">
    <w:abstractNumId w:val="23"/>
  </w:num>
  <w:num w:numId="19" w16cid:durableId="318195612">
    <w:abstractNumId w:val="0"/>
  </w:num>
  <w:num w:numId="20" w16cid:durableId="172572898">
    <w:abstractNumId w:val="26"/>
  </w:num>
  <w:num w:numId="21" w16cid:durableId="1306818322">
    <w:abstractNumId w:val="1"/>
  </w:num>
  <w:num w:numId="22" w16cid:durableId="1536767415">
    <w:abstractNumId w:val="33"/>
  </w:num>
  <w:num w:numId="23" w16cid:durableId="54209663">
    <w:abstractNumId w:val="6"/>
  </w:num>
  <w:num w:numId="24" w16cid:durableId="1347441872">
    <w:abstractNumId w:val="36"/>
  </w:num>
  <w:num w:numId="25" w16cid:durableId="1336883623">
    <w:abstractNumId w:val="31"/>
  </w:num>
  <w:num w:numId="26" w16cid:durableId="1859196455">
    <w:abstractNumId w:val="9"/>
  </w:num>
  <w:num w:numId="27" w16cid:durableId="1643851276">
    <w:abstractNumId w:val="21"/>
  </w:num>
  <w:num w:numId="28" w16cid:durableId="1329362202">
    <w:abstractNumId w:val="19"/>
  </w:num>
  <w:num w:numId="29" w16cid:durableId="1795561713">
    <w:abstractNumId w:val="33"/>
  </w:num>
  <w:num w:numId="30" w16cid:durableId="71048478">
    <w:abstractNumId w:val="33"/>
  </w:num>
  <w:num w:numId="31" w16cid:durableId="755857827">
    <w:abstractNumId w:val="24"/>
  </w:num>
  <w:num w:numId="32" w16cid:durableId="1933396817">
    <w:abstractNumId w:val="33"/>
  </w:num>
  <w:num w:numId="33" w16cid:durableId="1457986831">
    <w:abstractNumId w:val="33"/>
  </w:num>
  <w:num w:numId="34" w16cid:durableId="1703019878">
    <w:abstractNumId w:val="33"/>
  </w:num>
  <w:num w:numId="35" w16cid:durableId="1865440867">
    <w:abstractNumId w:val="33"/>
  </w:num>
  <w:num w:numId="36" w16cid:durableId="829516848">
    <w:abstractNumId w:val="33"/>
  </w:num>
  <w:num w:numId="37" w16cid:durableId="2076001543">
    <w:abstractNumId w:val="35"/>
  </w:num>
  <w:num w:numId="38" w16cid:durableId="1204173423">
    <w:abstractNumId w:val="30"/>
  </w:num>
  <w:num w:numId="39" w16cid:durableId="1448893088">
    <w:abstractNumId w:val="41"/>
  </w:num>
  <w:num w:numId="40" w16cid:durableId="1900021242">
    <w:abstractNumId w:val="38"/>
  </w:num>
  <w:num w:numId="41" w16cid:durableId="995105162">
    <w:abstractNumId w:val="37"/>
  </w:num>
  <w:num w:numId="42" w16cid:durableId="1581451535">
    <w:abstractNumId w:val="13"/>
  </w:num>
  <w:num w:numId="43" w16cid:durableId="1752506282">
    <w:abstractNumId w:val="3"/>
  </w:num>
  <w:num w:numId="44" w16cid:durableId="1456093856">
    <w:abstractNumId w:val="3"/>
  </w:num>
  <w:num w:numId="45" w16cid:durableId="1900241663">
    <w:abstractNumId w:val="3"/>
  </w:num>
  <w:num w:numId="46" w16cid:durableId="1535843761">
    <w:abstractNumId w:val="22"/>
  </w:num>
  <w:num w:numId="47" w16cid:durableId="1818298069">
    <w:abstractNumId w:val="14"/>
  </w:num>
  <w:num w:numId="48" w16cid:durableId="2061048727">
    <w:abstractNumId w:val="12"/>
  </w:num>
  <w:num w:numId="49" w16cid:durableId="1849246280">
    <w:abstractNumId w:val="11"/>
  </w:num>
  <w:num w:numId="50" w16cid:durableId="785197264">
    <w:abstractNumId w:val="34"/>
  </w:num>
  <w:num w:numId="51" w16cid:durableId="1299335420">
    <w:abstractNumId w:val="18"/>
  </w:num>
  <w:num w:numId="52" w16cid:durableId="1754938255">
    <w:abstractNumId w:val="20"/>
  </w:num>
  <w:num w:numId="53" w16cid:durableId="1013340051">
    <w:abstractNumId w:val="39"/>
  </w:num>
  <w:num w:numId="54" w16cid:durableId="888301183">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0D8"/>
    <w:rsid w:val="00001E7A"/>
    <w:rsid w:val="000026B6"/>
    <w:rsid w:val="000031BB"/>
    <w:rsid w:val="000055D4"/>
    <w:rsid w:val="00010851"/>
    <w:rsid w:val="00010D69"/>
    <w:rsid w:val="000159E0"/>
    <w:rsid w:val="00016269"/>
    <w:rsid w:val="0001795D"/>
    <w:rsid w:val="000210D8"/>
    <w:rsid w:val="00021E90"/>
    <w:rsid w:val="00024973"/>
    <w:rsid w:val="00024EED"/>
    <w:rsid w:val="00026504"/>
    <w:rsid w:val="0003252D"/>
    <w:rsid w:val="00033D9B"/>
    <w:rsid w:val="00035E6B"/>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F00F6"/>
    <w:rsid w:val="000F1864"/>
    <w:rsid w:val="000F2ED2"/>
    <w:rsid w:val="000F3D21"/>
    <w:rsid w:val="000F4892"/>
    <w:rsid w:val="000F491B"/>
    <w:rsid w:val="000F4C2F"/>
    <w:rsid w:val="000F7ED6"/>
    <w:rsid w:val="00100399"/>
    <w:rsid w:val="00101019"/>
    <w:rsid w:val="00104647"/>
    <w:rsid w:val="00105A0B"/>
    <w:rsid w:val="001069F6"/>
    <w:rsid w:val="001073C1"/>
    <w:rsid w:val="001104F7"/>
    <w:rsid w:val="00113D2E"/>
    <w:rsid w:val="00114AA6"/>
    <w:rsid w:val="0011571F"/>
    <w:rsid w:val="001164EC"/>
    <w:rsid w:val="00121F0D"/>
    <w:rsid w:val="00124CDD"/>
    <w:rsid w:val="00125150"/>
    <w:rsid w:val="001252BF"/>
    <w:rsid w:val="001273C5"/>
    <w:rsid w:val="00131B14"/>
    <w:rsid w:val="00132474"/>
    <w:rsid w:val="001326C2"/>
    <w:rsid w:val="0013327E"/>
    <w:rsid w:val="00135B36"/>
    <w:rsid w:val="001450B6"/>
    <w:rsid w:val="001475FA"/>
    <w:rsid w:val="001500AB"/>
    <w:rsid w:val="00150D75"/>
    <w:rsid w:val="00151489"/>
    <w:rsid w:val="00152A8B"/>
    <w:rsid w:val="00156D15"/>
    <w:rsid w:val="00162918"/>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0DDE"/>
    <w:rsid w:val="00222FF2"/>
    <w:rsid w:val="00231129"/>
    <w:rsid w:val="002336CC"/>
    <w:rsid w:val="00233B8B"/>
    <w:rsid w:val="00236EB6"/>
    <w:rsid w:val="00241796"/>
    <w:rsid w:val="00241E12"/>
    <w:rsid w:val="00244E10"/>
    <w:rsid w:val="0024556C"/>
    <w:rsid w:val="002460FA"/>
    <w:rsid w:val="00246623"/>
    <w:rsid w:val="00250190"/>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6DF9"/>
    <w:rsid w:val="0027313B"/>
    <w:rsid w:val="002742CF"/>
    <w:rsid w:val="0027563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CE3"/>
    <w:rsid w:val="002A2BEF"/>
    <w:rsid w:val="002A3002"/>
    <w:rsid w:val="002B01C3"/>
    <w:rsid w:val="002C12F7"/>
    <w:rsid w:val="002C3499"/>
    <w:rsid w:val="002C41F0"/>
    <w:rsid w:val="002C64D3"/>
    <w:rsid w:val="002C75FC"/>
    <w:rsid w:val="002C7725"/>
    <w:rsid w:val="002D0B3A"/>
    <w:rsid w:val="002D2205"/>
    <w:rsid w:val="002D26F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4EED"/>
    <w:rsid w:val="002F5028"/>
    <w:rsid w:val="002F5198"/>
    <w:rsid w:val="002F7F10"/>
    <w:rsid w:val="003016EC"/>
    <w:rsid w:val="003020D8"/>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2178"/>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8A"/>
    <w:rsid w:val="00450334"/>
    <w:rsid w:val="004511D5"/>
    <w:rsid w:val="00451ABC"/>
    <w:rsid w:val="00452CA4"/>
    <w:rsid w:val="0045371F"/>
    <w:rsid w:val="00454FF3"/>
    <w:rsid w:val="004554EA"/>
    <w:rsid w:val="00460D9F"/>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36B"/>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84B1F"/>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C1D42"/>
    <w:rsid w:val="005C4602"/>
    <w:rsid w:val="005C4CEF"/>
    <w:rsid w:val="005C53CF"/>
    <w:rsid w:val="005C79C1"/>
    <w:rsid w:val="005D14B1"/>
    <w:rsid w:val="005D1F35"/>
    <w:rsid w:val="005D2DCB"/>
    <w:rsid w:val="005D4BBC"/>
    <w:rsid w:val="005D4D35"/>
    <w:rsid w:val="005D5FC8"/>
    <w:rsid w:val="005D632D"/>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2F1"/>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E5AC4"/>
    <w:rsid w:val="006E5B70"/>
    <w:rsid w:val="006E7774"/>
    <w:rsid w:val="006E786E"/>
    <w:rsid w:val="006F1B27"/>
    <w:rsid w:val="006F6B4C"/>
    <w:rsid w:val="00700646"/>
    <w:rsid w:val="00700BF1"/>
    <w:rsid w:val="007012DF"/>
    <w:rsid w:val="0070439A"/>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41"/>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0EAE"/>
    <w:rsid w:val="0088165C"/>
    <w:rsid w:val="00881924"/>
    <w:rsid w:val="00883471"/>
    <w:rsid w:val="00883DBD"/>
    <w:rsid w:val="008847C1"/>
    <w:rsid w:val="00884818"/>
    <w:rsid w:val="00886D42"/>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6553"/>
    <w:rsid w:val="00932E1F"/>
    <w:rsid w:val="009337EB"/>
    <w:rsid w:val="00933FE2"/>
    <w:rsid w:val="0093403C"/>
    <w:rsid w:val="00935387"/>
    <w:rsid w:val="009434B7"/>
    <w:rsid w:val="00944A06"/>
    <w:rsid w:val="0094720E"/>
    <w:rsid w:val="009506BB"/>
    <w:rsid w:val="00953CAC"/>
    <w:rsid w:val="00955571"/>
    <w:rsid w:val="0096063F"/>
    <w:rsid w:val="009628AD"/>
    <w:rsid w:val="00962DA1"/>
    <w:rsid w:val="0096541E"/>
    <w:rsid w:val="00965F42"/>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2D4"/>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40E55"/>
    <w:rsid w:val="00B437D8"/>
    <w:rsid w:val="00B470DA"/>
    <w:rsid w:val="00B47A27"/>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69CF"/>
    <w:rsid w:val="00BE09DE"/>
    <w:rsid w:val="00BE0B32"/>
    <w:rsid w:val="00BE0BA2"/>
    <w:rsid w:val="00BE1755"/>
    <w:rsid w:val="00BE1D2C"/>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5790"/>
    <w:rsid w:val="00C26A0D"/>
    <w:rsid w:val="00C3751A"/>
    <w:rsid w:val="00C379D6"/>
    <w:rsid w:val="00C412FF"/>
    <w:rsid w:val="00C41C42"/>
    <w:rsid w:val="00C41F25"/>
    <w:rsid w:val="00C41F5D"/>
    <w:rsid w:val="00C43336"/>
    <w:rsid w:val="00C44560"/>
    <w:rsid w:val="00C44F82"/>
    <w:rsid w:val="00C45CF0"/>
    <w:rsid w:val="00C47BD5"/>
    <w:rsid w:val="00C55187"/>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175F"/>
    <w:rsid w:val="00CA2AD9"/>
    <w:rsid w:val="00CA2E3E"/>
    <w:rsid w:val="00CA3282"/>
    <w:rsid w:val="00CA33D3"/>
    <w:rsid w:val="00CA4414"/>
    <w:rsid w:val="00CA71CC"/>
    <w:rsid w:val="00CB2252"/>
    <w:rsid w:val="00CB2A99"/>
    <w:rsid w:val="00CB3B62"/>
    <w:rsid w:val="00CB4B87"/>
    <w:rsid w:val="00CB7C85"/>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1EC"/>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2645"/>
    <w:rsid w:val="00DA537A"/>
    <w:rsid w:val="00DA5A0B"/>
    <w:rsid w:val="00DB049C"/>
    <w:rsid w:val="00DB16C0"/>
    <w:rsid w:val="00DB2F86"/>
    <w:rsid w:val="00DB3003"/>
    <w:rsid w:val="00DB500B"/>
    <w:rsid w:val="00DB7D85"/>
    <w:rsid w:val="00DC0304"/>
    <w:rsid w:val="00DC227D"/>
    <w:rsid w:val="00DC2719"/>
    <w:rsid w:val="00DC3BE3"/>
    <w:rsid w:val="00DD1478"/>
    <w:rsid w:val="00DD342E"/>
    <w:rsid w:val="00DD60E7"/>
    <w:rsid w:val="00DD6767"/>
    <w:rsid w:val="00DE1E42"/>
    <w:rsid w:val="00DE3999"/>
    <w:rsid w:val="00DE416A"/>
    <w:rsid w:val="00DE76BB"/>
    <w:rsid w:val="00DE76F0"/>
    <w:rsid w:val="00DF0241"/>
    <w:rsid w:val="00DF071B"/>
    <w:rsid w:val="00DF1A7E"/>
    <w:rsid w:val="00DF27D7"/>
    <w:rsid w:val="00DF649F"/>
    <w:rsid w:val="00E00C8A"/>
    <w:rsid w:val="00E01FCC"/>
    <w:rsid w:val="00E040C6"/>
    <w:rsid w:val="00E07A62"/>
    <w:rsid w:val="00E11A71"/>
    <w:rsid w:val="00E157A5"/>
    <w:rsid w:val="00E22996"/>
    <w:rsid w:val="00E2494E"/>
    <w:rsid w:val="00E25D0B"/>
    <w:rsid w:val="00E27B9E"/>
    <w:rsid w:val="00E33504"/>
    <w:rsid w:val="00E33DED"/>
    <w:rsid w:val="00E34982"/>
    <w:rsid w:val="00E3623C"/>
    <w:rsid w:val="00E37B47"/>
    <w:rsid w:val="00E37BF1"/>
    <w:rsid w:val="00E43E76"/>
    <w:rsid w:val="00E44349"/>
    <w:rsid w:val="00E544D1"/>
    <w:rsid w:val="00E602B9"/>
    <w:rsid w:val="00E6081B"/>
    <w:rsid w:val="00E6112B"/>
    <w:rsid w:val="00E65843"/>
    <w:rsid w:val="00E70B37"/>
    <w:rsid w:val="00E72D41"/>
    <w:rsid w:val="00E73A68"/>
    <w:rsid w:val="00E7429A"/>
    <w:rsid w:val="00E742A1"/>
    <w:rsid w:val="00E7462C"/>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FFC"/>
    <w:rsid w:val="00EB209D"/>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720B"/>
    <w:rsid w:val="00F177F3"/>
    <w:rsid w:val="00F21414"/>
    <w:rsid w:val="00F21502"/>
    <w:rsid w:val="00F22E6E"/>
    <w:rsid w:val="00F253F6"/>
    <w:rsid w:val="00F26E05"/>
    <w:rsid w:val="00F2730B"/>
    <w:rsid w:val="00F27576"/>
    <w:rsid w:val="00F32C3C"/>
    <w:rsid w:val="00F32F35"/>
    <w:rsid w:val="00F33A7A"/>
    <w:rsid w:val="00F33DF2"/>
    <w:rsid w:val="00F3506F"/>
    <w:rsid w:val="00F35C0A"/>
    <w:rsid w:val="00F419FE"/>
    <w:rsid w:val="00F41B13"/>
    <w:rsid w:val="00F42840"/>
    <w:rsid w:val="00F46B85"/>
    <w:rsid w:val="00F47930"/>
    <w:rsid w:val="00F50E2C"/>
    <w:rsid w:val="00F5165D"/>
    <w:rsid w:val="00F526A1"/>
    <w:rsid w:val="00F52BB0"/>
    <w:rsid w:val="00F55E1C"/>
    <w:rsid w:val="00F56A1C"/>
    <w:rsid w:val="00F56F97"/>
    <w:rsid w:val="00F60B10"/>
    <w:rsid w:val="00F60FA6"/>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076C14"/>
  <w14:defaultImageDpi w14:val="0"/>
  <w15:docId w15:val="{F551377A-8955-8F4C-BB5D-0EBFEFBB8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uiPriority w:val="9"/>
    <w:qFormat/>
    <w:rsid w:val="00D101EC"/>
    <w:pPr>
      <w:keepNext/>
      <w:keepLines/>
      <w:spacing w:after="360" w:line="560" w:lineRule="exact"/>
      <w:outlineLvl w:val="0"/>
    </w:pPr>
    <w:rPr>
      <w:rFonts w:asciiTheme="majorHAnsi" w:eastAsiaTheme="majorEastAsia" w:hAnsiTheme="majorHAnsi" w:cs="Times New Roman (Headings CS)"/>
      <w:b/>
      <w:bCs/>
      <w:sz w:val="36"/>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iPriority w:val="9"/>
    <w:unhideWhenUsed/>
    <w:qFormat/>
    <w:rsid w:val="00BC02FA"/>
    <w:pPr>
      <w:keepNext/>
      <w:keepLines/>
      <w:spacing w:after="240" w:line="400" w:lineRule="exact"/>
      <w:outlineLvl w:val="2"/>
    </w:pPr>
    <w:rPr>
      <w:rFonts w:asciiTheme="majorHAnsi" w:eastAsiaTheme="majorEastAsia" w:hAnsiTheme="majorHAnsi" w:cstheme="majorBidi"/>
      <w:b/>
      <w:bCs/>
      <w:sz w:val="36"/>
      <w:szCs w:val="26"/>
      <w:lang w:val="en-GB"/>
    </w:rPr>
  </w:style>
  <w:style w:type="paragraph" w:styleId="Heading4">
    <w:name w:val="heading 4"/>
    <w:basedOn w:val="Normal"/>
    <w:next w:val="Normal"/>
    <w:link w:val="Heading4Char"/>
    <w:uiPriority w:val="9"/>
    <w:unhideWhenUsed/>
    <w:qFormat/>
    <w:rsid w:val="00BC02FA"/>
    <w:pPr>
      <w:keepNext/>
      <w:keepLines/>
      <w:spacing w:before="120" w:after="120" w:line="360" w:lineRule="auto"/>
      <w:outlineLvl w:val="3"/>
    </w:pPr>
    <w:rPr>
      <w:rFonts w:asciiTheme="majorHAnsi" w:eastAsiaTheme="majorEastAsia" w:hAnsiTheme="majorHAnsi" w:cstheme="majorBidi"/>
      <w:b/>
      <w:iCs/>
      <w:color w:val="000000" w:themeColor="text1"/>
      <w:sz w:val="32"/>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iPriority w:val="9"/>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52"/>
      </w:numPr>
    </w:pPr>
  </w:style>
  <w:style w:type="character" w:customStyle="1" w:styleId="Bold">
    <w:name w:val="Bold"/>
    <w:uiPriority w:val="99"/>
    <w:rPr>
      <w:b/>
      <w:bCs/>
    </w:rPr>
  </w:style>
  <w:style w:type="numbering" w:customStyle="1" w:styleId="CurrentList17">
    <w:name w:val="Current List17"/>
    <w:uiPriority w:val="99"/>
    <w:rsid w:val="00BC02FA"/>
    <w:pPr>
      <w:numPr>
        <w:numId w:val="53"/>
      </w:numPr>
    </w:pPr>
  </w:style>
  <w:style w:type="numbering" w:customStyle="1" w:styleId="CurrentList18">
    <w:name w:val="Current List18"/>
    <w:uiPriority w:val="99"/>
    <w:rsid w:val="00BC02FA"/>
    <w:pPr>
      <w:numPr>
        <w:numId w:val="54"/>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7"/>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D101EC"/>
    <w:pPr>
      <w:spacing w:after="240" w:line="9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D101EC"/>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CA2AD9"/>
    <w:pPr>
      <w:numPr>
        <w:ilvl w:val="1"/>
      </w:numPr>
      <w:spacing w:before="240" w:after="480" w:line="360" w:lineRule="auto"/>
    </w:pPr>
    <w:rPr>
      <w:b/>
      <w:sz w:val="44"/>
      <w:szCs w:val="44"/>
      <w:lang w:val="en-US"/>
    </w:rPr>
  </w:style>
  <w:style w:type="character" w:customStyle="1" w:styleId="SubtitleChar">
    <w:name w:val="Subtitle Char"/>
    <w:basedOn w:val="DefaultParagraphFont"/>
    <w:link w:val="Subtitle"/>
    <w:uiPriority w:val="11"/>
    <w:rsid w:val="00CA2AD9"/>
    <w:rPr>
      <w:b/>
      <w:sz w:val="44"/>
      <w:szCs w:val="44"/>
      <w:lang w:val="en-US"/>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2848F0"/>
    <w:pPr>
      <w:keepNext/>
      <w:spacing w:after="120"/>
    </w:pPr>
  </w:style>
  <w:style w:type="character" w:customStyle="1" w:styleId="Heading1Char">
    <w:name w:val="Heading 1 Char"/>
    <w:basedOn w:val="DefaultParagraphFont"/>
    <w:link w:val="Heading1"/>
    <w:uiPriority w:val="9"/>
    <w:rsid w:val="00D101EC"/>
    <w:rPr>
      <w:rFonts w:asciiTheme="majorHAnsi" w:eastAsiaTheme="majorEastAsia" w:hAnsiTheme="majorHAnsi" w:cs="Times New Roman (Headings CS)"/>
      <w:b/>
      <w:bCs/>
      <w:sz w:val="36"/>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2"/>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BC02FA"/>
    <w:rPr>
      <w:rFonts w:asciiTheme="majorHAnsi" w:eastAsiaTheme="majorEastAsia" w:hAnsiTheme="majorHAnsi" w:cstheme="majorBidi"/>
      <w:b/>
      <w:bCs/>
      <w:sz w:val="36"/>
      <w:szCs w:val="26"/>
      <w:lang w:val="en-GB"/>
    </w:rPr>
  </w:style>
  <w:style w:type="character" w:customStyle="1" w:styleId="Heading4Char">
    <w:name w:val="Heading 4 Char"/>
    <w:basedOn w:val="DefaultParagraphFont"/>
    <w:link w:val="Heading4"/>
    <w:uiPriority w:val="9"/>
    <w:rsid w:val="00BC02FA"/>
    <w:rPr>
      <w:rFonts w:asciiTheme="majorHAnsi" w:eastAsiaTheme="majorEastAsia" w:hAnsiTheme="majorHAnsi" w:cstheme="majorBidi"/>
      <w:b/>
      <w:iCs/>
      <w:color w:val="000000" w:themeColor="text1"/>
      <w:sz w:val="32"/>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8"/>
      </w:numPr>
    </w:pPr>
  </w:style>
  <w:style w:type="paragraph" w:customStyle="1" w:styleId="Bullet2">
    <w:name w:val="Bullet 2"/>
    <w:basedOn w:val="Normal"/>
    <w:qFormat/>
    <w:rsid w:val="008B38A1"/>
    <w:pPr>
      <w:numPr>
        <w:numId w:val="2"/>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8"/>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3"/>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4"/>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5"/>
      </w:numPr>
      <w:snapToGrid w:val="0"/>
      <w:ind w:left="357" w:hanging="357"/>
    </w:pPr>
  </w:style>
  <w:style w:type="paragraph" w:styleId="ListNumber2">
    <w:name w:val="List Number 2"/>
    <w:basedOn w:val="Normal"/>
    <w:uiPriority w:val="99"/>
    <w:unhideWhenUsed/>
    <w:rsid w:val="001D3828"/>
    <w:pPr>
      <w:numPr>
        <w:numId w:val="19"/>
      </w:numPr>
      <w:contextualSpacing/>
    </w:pPr>
  </w:style>
  <w:style w:type="paragraph" w:styleId="Caption">
    <w:name w:val="caption"/>
    <w:basedOn w:val="Normal"/>
    <w:next w:val="Normal"/>
    <w:unhideWhenUsed/>
    <w:qFormat/>
    <w:rsid w:val="00A4312D"/>
    <w:pPr>
      <w:spacing w:before="120" w:after="120" w:line="360" w:lineRule="auto"/>
    </w:pPr>
    <w:rPr>
      <w:b/>
      <w:iCs/>
      <w:color w:val="000000" w:themeColor="text1"/>
      <w:sz w:val="22"/>
      <w:szCs w:val="18"/>
    </w:rPr>
  </w:style>
  <w:style w:type="numbering" w:customStyle="1" w:styleId="CurrentList1">
    <w:name w:val="Current List1"/>
    <w:uiPriority w:val="99"/>
    <w:rsid w:val="007B211D"/>
    <w:pPr>
      <w:numPr>
        <w:numId w:val="6"/>
      </w:numPr>
    </w:pPr>
  </w:style>
  <w:style w:type="numbering" w:customStyle="1" w:styleId="CurrentList2">
    <w:name w:val="Current List2"/>
    <w:uiPriority w:val="99"/>
    <w:rsid w:val="00E11A71"/>
    <w:pPr>
      <w:numPr>
        <w:numId w:val="7"/>
      </w:numPr>
    </w:pPr>
  </w:style>
  <w:style w:type="numbering" w:customStyle="1" w:styleId="CurrentList3">
    <w:name w:val="Current List3"/>
    <w:uiPriority w:val="99"/>
    <w:rsid w:val="00E11A71"/>
    <w:pPr>
      <w:numPr>
        <w:numId w:val="9"/>
      </w:numPr>
    </w:pPr>
  </w:style>
  <w:style w:type="numbering" w:customStyle="1" w:styleId="CurrentList4">
    <w:name w:val="Current List4"/>
    <w:uiPriority w:val="99"/>
    <w:rsid w:val="00E11A71"/>
    <w:pPr>
      <w:numPr>
        <w:numId w:val="10"/>
      </w:numPr>
    </w:pPr>
  </w:style>
  <w:style w:type="numbering" w:customStyle="1" w:styleId="CurrentList5">
    <w:name w:val="Current List5"/>
    <w:uiPriority w:val="99"/>
    <w:rsid w:val="00E11A71"/>
    <w:pPr>
      <w:numPr>
        <w:numId w:val="11"/>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3"/>
      </w:numPr>
    </w:pPr>
  </w:style>
  <w:style w:type="numbering" w:customStyle="1" w:styleId="CurrentList7">
    <w:name w:val="Current List7"/>
    <w:uiPriority w:val="99"/>
    <w:rsid w:val="00904039"/>
    <w:pPr>
      <w:numPr>
        <w:numId w:val="14"/>
      </w:numPr>
    </w:pPr>
  </w:style>
  <w:style w:type="numbering" w:customStyle="1" w:styleId="CurrentList8">
    <w:name w:val="Current List8"/>
    <w:uiPriority w:val="99"/>
    <w:rsid w:val="00241796"/>
    <w:pPr>
      <w:numPr>
        <w:numId w:val="15"/>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20"/>
      </w:numPr>
    </w:pPr>
  </w:style>
  <w:style w:type="paragraph" w:styleId="ListBullet3">
    <w:name w:val="List Bullet 3"/>
    <w:basedOn w:val="ListBullet2"/>
    <w:uiPriority w:val="99"/>
    <w:unhideWhenUsed/>
    <w:rsid w:val="00452CA4"/>
    <w:pPr>
      <w:numPr>
        <w:numId w:val="21"/>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1679C2"/>
    <w:pPr>
      <w:spacing w:after="0" w:line="36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u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2"/>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3"/>
      </w:numPr>
    </w:pPr>
  </w:style>
  <w:style w:type="paragraph" w:customStyle="1" w:styleId="LastBulletinList">
    <w:name w:val="Last Bullet in List"/>
    <w:basedOn w:val="ListBullet"/>
    <w:qFormat/>
    <w:rsid w:val="00876D01"/>
    <w:pPr>
      <w:spacing w:after="180"/>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5"/>
      </w:numPr>
    </w:pPr>
  </w:style>
  <w:style w:type="numbering" w:customStyle="1" w:styleId="CurrentList15">
    <w:name w:val="Current List15"/>
    <w:uiPriority w:val="99"/>
    <w:rsid w:val="0074162B"/>
    <w:pPr>
      <w:numPr>
        <w:numId w:val="38"/>
      </w:numPr>
    </w:pPr>
  </w:style>
  <w:style w:type="numbering" w:customStyle="1" w:styleId="CurrentList16">
    <w:name w:val="Current List16"/>
    <w:uiPriority w:val="99"/>
    <w:rsid w:val="00B54217"/>
    <w:pPr>
      <w:numPr>
        <w:numId w:val="42"/>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character" w:styleId="UnresolvedMention">
    <w:name w:val="Unresolved Mention"/>
    <w:basedOn w:val="DefaultParagraphFont"/>
    <w:uiPriority w:val="99"/>
    <w:semiHidden/>
    <w:unhideWhenUsed/>
    <w:rsid w:val="00CA175F"/>
    <w:rPr>
      <w:color w:val="605E5C"/>
      <w:shd w:val="clear" w:color="auto" w:fill="E1DFDD"/>
    </w:rPr>
  </w:style>
  <w:style w:type="paragraph" w:customStyle="1" w:styleId="BasicParagraph">
    <w:name w:val="[Basic Paragraph]"/>
    <w:basedOn w:val="NoParagraphStyle"/>
    <w:uiPriority w:val="99"/>
    <w:rsid w:val="00E22996"/>
    <w:pPr>
      <w:widowControl/>
    </w:pPr>
    <w:rPr>
      <w:rFonts w:ascii="Minion Pro" w:hAnsi="Minion Pro" w:cs="Minion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energy.vic.gov.au/victorian-energy-upgrades/about-the-veu-program" TargetMode="External"/><Relationship Id="rId18" Type="http://schemas.openxmlformats.org/officeDocument/2006/relationships/hyperlink" Target="http://energy.vic.gov.a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file:///Users/johnallen/Desktop/DECCA%20Work/2024/AUGUST/13%20August%202024/customer.service@delwp.vic.gov.au" TargetMode="External"/><Relationship Id="rId7" Type="http://schemas.openxmlformats.org/officeDocument/2006/relationships/endnotes" Target="endnotes.xml"/><Relationship Id="rId12" Type="http://schemas.openxmlformats.org/officeDocument/2006/relationships/hyperlink" Target="https://calculator.energyrating.gov.au/" TargetMode="External"/><Relationship Id="rId17" Type="http://schemas.openxmlformats.org/officeDocument/2006/relationships/hyperlink" Target="https://www.realestate.com.au/news/victorian-rental-minimum-standards-market-impact-one-year-on-and-whats-to-com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er.vic.gov.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mpare.energy.vic.gov.au/" TargetMode="External"/><Relationship Id="rId23" Type="http://schemas.openxmlformats.org/officeDocument/2006/relationships/footer" Target="footer1.xml"/><Relationship Id="rId10" Type="http://schemas.openxmlformats.org/officeDocument/2006/relationships/hyperlink" Target="https://engage.vic.gov.au/new-minimum-standards-for-rental-properties-and-rooming-houses" TargetMode="External"/><Relationship Id="rId19" Type="http://schemas.openxmlformats.org/officeDocument/2006/relationships/hyperlink" Target="http://creativecommons.org/licenses/by/4.0/" TargetMode="External"/><Relationship Id="rId4" Type="http://schemas.openxmlformats.org/officeDocument/2006/relationships/settings" Target="settings.xml"/><Relationship Id="rId9" Type="http://schemas.openxmlformats.org/officeDocument/2006/relationships/hyperlink" Target="https://www.domain.com.au/research/domain-sustainability-in-property-report-1147058/" TargetMode="External"/><Relationship Id="rId14" Type="http://schemas.openxmlformats.org/officeDocument/2006/relationships/hyperlink" Target="https://www.solar.vic.gov.au/" TargetMode="External"/><Relationship Id="rId22" Type="http://schemas.openxmlformats.org/officeDocument/2006/relationships/hyperlink" Target="file:///Users/johnallen/Desktop/DECCA%20Work/2024/AUGUST/13%20August%202024/www.deeca.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allen/Desktop/DECCA%20Work/Document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Document_accessible.dotx</Template>
  <TotalTime>11</TotalTime>
  <Pages>5</Pages>
  <Words>976</Words>
  <Characters>5567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Energy Efficiency for Rental Properties in Victoria</vt:lpstr>
    </vt:vector>
  </TitlesOfParts>
  <Manager/>
  <Company/>
  <LinksUpToDate>false</LinksUpToDate>
  <CharactersWithSpaces>6530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Efficiency for Rental Properties in Victoria</dc:title>
  <dc:subject/>
  <dc:creator>State of Victoria Department of Energy, Environment and Climate Action</dc:creator>
  <cp:keywords/>
  <dc:description>© The State of Victoria Department of Energy, Environment and Climate Action, 2024, revised December 2024.
</dc:description>
  <cp:lastModifiedBy>Meg McLennan</cp:lastModifiedBy>
  <cp:revision>6</cp:revision>
  <dcterms:created xsi:type="dcterms:W3CDTF">2024-12-12T05:11:00Z</dcterms:created>
  <dcterms:modified xsi:type="dcterms:W3CDTF">2024-12-17T23:01:00Z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ies>
</file>