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rsidTr="003F46E9">
        <w:trPr>
          <w:trHeight w:hRule="exact" w:val="1418"/>
        </w:trPr>
        <w:tc>
          <w:tcPr>
            <w:tcW w:w="7761" w:type="dxa"/>
            <w:vAlign w:val="center"/>
          </w:tcPr>
          <w:p w:rsidR="00975ED3" w:rsidRPr="00975ED3" w:rsidRDefault="006B4F0C" w:rsidP="006B4F0C">
            <w:pPr>
              <w:pStyle w:val="Title"/>
            </w:pPr>
            <w:r>
              <w:t>N</w:t>
            </w:r>
            <w:r w:rsidRPr="006B4F0C">
              <w:t xml:space="preserve">ew </w:t>
            </w:r>
            <w:r>
              <w:t>&amp;</w:t>
            </w:r>
            <w:r w:rsidRPr="006B4F0C">
              <w:t xml:space="preserve"> revised activities</w:t>
            </w:r>
            <w:r>
              <w:t xml:space="preserve"> in the Victorian Energy Efficiency Target scheme</w:t>
            </w:r>
          </w:p>
        </w:tc>
      </w:tr>
      <w:tr w:rsidR="00975ED3" w:rsidTr="003F46E9">
        <w:trPr>
          <w:trHeight w:val="1247"/>
        </w:trPr>
        <w:tc>
          <w:tcPr>
            <w:tcW w:w="7761" w:type="dxa"/>
            <w:vAlign w:val="center"/>
          </w:tcPr>
          <w:p w:rsidR="00975ED3" w:rsidRDefault="006B4F0C" w:rsidP="006B4F0C">
            <w:pPr>
              <w:pStyle w:val="Subtitle"/>
            </w:pPr>
            <w:r>
              <w:t xml:space="preserve">The Department of </w:t>
            </w:r>
            <w:r w:rsidR="007F6E4D">
              <w:t xml:space="preserve">Environment, </w:t>
            </w:r>
            <w:r>
              <w:t>Land</w:t>
            </w:r>
            <w:r w:rsidR="007F6E4D">
              <w:t>,</w:t>
            </w:r>
            <w:r>
              <w:t xml:space="preserve"> Water and Planning’s response to the submissions on proposed new and revised activities </w:t>
            </w:r>
          </w:p>
        </w:tc>
      </w:tr>
    </w:tbl>
    <w:p w:rsidR="00806AB6" w:rsidRDefault="00806AB6" w:rsidP="00307C36"/>
    <w:p w:rsidR="00806AB6" w:rsidRDefault="00806AB6" w:rsidP="00806AB6">
      <w:pPr>
        <w:pStyle w:val="BodyText"/>
        <w:sectPr w:rsidR="00806AB6" w:rsidSect="00E97294">
          <w:headerReference w:type="even" r:id="rId9"/>
          <w:headerReference w:type="default" r:id="rId10"/>
          <w:footerReference w:type="even" r:id="rId11"/>
          <w:footerReference w:type="default" r:id="rId12"/>
          <w:headerReference w:type="first" r:id="rId13"/>
          <w:footerReference w:type="first" r:id="rId14"/>
          <w:pgSz w:w="11907" w:h="16840" w:code="9"/>
          <w:pgMar w:top="2211" w:right="737" w:bottom="794" w:left="851" w:header="284" w:footer="284" w:gutter="0"/>
          <w:cols w:space="284"/>
          <w:titlePg/>
          <w:docGrid w:linePitch="360"/>
        </w:sectPr>
      </w:pPr>
    </w:p>
    <w:p w:rsidR="001306D2" w:rsidRPr="00050253" w:rsidRDefault="006B4F0C" w:rsidP="001306D2">
      <w:pPr>
        <w:pStyle w:val="IntroFeatureText"/>
      </w:pPr>
      <w:r>
        <w:lastRenderedPageBreak/>
        <w:t>In 2016 the Department</w:t>
      </w:r>
      <w:r w:rsidR="00FD12A8" w:rsidRPr="00FD12A8">
        <w:t xml:space="preserve"> of Environment, Land, Water and Planning</w:t>
      </w:r>
      <w:r>
        <w:t xml:space="preserve"> </w:t>
      </w:r>
      <w:r w:rsidR="00FD12A8">
        <w:t xml:space="preserve">(the Department) </w:t>
      </w:r>
      <w:r>
        <w:t xml:space="preserve">called for submissions on new and revised </w:t>
      </w:r>
      <w:r w:rsidR="001A43BE">
        <w:t>activities</w:t>
      </w:r>
      <w:r w:rsidR="007F6E4D">
        <w:t xml:space="preserve"> for the Victorian Energy Efficiency Target (VEET) scheme</w:t>
      </w:r>
      <w:r w:rsidR="008540B6">
        <w:t>.</w:t>
      </w:r>
    </w:p>
    <w:p w:rsidR="008540B6" w:rsidRDefault="007F6E4D" w:rsidP="006B4F0C">
      <w:r>
        <w:t xml:space="preserve">This call for submissions was the first since 2012/13. </w:t>
      </w:r>
      <w:r w:rsidR="006B4F0C">
        <w:t>Twenty</w:t>
      </w:r>
      <w:r>
        <w:t>-</w:t>
      </w:r>
      <w:r w:rsidR="0053023B">
        <w:t xml:space="preserve">three </w:t>
      </w:r>
      <w:r w:rsidR="008540B6">
        <w:t xml:space="preserve">submissions were received for a broad range of potential new and revised activities. </w:t>
      </w:r>
    </w:p>
    <w:p w:rsidR="007F3132" w:rsidRDefault="007F3132" w:rsidP="006B4F0C"/>
    <w:p w:rsidR="006B4F0C" w:rsidRDefault="006B4F0C" w:rsidP="006B4F0C">
      <w:r>
        <w:t xml:space="preserve">An independent consultant was engaged to assist the Department </w:t>
      </w:r>
      <w:r w:rsidR="00C80992">
        <w:t xml:space="preserve">to </w:t>
      </w:r>
      <w:r w:rsidR="0017556F">
        <w:t xml:space="preserve">assess and </w:t>
      </w:r>
      <w:r>
        <w:t xml:space="preserve">consider </w:t>
      </w:r>
      <w:r w:rsidR="00B16AB9">
        <w:t>seventeen</w:t>
      </w:r>
      <w:r>
        <w:t xml:space="preserve"> of the submissions.</w:t>
      </w:r>
      <w:r w:rsidR="00D97CC4">
        <w:t xml:space="preserve"> </w:t>
      </w:r>
      <w:r w:rsidR="00C80992">
        <w:t xml:space="preserve">They </w:t>
      </w:r>
      <w:r w:rsidR="00D97CC4">
        <w:t>were evaluated for their</w:t>
      </w:r>
      <w:r w:rsidR="00C80992">
        <w:t xml:space="preserve"> suitability, based on</w:t>
      </w:r>
      <w:r w:rsidR="00D97CC4">
        <w:t xml:space="preserve"> energy saving potential over business as usual, behavioural factors, potential market penetration, </w:t>
      </w:r>
      <w:r w:rsidR="0097392D">
        <w:t>energy consumption</w:t>
      </w:r>
      <w:r w:rsidR="00B16AB9">
        <w:t xml:space="preserve"> in different </w:t>
      </w:r>
      <w:r w:rsidR="0097392D">
        <w:t>regions</w:t>
      </w:r>
      <w:r w:rsidR="00D97CC4">
        <w:t xml:space="preserve">, and </w:t>
      </w:r>
      <w:r w:rsidR="00C80992">
        <w:t>health and safety</w:t>
      </w:r>
      <w:r w:rsidR="00D97CC4">
        <w:t xml:space="preserve"> issues.</w:t>
      </w:r>
      <w:r>
        <w:t xml:space="preserve"> This report is available on the </w:t>
      </w:r>
      <w:r w:rsidR="004F3447">
        <w:t xml:space="preserve">Department’s </w:t>
      </w:r>
      <w:r w:rsidR="0053023B" w:rsidRPr="00FD12A8">
        <w:t>website</w:t>
      </w:r>
      <w:r w:rsidR="0053023B" w:rsidRPr="00D7038B">
        <w:rPr>
          <w:rStyle w:val="Hyperlink"/>
          <w:u w:val="none"/>
        </w:rPr>
        <w:t>:</w:t>
      </w:r>
      <w:r w:rsidR="0053023B">
        <w:rPr>
          <w:rStyle w:val="Hyperlink"/>
        </w:rPr>
        <w:t xml:space="preserve"> </w:t>
      </w:r>
      <w:hyperlink r:id="rId15" w:history="1">
        <w:r w:rsidR="0053023B">
          <w:rPr>
            <w:rStyle w:val="Hyperlink"/>
          </w:rPr>
          <w:t>http://delwp.vic.gov.au/energy/legislation/energy-saver-incentive</w:t>
        </w:r>
      </w:hyperlink>
    </w:p>
    <w:p w:rsidR="006B4F0C" w:rsidRDefault="006B4F0C" w:rsidP="006B4F0C"/>
    <w:p w:rsidR="00040FA1" w:rsidRDefault="00FD12A8" w:rsidP="006B4F0C">
      <w:r>
        <w:t xml:space="preserve">Six </w:t>
      </w:r>
      <w:r w:rsidR="006B4F0C">
        <w:t>submissions</w:t>
      </w:r>
      <w:r w:rsidR="00C80992">
        <w:t xml:space="preserve"> were analysed internally by the Department where there was sufficient technical data available and specialist advice was not required. </w:t>
      </w:r>
    </w:p>
    <w:p w:rsidR="007F3132" w:rsidRDefault="007F3132" w:rsidP="007F3132">
      <w:r>
        <w:t xml:space="preserve">Overall, it was noted that many of the </w:t>
      </w:r>
      <w:r w:rsidR="00AE0CB1">
        <w:t xml:space="preserve">submissions </w:t>
      </w:r>
      <w:r>
        <w:t xml:space="preserve">were incomplete </w:t>
      </w:r>
      <w:r w:rsidR="005A1130">
        <w:t>or could not</w:t>
      </w:r>
      <w:r>
        <w:t xml:space="preserve"> provide the information required </w:t>
      </w:r>
      <w:r w:rsidR="005A1130">
        <w:t>to</w:t>
      </w:r>
      <w:r>
        <w:t xml:space="preserve"> </w:t>
      </w:r>
      <w:r w:rsidR="004849DA">
        <w:t xml:space="preserve">assess their suitability to </w:t>
      </w:r>
      <w:r>
        <w:t>develop a new</w:t>
      </w:r>
      <w:r w:rsidR="005A1130">
        <w:t xml:space="preserve"> deemed</w:t>
      </w:r>
      <w:r>
        <w:t xml:space="preserve"> method. </w:t>
      </w:r>
      <w:r w:rsidR="00BB5175">
        <w:t xml:space="preserve">Stakeholders faced challenges and barriers to collecting the level of data required to </w:t>
      </w:r>
      <w:r w:rsidR="007B3BBA">
        <w:t>properly assess a potential new activity for inclusion in the scheme</w:t>
      </w:r>
      <w:r w:rsidR="00BB5175">
        <w:t xml:space="preserve">. </w:t>
      </w:r>
      <w:r>
        <w:t>The Department will continue to consider options for an improved process for developing new and revised methods.</w:t>
      </w:r>
    </w:p>
    <w:p w:rsidR="00D7038B" w:rsidRDefault="00D7038B" w:rsidP="007F3132"/>
    <w:p w:rsidR="00D7038B" w:rsidRDefault="00D7038B" w:rsidP="007F3132">
      <w:r>
        <w:t>The Department’s response to each submission is outlined below</w:t>
      </w:r>
      <w:r w:rsidR="00D3356C">
        <w:t>.</w:t>
      </w:r>
    </w:p>
    <w:p w:rsidR="008540B6" w:rsidRDefault="008540B6" w:rsidP="008540B6">
      <w:pPr>
        <w:pStyle w:val="Heading1"/>
      </w:pPr>
      <w:bookmarkStart w:id="1" w:name="_Toc460924660"/>
      <w:r>
        <w:lastRenderedPageBreak/>
        <w:t>Technical consultant</w:t>
      </w:r>
      <w:r w:rsidR="00D3356C">
        <w:t xml:space="preserve"> reviewed submissions</w:t>
      </w:r>
    </w:p>
    <w:p w:rsidR="00483A34" w:rsidRPr="00483A34" w:rsidRDefault="00483A34" w:rsidP="00483A34">
      <w:pPr>
        <w:pStyle w:val="BodyText"/>
        <w:rPr>
          <w:lang w:eastAsia="en-AU"/>
        </w:rPr>
      </w:pPr>
      <w:r>
        <w:rPr>
          <w:lang w:eastAsia="en-AU"/>
        </w:rPr>
        <w:t xml:space="preserve">The Department engaged Pitt and Sherry to provide technical advice on </w:t>
      </w:r>
      <w:r w:rsidR="009A4345">
        <w:rPr>
          <w:lang w:eastAsia="en-AU"/>
        </w:rPr>
        <w:t>seventeen</w:t>
      </w:r>
      <w:r>
        <w:rPr>
          <w:lang w:eastAsia="en-AU"/>
        </w:rPr>
        <w:t xml:space="preserve"> of the submissions. The Department has reviewed this technical advice and our response to the </w:t>
      </w:r>
      <w:r w:rsidR="001A64F5">
        <w:rPr>
          <w:lang w:eastAsia="en-AU"/>
        </w:rPr>
        <w:t>report’s</w:t>
      </w:r>
      <w:r>
        <w:rPr>
          <w:lang w:eastAsia="en-AU"/>
        </w:rPr>
        <w:t xml:space="preserve"> recommendations for each of the submissions is listed below.</w:t>
      </w:r>
      <w:r w:rsidR="005B7630">
        <w:rPr>
          <w:lang w:eastAsia="en-AU"/>
        </w:rPr>
        <w:t xml:space="preserve"> </w:t>
      </w:r>
    </w:p>
    <w:p w:rsidR="006B4F0C" w:rsidRDefault="006B4F0C" w:rsidP="001319A5">
      <w:pPr>
        <w:pStyle w:val="Heading2"/>
        <w:numPr>
          <w:ilvl w:val="1"/>
          <w:numId w:val="7"/>
        </w:numPr>
      </w:pPr>
      <w:r>
        <w:t>Low flow tap conversion</w:t>
      </w:r>
    </w:p>
    <w:p w:rsidR="006B4F0C" w:rsidRPr="00734EDD" w:rsidRDefault="004E7A5A" w:rsidP="006B4F0C">
      <w:r>
        <w:t xml:space="preserve">The activity proposed was the </w:t>
      </w:r>
      <w:r w:rsidRPr="004E7A5A">
        <w:t>installation of internal flow restrictors in water taps, with the intention of saving energy as</w:t>
      </w:r>
      <w:r>
        <w:t>sociated with</w:t>
      </w:r>
      <w:r w:rsidRPr="004E7A5A">
        <w:t xml:space="preserve"> hot water heating</w:t>
      </w:r>
      <w:r>
        <w:t>.</w:t>
      </w:r>
      <w:r w:rsidRPr="004E7A5A">
        <w:t xml:space="preserve"> </w:t>
      </w:r>
      <w:r w:rsidR="006B4F0C">
        <w:t>The Department supports the consultant’s recommendation and will not proceed with a deemed activity at this time.</w:t>
      </w:r>
      <w:r w:rsidR="009A28A2">
        <w:t xml:space="preserve"> The </w:t>
      </w:r>
      <w:r w:rsidR="00BB5175">
        <w:t xml:space="preserve">level of </w:t>
      </w:r>
      <w:r w:rsidR="009A28A2">
        <w:t xml:space="preserve">energy savings </w:t>
      </w:r>
      <w:r w:rsidR="00BB5175">
        <w:t>per household would</w:t>
      </w:r>
      <w:r w:rsidR="007B3BBA">
        <w:t xml:space="preserve"> be unlikely to</w:t>
      </w:r>
      <w:r w:rsidR="00BB5175">
        <w:t xml:space="preserve"> result in </w:t>
      </w:r>
      <w:r w:rsidR="007B3BBA">
        <w:t>sufficient Victorian Energy Efficiency Certificates</w:t>
      </w:r>
      <w:r w:rsidR="00BB5175">
        <w:t xml:space="preserve"> </w:t>
      </w:r>
      <w:r w:rsidR="007B3BBA">
        <w:t>(</w:t>
      </w:r>
      <w:r w:rsidR="00BB5175">
        <w:t>VEECs</w:t>
      </w:r>
      <w:r w:rsidR="007B3BBA">
        <w:t>)</w:t>
      </w:r>
      <w:r w:rsidR="00BB5175">
        <w:t xml:space="preserve"> per premises to drive </w:t>
      </w:r>
      <w:r w:rsidR="007B3BBA">
        <w:t>uptake</w:t>
      </w:r>
      <w:r w:rsidR="00BB5175">
        <w:t xml:space="preserve">. </w:t>
      </w:r>
    </w:p>
    <w:p w:rsidR="006B4F0C" w:rsidRDefault="006B4F0C" w:rsidP="001319A5">
      <w:pPr>
        <w:pStyle w:val="Heading2"/>
        <w:numPr>
          <w:ilvl w:val="1"/>
          <w:numId w:val="7"/>
        </w:numPr>
      </w:pPr>
      <w:r>
        <w:t>Reflective roof paint</w:t>
      </w:r>
    </w:p>
    <w:p w:rsidR="008540B6" w:rsidRDefault="004E7A5A" w:rsidP="006B4F0C">
      <w:r>
        <w:t>The activity proposed was the application of</w:t>
      </w:r>
      <w:r w:rsidRPr="004E7A5A">
        <w:t xml:space="preserve"> </w:t>
      </w:r>
      <w:r>
        <w:t xml:space="preserve">reflective roof paint </w:t>
      </w:r>
      <w:r w:rsidRPr="004E7A5A">
        <w:t>to a pre-existing roof surface</w:t>
      </w:r>
      <w:r>
        <w:t xml:space="preserve"> to reduce thermal heat gain</w:t>
      </w:r>
      <w:r w:rsidR="007B3BBA">
        <w:t xml:space="preserve"> and save cooling energy</w:t>
      </w:r>
      <w:r>
        <w:t>.</w:t>
      </w:r>
      <w:r w:rsidRPr="004E7A5A">
        <w:t xml:space="preserve"> </w:t>
      </w:r>
      <w:r w:rsidR="006B4F0C">
        <w:t xml:space="preserve">The Department supports the consultant’s recommendation that this proposal </w:t>
      </w:r>
      <w:r w:rsidR="009A28A2">
        <w:t>is</w:t>
      </w:r>
      <w:r w:rsidR="00243A09">
        <w:t xml:space="preserve"> not suitable to</w:t>
      </w:r>
      <w:r w:rsidR="009A28A2">
        <w:t xml:space="preserve"> </w:t>
      </w:r>
      <w:r w:rsidR="006B4F0C">
        <w:t xml:space="preserve">be implemented via deemed </w:t>
      </w:r>
      <w:r w:rsidR="007B3BBA">
        <w:t>factors</w:t>
      </w:r>
      <w:r w:rsidR="000B2AE8">
        <w:t>.</w:t>
      </w:r>
      <w:r w:rsidR="006B4F0C">
        <w:t xml:space="preserve"> </w:t>
      </w:r>
      <w:r w:rsidR="007B3BBA">
        <w:t xml:space="preserve">Of particular note is the potential to increase energy consumption in cooler climate zones. </w:t>
      </w:r>
      <w:r w:rsidR="000B2AE8">
        <w:t>This activity could be implem</w:t>
      </w:r>
      <w:r w:rsidR="001A64F5">
        <w:t>ente</w:t>
      </w:r>
      <w:r w:rsidR="000B2AE8">
        <w:t xml:space="preserve">d under VEET </w:t>
      </w:r>
      <w:r w:rsidR="006B4F0C">
        <w:t>using one of the project</w:t>
      </w:r>
      <w:r w:rsidR="007B3BBA">
        <w:t>-</w:t>
      </w:r>
      <w:r w:rsidR="006B4F0C">
        <w:t xml:space="preserve">based activities </w:t>
      </w:r>
      <w:r w:rsidR="00D3356C">
        <w:t xml:space="preserve">(PBAs) </w:t>
      </w:r>
      <w:r w:rsidR="006B4F0C">
        <w:t xml:space="preserve">currently being </w:t>
      </w:r>
      <w:r w:rsidR="003E057E">
        <w:t>developed</w:t>
      </w:r>
      <w:r w:rsidR="003E057E">
        <w:t xml:space="preserve"> </w:t>
      </w:r>
      <w:r w:rsidR="006B4F0C">
        <w:t xml:space="preserve">by the Department. </w:t>
      </w:r>
    </w:p>
    <w:p w:rsidR="006B4F0C" w:rsidRDefault="006B4F0C" w:rsidP="008540B6">
      <w:pPr>
        <w:pStyle w:val="Heading2"/>
      </w:pPr>
      <w:r>
        <w:t>Thermostatic shower valve</w:t>
      </w:r>
    </w:p>
    <w:p w:rsidR="006B4F0C" w:rsidRPr="00734EDD" w:rsidRDefault="004E7A5A" w:rsidP="006B4F0C">
      <w:r>
        <w:t>The activity proposed</w:t>
      </w:r>
      <w:r w:rsidRPr="004E7A5A">
        <w:t xml:space="preserve"> </w:t>
      </w:r>
      <w:r w:rsidR="004244DD">
        <w:t>was</w:t>
      </w:r>
      <w:r w:rsidR="004244DD" w:rsidRPr="004E7A5A">
        <w:t xml:space="preserve"> </w:t>
      </w:r>
      <w:r w:rsidRPr="004E7A5A">
        <w:t>the installation of a thermostatic water shut-off valve between the shower arm and the shower head</w:t>
      </w:r>
      <w:r w:rsidR="006C0C16">
        <w:t xml:space="preserve"> to pre</w:t>
      </w:r>
      <w:r w:rsidR="00DE0C58">
        <w:t xml:space="preserve">vent the waste of hot water and </w:t>
      </w:r>
      <w:r w:rsidR="006C0C16">
        <w:t>energy</w:t>
      </w:r>
      <w:r w:rsidR="007B3BBA">
        <w:t xml:space="preserve"> while the shower is reaching the correct temperature</w:t>
      </w:r>
      <w:r w:rsidR="006C0C16">
        <w:t xml:space="preserve">. </w:t>
      </w:r>
      <w:r w:rsidR="006B4F0C">
        <w:t>The Department supports the consultant’s recommendation and will not proceed with a deemed activity at this time.</w:t>
      </w:r>
      <w:r w:rsidR="009D77FC">
        <w:t xml:space="preserve"> </w:t>
      </w:r>
      <w:r w:rsidR="0060447A">
        <w:t xml:space="preserve">Energy savings are highly dependent on user behaviour, and there is </w:t>
      </w:r>
      <w:r w:rsidR="0060447A">
        <w:lastRenderedPageBreak/>
        <w:t>insufficient local data</w:t>
      </w:r>
      <w:r w:rsidR="007B3BBA">
        <w:t xml:space="preserve"> with which</w:t>
      </w:r>
      <w:r w:rsidR="0060447A">
        <w:t xml:space="preserve"> to develop a deemed method. </w:t>
      </w:r>
    </w:p>
    <w:p w:rsidR="006B4F0C" w:rsidRDefault="006B4F0C" w:rsidP="008540B6">
      <w:pPr>
        <w:pStyle w:val="Heading2"/>
      </w:pPr>
      <w:r>
        <w:t>LED lighting with extra functions</w:t>
      </w:r>
    </w:p>
    <w:p w:rsidR="006B4F0C" w:rsidRPr="00734EDD" w:rsidRDefault="00433402" w:rsidP="006B4F0C">
      <w:r>
        <w:t xml:space="preserve">The activity proposed </w:t>
      </w:r>
      <w:r w:rsidR="004244DD">
        <w:t xml:space="preserve">was </w:t>
      </w:r>
      <w:r w:rsidRPr="00433402">
        <w:t xml:space="preserve">LED down lights that incorporate additional devices </w:t>
      </w:r>
      <w:r>
        <w:t xml:space="preserve">(e.g. Bluetooth speakers) </w:t>
      </w:r>
      <w:r w:rsidRPr="00433402">
        <w:t>within the light housings</w:t>
      </w:r>
      <w:r>
        <w:t xml:space="preserve"> that can </w:t>
      </w:r>
      <w:r w:rsidR="000A3EAB">
        <w:t xml:space="preserve">manage the </w:t>
      </w:r>
      <w:r>
        <w:t xml:space="preserve">energy consumption of other appliances. </w:t>
      </w:r>
      <w:r w:rsidR="006B4F0C">
        <w:t>The Department supports the consultant’s recommendation and will not proceed with a deemed activity at this time.</w:t>
      </w:r>
      <w:r w:rsidR="0060447A">
        <w:t xml:space="preserve"> There is </w:t>
      </w:r>
      <w:r w:rsidR="0060447A" w:rsidRPr="0060447A">
        <w:t>a high level of variability and insufficient data to quantify non-lighting energy savings with sufficient confidence to create a new method for this activity</w:t>
      </w:r>
      <w:r w:rsidR="0060447A">
        <w:t>.</w:t>
      </w:r>
    </w:p>
    <w:p w:rsidR="006B4F0C" w:rsidRDefault="006B4F0C" w:rsidP="008540B6">
      <w:pPr>
        <w:pStyle w:val="Heading2"/>
      </w:pPr>
      <w:r>
        <w:t>Power factor correction</w:t>
      </w:r>
    </w:p>
    <w:p w:rsidR="00E9361D" w:rsidRDefault="00ED7702" w:rsidP="006B4F0C">
      <w:r>
        <w:t>The activity proposed was power factor correction</w:t>
      </w:r>
      <w:r w:rsidR="009874BF">
        <w:t xml:space="preserve"> which has multiple benefits including </w:t>
      </w:r>
      <w:r w:rsidR="004244DD">
        <w:t>reducing</w:t>
      </w:r>
      <w:r w:rsidR="009874BF">
        <w:t xml:space="preserve"> energy transmission system losses</w:t>
      </w:r>
      <w:r w:rsidR="004244DD">
        <w:t xml:space="preserve"> and maximum demand</w:t>
      </w:r>
      <w:r w:rsidR="009874BF">
        <w:t xml:space="preserve">. </w:t>
      </w:r>
      <w:r w:rsidR="006B4F0C" w:rsidRPr="00CD29E4">
        <w:t xml:space="preserve">The Department supports the consultant’s recommendation that </w:t>
      </w:r>
      <w:r w:rsidR="004244DD">
        <w:t xml:space="preserve">baseline </w:t>
      </w:r>
      <w:r w:rsidR="007944CB">
        <w:t xml:space="preserve">uptake of </w:t>
      </w:r>
      <w:r w:rsidR="006B4F0C" w:rsidRPr="00CD29E4">
        <w:t xml:space="preserve">this </w:t>
      </w:r>
      <w:r w:rsidR="007944CB">
        <w:t xml:space="preserve">activity be monitored to assess the impact of </w:t>
      </w:r>
      <w:r w:rsidR="001A64F5">
        <w:t>tariff</w:t>
      </w:r>
      <w:r w:rsidR="007944CB">
        <w:t xml:space="preserve"> changes</w:t>
      </w:r>
      <w:r w:rsidR="00B03ABA">
        <w:t>.</w:t>
      </w:r>
      <w:r w:rsidR="00805592">
        <w:t xml:space="preserve"> </w:t>
      </w:r>
      <w:r w:rsidR="00B03ABA">
        <w:t>I</w:t>
      </w:r>
      <w:r w:rsidR="00805592">
        <w:t>ncreasing the number of businesses with kVA charges</w:t>
      </w:r>
      <w:r w:rsidR="007944CB">
        <w:t xml:space="preserve"> may </w:t>
      </w:r>
      <w:r w:rsidR="0090234E">
        <w:t xml:space="preserve">result in </w:t>
      </w:r>
      <w:r w:rsidR="007944CB">
        <w:t>increased activity without a VEET incentive.</w:t>
      </w:r>
      <w:r w:rsidR="007944CB" w:rsidRPr="00CD29E4">
        <w:t xml:space="preserve"> </w:t>
      </w:r>
    </w:p>
    <w:p w:rsidR="00E9361D" w:rsidRDefault="00E9361D" w:rsidP="006B4F0C"/>
    <w:p w:rsidR="008540B6" w:rsidRDefault="00E9361D" w:rsidP="006B4F0C">
      <w:r>
        <w:t>The Department will reconsider this activity</w:t>
      </w:r>
      <w:r w:rsidR="00AE0CB1">
        <w:t xml:space="preserve"> </w:t>
      </w:r>
      <w:r w:rsidR="00BB5175">
        <w:t>once</w:t>
      </w:r>
      <w:r>
        <w:t xml:space="preserve"> </w:t>
      </w:r>
      <w:r w:rsidR="001A64F5">
        <w:t>tariff</w:t>
      </w:r>
      <w:r>
        <w:t xml:space="preserve"> changes</w:t>
      </w:r>
      <w:r w:rsidR="00BB5175">
        <w:t xml:space="preserve"> have been in place for a period</w:t>
      </w:r>
      <w:r>
        <w:t xml:space="preserve">. </w:t>
      </w:r>
      <w:r w:rsidR="0090234E">
        <w:t>In future</w:t>
      </w:r>
      <w:r>
        <w:t xml:space="preserve"> this activity </w:t>
      </w:r>
      <w:r w:rsidR="006B4F0C" w:rsidRPr="00CD29E4">
        <w:t xml:space="preserve">could be implemented </w:t>
      </w:r>
      <w:r>
        <w:t>as a</w:t>
      </w:r>
      <w:r w:rsidR="006B4F0C" w:rsidRPr="00CD29E4">
        <w:t xml:space="preserve"> deemed activity or by using one of the project based activities currently being </w:t>
      </w:r>
      <w:r w:rsidR="003E057E">
        <w:t>developed</w:t>
      </w:r>
      <w:r w:rsidR="003E057E" w:rsidRPr="00CD29E4">
        <w:t xml:space="preserve"> </w:t>
      </w:r>
      <w:r w:rsidR="006B4F0C" w:rsidRPr="00CD29E4">
        <w:t>by the Department.</w:t>
      </w:r>
    </w:p>
    <w:p w:rsidR="006B4F0C" w:rsidRDefault="006B4F0C" w:rsidP="008540B6">
      <w:pPr>
        <w:pStyle w:val="Heading2"/>
      </w:pPr>
      <w:r>
        <w:t>Voltage optimisation</w:t>
      </w:r>
    </w:p>
    <w:p w:rsidR="006B4F0C" w:rsidRPr="00734EDD" w:rsidRDefault="00D23F86" w:rsidP="006B4F0C">
      <w:r>
        <w:t>The activity proposed was voltage optimisation to improve</w:t>
      </w:r>
      <w:r w:rsidRPr="00D23F86">
        <w:t xml:space="preserve"> the efficiency of electrical equipment</w:t>
      </w:r>
      <w:r>
        <w:t xml:space="preserve"> </w:t>
      </w:r>
      <w:r w:rsidR="00B612A3" w:rsidRPr="00B612A3">
        <w:t>when the supply voltage is higher or lower than the equipment's design voltage</w:t>
      </w:r>
      <w:r>
        <w:t xml:space="preserve">. </w:t>
      </w:r>
      <w:r w:rsidR="006B4F0C">
        <w:t>The Department supports the consultant’s recommendations</w:t>
      </w:r>
      <w:r w:rsidR="00CC1B83">
        <w:t xml:space="preserve"> that there is insufficient data to </w:t>
      </w:r>
      <w:r w:rsidR="006B4F0C">
        <w:t>implement</w:t>
      </w:r>
      <w:r w:rsidR="00CC1B83">
        <w:t xml:space="preserve"> voltage optimisation</w:t>
      </w:r>
      <w:r w:rsidR="006B4F0C">
        <w:t xml:space="preserve"> via a deemed activity</w:t>
      </w:r>
      <w:r w:rsidR="00CC1B83">
        <w:t xml:space="preserve"> method.</w:t>
      </w:r>
      <w:r w:rsidR="006B4F0C">
        <w:t xml:space="preserve"> </w:t>
      </w:r>
      <w:r w:rsidR="00CC1B83">
        <w:t xml:space="preserve">This activity however could be implemented </w:t>
      </w:r>
      <w:r w:rsidR="006B4F0C">
        <w:t xml:space="preserve">using one of the </w:t>
      </w:r>
      <w:r w:rsidR="000B2AE8">
        <w:t>PBA method</w:t>
      </w:r>
      <w:r w:rsidR="00805592">
        <w:t>s</w:t>
      </w:r>
      <w:r w:rsidR="006B4F0C">
        <w:t xml:space="preserve"> currently being </w:t>
      </w:r>
      <w:r w:rsidR="003E057E">
        <w:t>developed</w:t>
      </w:r>
      <w:r w:rsidR="003E057E">
        <w:t xml:space="preserve"> </w:t>
      </w:r>
      <w:r w:rsidR="006B4F0C">
        <w:t xml:space="preserve">by the Department. </w:t>
      </w:r>
    </w:p>
    <w:p w:rsidR="006B4F0C" w:rsidRDefault="006B4F0C" w:rsidP="008540B6">
      <w:pPr>
        <w:pStyle w:val="Heading2"/>
      </w:pPr>
      <w:r>
        <w:t>Solar PV to hot water diverter</w:t>
      </w:r>
    </w:p>
    <w:p w:rsidR="006B4F0C" w:rsidRPr="00734EDD" w:rsidRDefault="00B612A3" w:rsidP="006B4F0C">
      <w:r>
        <w:t>The activity proposed</w:t>
      </w:r>
      <w:r w:rsidRPr="004E7A5A">
        <w:t xml:space="preserve"> </w:t>
      </w:r>
      <w:r w:rsidR="007860A6">
        <w:t xml:space="preserve">was </w:t>
      </w:r>
      <w:r w:rsidRPr="00B612A3">
        <w:t>the installation of an electronic control device intended to divert electricity g</w:t>
      </w:r>
      <w:r>
        <w:t>enerated by a residential photo</w:t>
      </w:r>
      <w:r w:rsidRPr="00B612A3">
        <w:t>voltaic (PV) solar system to an electric resistance hot water heater</w:t>
      </w:r>
      <w:r>
        <w:t xml:space="preserve">. </w:t>
      </w:r>
      <w:r w:rsidR="006B4F0C">
        <w:t>The Department supports the consultant’s recommendation and will not proceed with a deemed activity at this time.</w:t>
      </w:r>
      <w:r w:rsidR="000B2AE8" w:rsidRPr="000B2AE8">
        <w:t xml:space="preserve"> </w:t>
      </w:r>
      <w:r w:rsidR="000B2AE8">
        <w:t>T</w:t>
      </w:r>
      <w:r w:rsidR="000B2AE8" w:rsidRPr="000B2AE8">
        <w:t>here is insufficient data to determine if the activity would result in additional greenhouse gas savings</w:t>
      </w:r>
      <w:r w:rsidR="000B2AE8">
        <w:t>.</w:t>
      </w:r>
      <w:r w:rsidR="007860A6">
        <w:t xml:space="preserve"> Further, there may be safety and compliance issues </w:t>
      </w:r>
      <w:r w:rsidR="002F1040">
        <w:t>that would need to be overcome before such an activity could be included in the scheme.</w:t>
      </w:r>
    </w:p>
    <w:p w:rsidR="006B4F0C" w:rsidRDefault="006B4F0C" w:rsidP="008540B6">
      <w:pPr>
        <w:pStyle w:val="Heading2"/>
      </w:pPr>
      <w:r>
        <w:lastRenderedPageBreak/>
        <w:t>Placebo air conditioner remote</w:t>
      </w:r>
    </w:p>
    <w:p w:rsidR="006B4F0C" w:rsidRPr="00734EDD" w:rsidRDefault="00B612A3" w:rsidP="006B4F0C">
      <w:r>
        <w:t>The activity proposed</w:t>
      </w:r>
      <w:r w:rsidR="005B7630">
        <w:t xml:space="preserve"> </w:t>
      </w:r>
      <w:r w:rsidR="002F1040">
        <w:t xml:space="preserve">was to </w:t>
      </w:r>
      <w:r w:rsidRPr="00B612A3">
        <w:t xml:space="preserve">replace remote controllers for reverse-cycle air conditioning (RCAC) </w:t>
      </w:r>
      <w:r w:rsidR="002F1040">
        <w:t xml:space="preserve">with units that </w:t>
      </w:r>
      <w:r>
        <w:t>limit the user</w:t>
      </w:r>
      <w:r w:rsidR="002F1040">
        <w:t>’</w:t>
      </w:r>
      <w:r>
        <w:t>s ability to set the temperature beyond a predefined thermal comfort band (e.g. 21-24</w:t>
      </w:r>
      <w:r w:rsidR="00805592">
        <w:rPr>
          <w:rFonts w:cstheme="minorHAnsi"/>
        </w:rPr>
        <w:t>°</w:t>
      </w:r>
      <w:r w:rsidR="00805592">
        <w:t>C</w:t>
      </w:r>
      <w:r>
        <w:t>).</w:t>
      </w:r>
      <w:r w:rsidRPr="00B612A3">
        <w:t xml:space="preserve"> </w:t>
      </w:r>
      <w:r w:rsidR="006B4F0C">
        <w:t>The Department supports the consultant’s recommendation, and will not proceed with a deemed activity at this time.</w:t>
      </w:r>
      <w:r w:rsidR="007D59EE">
        <w:t xml:space="preserve"> </w:t>
      </w:r>
      <w:r w:rsidR="007D59EE" w:rsidRPr="007D59EE">
        <w:t>There is insufficient data available to support the required estimate of the energy savings that may result from the activities</w:t>
      </w:r>
      <w:r w:rsidR="007D59EE">
        <w:t>.</w:t>
      </w:r>
    </w:p>
    <w:p w:rsidR="006B4F0C" w:rsidRDefault="006B4F0C" w:rsidP="008540B6">
      <w:pPr>
        <w:pStyle w:val="Heading2"/>
      </w:pPr>
      <w:r>
        <w:t>Passive occupancy sensor for air conditioners</w:t>
      </w:r>
    </w:p>
    <w:p w:rsidR="007D59EE" w:rsidRPr="00734EDD" w:rsidRDefault="00B612A3" w:rsidP="007D59EE">
      <w:r>
        <w:t>The activity proposed</w:t>
      </w:r>
      <w:r w:rsidR="005B7630">
        <w:t xml:space="preserve"> </w:t>
      </w:r>
      <w:r w:rsidR="002F1040">
        <w:t>was to retrofit</w:t>
      </w:r>
      <w:r w:rsidRPr="00B612A3">
        <w:t xml:space="preserve"> a</w:t>
      </w:r>
      <w:r w:rsidR="002F1040">
        <w:t>n</w:t>
      </w:r>
      <w:r w:rsidRPr="00B612A3">
        <w:t xml:space="preserve"> occupancy sensor controller to limit RCAC running times to when </w:t>
      </w:r>
      <w:r w:rsidR="002F1040">
        <w:t>a</w:t>
      </w:r>
      <w:r w:rsidR="002F1040" w:rsidRPr="00B612A3">
        <w:t xml:space="preserve"> </w:t>
      </w:r>
      <w:r w:rsidRPr="00B612A3">
        <w:t xml:space="preserve">space is </w:t>
      </w:r>
      <w:r w:rsidR="00F708A9" w:rsidRPr="00B612A3">
        <w:t xml:space="preserve">occupied. </w:t>
      </w:r>
      <w:r w:rsidR="007D59EE">
        <w:t xml:space="preserve">The Department supports the consultant’s recommendation, and will not proceed with a deemed activity at this time. </w:t>
      </w:r>
      <w:r w:rsidR="007D59EE" w:rsidRPr="007D59EE">
        <w:t>There is insufficient data available to support the required estimate of the energy savings that may result from the activities</w:t>
      </w:r>
      <w:r w:rsidR="007D59EE">
        <w:t>.</w:t>
      </w:r>
      <w:r w:rsidR="00805592" w:rsidRPr="00805592">
        <w:t xml:space="preserve"> </w:t>
      </w:r>
      <w:r w:rsidR="00805592">
        <w:t xml:space="preserve">This activity however could be implemented using one of the PBA methods currently being </w:t>
      </w:r>
      <w:r w:rsidR="003E057E">
        <w:t>developed</w:t>
      </w:r>
      <w:r w:rsidR="003E057E">
        <w:t xml:space="preserve"> </w:t>
      </w:r>
      <w:r w:rsidR="00805592">
        <w:t>by the Department.</w:t>
      </w:r>
    </w:p>
    <w:p w:rsidR="006B4F0C" w:rsidRDefault="009656E1" w:rsidP="008540B6">
      <w:pPr>
        <w:pStyle w:val="Heading2"/>
      </w:pPr>
      <w:r>
        <w:t>Revise</w:t>
      </w:r>
      <w:r w:rsidR="006B4F0C">
        <w:t xml:space="preserve"> </w:t>
      </w:r>
      <w:r w:rsidR="003E057E">
        <w:t>i</w:t>
      </w:r>
      <w:r w:rsidR="003E057E">
        <w:t xml:space="preserve">n </w:t>
      </w:r>
      <w:r w:rsidR="003E057E">
        <w:t>h</w:t>
      </w:r>
      <w:r w:rsidR="003E057E">
        <w:t xml:space="preserve">ome </w:t>
      </w:r>
      <w:r w:rsidR="003E057E">
        <w:t>d</w:t>
      </w:r>
      <w:r w:rsidR="003E057E">
        <w:t xml:space="preserve">isplay </w:t>
      </w:r>
      <w:r w:rsidR="006B4F0C">
        <w:t>abatement factors</w:t>
      </w:r>
    </w:p>
    <w:p w:rsidR="006B4F0C" w:rsidRPr="00734EDD" w:rsidRDefault="00B612A3" w:rsidP="006B4F0C">
      <w:r>
        <w:t xml:space="preserve">The </w:t>
      </w:r>
      <w:r w:rsidRPr="00B612A3">
        <w:t>submission propose</w:t>
      </w:r>
      <w:r w:rsidR="002F1040">
        <w:t>d</w:t>
      </w:r>
      <w:r w:rsidRPr="00B612A3">
        <w:t xml:space="preserve"> an amendment to the abatement level for the existing VEET activity of installing an In Home Display (IHD), to increase the estimated savings from 6.6% to 9.0%</w:t>
      </w:r>
      <w:r w:rsidR="006E0F74">
        <w:t>.</w:t>
      </w:r>
      <w:r>
        <w:t xml:space="preserve"> </w:t>
      </w:r>
      <w:r w:rsidR="006B4F0C">
        <w:t>The Department supports the consultant’s recommendations</w:t>
      </w:r>
      <w:r w:rsidR="007D59EE">
        <w:t xml:space="preserve"> that there is i</w:t>
      </w:r>
      <w:r w:rsidR="007D59EE" w:rsidRPr="007D59EE">
        <w:t>nsufficient data available to support change</w:t>
      </w:r>
      <w:r w:rsidR="007D59EE">
        <w:t xml:space="preserve">. More recent </w:t>
      </w:r>
      <w:r w:rsidR="007D59EE" w:rsidRPr="007D59EE">
        <w:t>local studies on the effect of IHDs would be needed</w:t>
      </w:r>
      <w:r w:rsidR="00445E14">
        <w:t>.</w:t>
      </w:r>
    </w:p>
    <w:p w:rsidR="006B4F0C" w:rsidRDefault="006B4F0C" w:rsidP="008540B6">
      <w:pPr>
        <w:pStyle w:val="Heading2"/>
      </w:pPr>
      <w:r>
        <w:t xml:space="preserve">Home </w:t>
      </w:r>
      <w:r w:rsidR="003E057E">
        <w:t>e</w:t>
      </w:r>
      <w:r w:rsidR="003E057E">
        <w:t xml:space="preserve">nergy </w:t>
      </w:r>
      <w:r>
        <w:t>gateway device</w:t>
      </w:r>
    </w:p>
    <w:p w:rsidR="008540B6" w:rsidRDefault="006E0F74" w:rsidP="00445E14">
      <w:r w:rsidRPr="006E0F74">
        <w:t xml:space="preserve">The </w:t>
      </w:r>
      <w:r>
        <w:t>proposed activity</w:t>
      </w:r>
      <w:r w:rsidRPr="006E0F74">
        <w:t xml:space="preserve"> </w:t>
      </w:r>
      <w:r>
        <w:t>was</w:t>
      </w:r>
      <w:r w:rsidRPr="006E0F74">
        <w:t xml:space="preserve"> a sophisticated IHD with the implied capacity to communicate with household appliances</w:t>
      </w:r>
      <w:r>
        <w:t xml:space="preserve">. </w:t>
      </w:r>
      <w:r w:rsidR="006B4F0C" w:rsidRPr="001A64F5">
        <w:t>The Department supports the consultant’s recommendations that t</w:t>
      </w:r>
      <w:r w:rsidR="00445E14" w:rsidRPr="001A64F5">
        <w:t xml:space="preserve">here is </w:t>
      </w:r>
      <w:r w:rsidR="00445E14">
        <w:t>i</w:t>
      </w:r>
      <w:r w:rsidR="00445E14" w:rsidRPr="00445E14">
        <w:t>nsufficient data available to support change</w:t>
      </w:r>
      <w:r w:rsidR="00445E14">
        <w:t xml:space="preserve">. More recent </w:t>
      </w:r>
      <w:r w:rsidR="00445E14" w:rsidRPr="007D59EE">
        <w:t xml:space="preserve">local studies on the effect </w:t>
      </w:r>
      <w:r w:rsidR="00445E14">
        <w:t>of the proposed activity would be needed to substantiate a change.</w:t>
      </w:r>
      <w:r w:rsidR="006B4F0C">
        <w:t xml:space="preserve"> </w:t>
      </w:r>
    </w:p>
    <w:p w:rsidR="008540B6" w:rsidRDefault="008540B6" w:rsidP="006B4F0C"/>
    <w:p w:rsidR="006B4F0C" w:rsidRPr="00734EDD" w:rsidRDefault="00445E14" w:rsidP="00445E14">
      <w:r>
        <w:t xml:space="preserve">This proposed activity could </w:t>
      </w:r>
      <w:r w:rsidR="00D56F80">
        <w:t>potentially</w:t>
      </w:r>
      <w:r>
        <w:t xml:space="preserve"> be </w:t>
      </w:r>
      <w:r w:rsidR="001A64F5">
        <w:t>undertaken</w:t>
      </w:r>
      <w:r>
        <w:t xml:space="preserve"> at a later date when </w:t>
      </w:r>
      <w:r w:rsidR="0009350F">
        <w:t xml:space="preserve">the </w:t>
      </w:r>
      <w:r w:rsidR="002F1040">
        <w:t>T</w:t>
      </w:r>
      <w:r w:rsidR="0009350F">
        <w:t xml:space="preserve">reatment and </w:t>
      </w:r>
      <w:r w:rsidR="002F1040">
        <w:t>C</w:t>
      </w:r>
      <w:r w:rsidR="0009350F">
        <w:t xml:space="preserve">ontrol </w:t>
      </w:r>
      <w:r>
        <w:t>PBA</w:t>
      </w:r>
      <w:r w:rsidR="0009350F">
        <w:t xml:space="preserve"> </w:t>
      </w:r>
      <w:r>
        <w:t xml:space="preserve">method </w:t>
      </w:r>
      <w:r w:rsidR="0009350F">
        <w:t xml:space="preserve">has </w:t>
      </w:r>
      <w:r w:rsidR="006B4F0C">
        <w:t xml:space="preserve">been implemented. </w:t>
      </w:r>
      <w:r w:rsidR="00D56F80">
        <w:t>The Department will consider this activity in the development of this PBA method.</w:t>
      </w:r>
    </w:p>
    <w:p w:rsidR="00D56F80" w:rsidRDefault="00D56F80" w:rsidP="00D56F80">
      <w:pPr>
        <w:pStyle w:val="Heading2"/>
      </w:pPr>
      <w:r>
        <w:t>Plug</w:t>
      </w:r>
      <w:r w:rsidR="002F1040">
        <w:t>-</w:t>
      </w:r>
      <w:r>
        <w:t>in thermostat for portable electric heaters</w:t>
      </w:r>
    </w:p>
    <w:p w:rsidR="00D56F80" w:rsidRPr="00734EDD" w:rsidRDefault="006E0F74" w:rsidP="00D56F80">
      <w:r w:rsidRPr="001A7053">
        <w:t>The activity proposed</w:t>
      </w:r>
      <w:r w:rsidR="005B7630">
        <w:t xml:space="preserve"> </w:t>
      </w:r>
      <w:r w:rsidRPr="001A7053">
        <w:t xml:space="preserve">involves installing a plug-in thermostat that </w:t>
      </w:r>
      <w:r w:rsidR="002F1040">
        <w:t>switches portable electric heaters off when temperature reaches a defined threshold</w:t>
      </w:r>
      <w:r w:rsidR="00555078">
        <w:t xml:space="preserve">. </w:t>
      </w:r>
      <w:r w:rsidR="00D56F80" w:rsidRPr="001A7053">
        <w:t>The Department supports the consultant’s recommendation, and will not proceed with a deemed activity at this time. There is insufficient data on the usage of these devices</w:t>
      </w:r>
      <w:r w:rsidR="00527467">
        <w:t xml:space="preserve"> and </w:t>
      </w:r>
      <w:r w:rsidR="00D56F80" w:rsidRPr="001A7053">
        <w:t>the usage of plug-in electric heaters</w:t>
      </w:r>
      <w:r w:rsidR="0009350F" w:rsidRPr="001A7053">
        <w:t xml:space="preserve"> to support the </w:t>
      </w:r>
      <w:r w:rsidR="0009350F" w:rsidRPr="001A7053">
        <w:lastRenderedPageBreak/>
        <w:t>development of a deemed method.</w:t>
      </w:r>
      <w:r w:rsidR="002F1040">
        <w:t xml:space="preserve"> Furthermore, there are safety concerns.</w:t>
      </w:r>
    </w:p>
    <w:p w:rsidR="006B4F0C" w:rsidRDefault="006B4F0C" w:rsidP="008540B6">
      <w:pPr>
        <w:pStyle w:val="Heading2"/>
      </w:pPr>
      <w:r>
        <w:t>Smart hot water controller</w:t>
      </w:r>
    </w:p>
    <w:p w:rsidR="006B4F0C" w:rsidRPr="00734EDD" w:rsidRDefault="00592CE6" w:rsidP="006B4F0C">
      <w:r>
        <w:t xml:space="preserve">The activity proposed is </w:t>
      </w:r>
      <w:r w:rsidRPr="00592CE6">
        <w:t>the installation of a retrofit heating controller and additional sensors to provide more efficient temperature control of domestic electric hot water cylinders</w:t>
      </w:r>
      <w:r>
        <w:t xml:space="preserve"> to reduce associated energy consumption.</w:t>
      </w:r>
      <w:r w:rsidRPr="00592CE6">
        <w:t xml:space="preserve"> </w:t>
      </w:r>
      <w:r w:rsidR="006B4F0C">
        <w:t>The Department supports the consultant’s recommendation, and will not proceed with a deemed activity at this time.</w:t>
      </w:r>
      <w:r w:rsidR="0009350F">
        <w:t xml:space="preserve"> Whilst moderate energy savings are possible, a significant compliance burden </w:t>
      </w:r>
      <w:r w:rsidR="00527467">
        <w:t xml:space="preserve">due to the </w:t>
      </w:r>
      <w:r w:rsidR="002F1040">
        <w:t>n</w:t>
      </w:r>
      <w:r w:rsidR="00F367A6">
        <w:t>e</w:t>
      </w:r>
      <w:r w:rsidR="002F1040">
        <w:t>ed to maintain stored hot water at safe temperatures</w:t>
      </w:r>
      <w:r w:rsidR="00527467">
        <w:t xml:space="preserve"> </w:t>
      </w:r>
      <w:r w:rsidR="0009350F">
        <w:t>would limit the uptake</w:t>
      </w:r>
      <w:r w:rsidR="00527467">
        <w:t xml:space="preserve"> and the VEEC incentives would</w:t>
      </w:r>
      <w:r w:rsidR="002F1040">
        <w:t xml:space="preserve"> be</w:t>
      </w:r>
      <w:r w:rsidR="00527467">
        <w:t xml:space="preserve"> likely</w:t>
      </w:r>
      <w:r w:rsidR="002F1040">
        <w:t xml:space="preserve"> to</w:t>
      </w:r>
      <w:r w:rsidR="00527467">
        <w:t xml:space="preserve"> be insufficient to drive activity</w:t>
      </w:r>
      <w:r w:rsidR="00552772">
        <w:t>.</w:t>
      </w:r>
    </w:p>
    <w:p w:rsidR="006B4F0C" w:rsidRPr="001A7053" w:rsidRDefault="009656E1" w:rsidP="008540B6">
      <w:pPr>
        <w:pStyle w:val="Heading2"/>
      </w:pPr>
      <w:r w:rsidRPr="001A7053">
        <w:t xml:space="preserve">Revise </w:t>
      </w:r>
      <w:r w:rsidR="006B4F0C" w:rsidRPr="001A7053">
        <w:t>Schedule 29B – IT standby power controllers</w:t>
      </w:r>
    </w:p>
    <w:p w:rsidR="006B4F0C" w:rsidRPr="00734EDD" w:rsidRDefault="00555078" w:rsidP="004A3601">
      <w:r>
        <w:t xml:space="preserve">The revised activity </w:t>
      </w:r>
      <w:r w:rsidR="00D248DA">
        <w:t>proponents</w:t>
      </w:r>
      <w:r w:rsidR="00D248DA" w:rsidRPr="00D248DA">
        <w:t xml:space="preserve"> requested that</w:t>
      </w:r>
      <w:r w:rsidR="005B7630">
        <w:t xml:space="preserve"> </w:t>
      </w:r>
      <w:r w:rsidR="00D248DA">
        <w:t xml:space="preserve">the deemed abatement factor be reviewed for </w:t>
      </w:r>
      <w:r w:rsidR="00D248DA" w:rsidRPr="00D248DA">
        <w:t xml:space="preserve">advanced </w:t>
      </w:r>
      <w:r w:rsidR="00D248DA">
        <w:t>standby power controller</w:t>
      </w:r>
      <w:r w:rsidR="00D248DA" w:rsidRPr="00D248DA">
        <w:t xml:space="preserve"> products designed principally for use in commercial premises</w:t>
      </w:r>
      <w:r w:rsidR="00D248DA">
        <w:t xml:space="preserve">. </w:t>
      </w:r>
      <w:r w:rsidR="006B4F0C" w:rsidRPr="001A7053">
        <w:t>The Department supports the consultant’s recommendations</w:t>
      </w:r>
      <w:r w:rsidR="0009350F" w:rsidRPr="001A7053">
        <w:t xml:space="preserve"> that there is insufficient data to</w:t>
      </w:r>
      <w:r w:rsidR="0009350F">
        <w:t xml:space="preserve"> support the development of a new deemed method for this activity. The Department also supports the consultant’s recommendations that </w:t>
      </w:r>
      <w:r w:rsidR="006B4F0C">
        <w:t xml:space="preserve">this proposal could be implemented </w:t>
      </w:r>
      <w:r w:rsidR="00D248DA">
        <w:t xml:space="preserve">by using </w:t>
      </w:r>
      <w:r w:rsidR="009F03ED">
        <w:t>a future PBA to quantify savings</w:t>
      </w:r>
      <w:r w:rsidR="006B4F0C">
        <w:t>.</w:t>
      </w:r>
    </w:p>
    <w:p w:rsidR="006B4F0C" w:rsidRDefault="006B4F0C" w:rsidP="008540B6">
      <w:pPr>
        <w:pStyle w:val="Heading2"/>
      </w:pPr>
      <w:r>
        <w:t>Gas engine driven reverse cycle air-conditioning</w:t>
      </w:r>
    </w:p>
    <w:p w:rsidR="004A3601" w:rsidRDefault="00D248DA" w:rsidP="006B4F0C">
      <w:r w:rsidRPr="00106CAB">
        <w:t>The activity proposed</w:t>
      </w:r>
      <w:r w:rsidR="005B7630">
        <w:t xml:space="preserve"> </w:t>
      </w:r>
      <w:r w:rsidR="003E057E">
        <w:t>includes</w:t>
      </w:r>
      <w:r w:rsidR="003E057E">
        <w:t xml:space="preserve"> </w:t>
      </w:r>
      <w:r w:rsidR="009F03ED">
        <w:t>products that use</w:t>
      </w:r>
      <w:r w:rsidRPr="00D248DA">
        <w:t xml:space="preserve"> a gas powered engine to drive the compressor in a commercial or large residential reverse cycle or heating only air-conditioning system instead of an electric motor.</w:t>
      </w:r>
      <w:r w:rsidRPr="00106CAB">
        <w:t xml:space="preserve"> </w:t>
      </w:r>
      <w:r w:rsidR="004A3601">
        <w:t xml:space="preserve">The Department supports the consultant’s recommendation, and will not proceed with a deemed activity at this time. </w:t>
      </w:r>
    </w:p>
    <w:p w:rsidR="004A3601" w:rsidRDefault="004A3601" w:rsidP="006B4F0C"/>
    <w:p w:rsidR="006B4F0C" w:rsidRPr="00734EDD" w:rsidRDefault="006B4F0C" w:rsidP="004A3601">
      <w:r>
        <w:t xml:space="preserve">The Department supports the consultant’s </w:t>
      </w:r>
      <w:r w:rsidR="004A3601">
        <w:t>view</w:t>
      </w:r>
      <w:r>
        <w:t xml:space="preserve"> that this proposal could be implemented by using </w:t>
      </w:r>
      <w:r w:rsidR="009F03ED">
        <w:t xml:space="preserve">a </w:t>
      </w:r>
      <w:r w:rsidR="004A3601">
        <w:t>PBA method</w:t>
      </w:r>
      <w:r>
        <w:t xml:space="preserve">. </w:t>
      </w:r>
    </w:p>
    <w:p w:rsidR="008540B6" w:rsidRDefault="008540B6" w:rsidP="008540B6">
      <w:pPr>
        <w:pStyle w:val="Heading1"/>
      </w:pPr>
      <w:r>
        <w:t>Department reviewed</w:t>
      </w:r>
      <w:r w:rsidR="00D3356C">
        <w:t xml:space="preserve"> submissions</w:t>
      </w:r>
    </w:p>
    <w:p w:rsidR="00E301C7" w:rsidRPr="00E301C7" w:rsidRDefault="00E301C7" w:rsidP="001A7053">
      <w:pPr>
        <w:jc w:val="both"/>
      </w:pPr>
      <w:r>
        <w:t xml:space="preserve">The Department considered </w:t>
      </w:r>
      <w:r w:rsidR="003E057E">
        <w:t>six</w:t>
      </w:r>
      <w:r w:rsidR="003E057E">
        <w:t xml:space="preserve"> </w:t>
      </w:r>
      <w:r>
        <w:t>submissions internally. These were submissions where the D</w:t>
      </w:r>
      <w:bookmarkStart w:id="2" w:name="_GoBack"/>
      <w:bookmarkEnd w:id="2"/>
      <w:r>
        <w:t xml:space="preserve">epartment did not require technical advice in order to make a decision. </w:t>
      </w:r>
    </w:p>
    <w:p w:rsidR="008540B6" w:rsidRPr="008540B6" w:rsidRDefault="008540B6" w:rsidP="008540B6">
      <w:pPr>
        <w:pStyle w:val="Heading2"/>
      </w:pPr>
      <w:r>
        <w:lastRenderedPageBreak/>
        <w:t>Fan upgrades</w:t>
      </w:r>
    </w:p>
    <w:p w:rsidR="008540B6" w:rsidRDefault="008540B6" w:rsidP="00C3332C">
      <w:r>
        <w:t xml:space="preserve">Two submissions related to fan upgrades. These activities could be implemented via a deemed activity or by using </w:t>
      </w:r>
      <w:r w:rsidR="009F03ED">
        <w:t>a PBA method</w:t>
      </w:r>
      <w:r>
        <w:t>.</w:t>
      </w:r>
    </w:p>
    <w:p w:rsidR="008540B6" w:rsidRDefault="008540B6" w:rsidP="00E34BF7"/>
    <w:p w:rsidR="008540B6" w:rsidRDefault="008540B6" w:rsidP="00C3332C">
      <w:r>
        <w:t>Both submissions sought a project</w:t>
      </w:r>
      <w:r w:rsidR="009F03ED">
        <w:t>-</w:t>
      </w:r>
      <w:r>
        <w:t xml:space="preserve">based or non-deemed activity similar to those existing in the NSW Energy </w:t>
      </w:r>
      <w:r w:rsidR="009F03ED">
        <w:t>Savings Scheme</w:t>
      </w:r>
      <w:r>
        <w:t xml:space="preserve"> and the Commonwealth Emissions Reduction Fund. </w:t>
      </w:r>
      <w:r w:rsidR="009F03ED">
        <w:t>Therefore, PBAs may be appropriate for incentivising such upgrades.</w:t>
      </w:r>
    </w:p>
    <w:p w:rsidR="00527467" w:rsidRDefault="00527467" w:rsidP="00C3332C"/>
    <w:p w:rsidR="008540B6" w:rsidRDefault="008540B6" w:rsidP="008540B6">
      <w:r>
        <w:t xml:space="preserve">An alternative approach to implementing further fan upgrade activities in VEET would be to </w:t>
      </w:r>
      <w:r w:rsidR="009F03ED">
        <w:t>expand</w:t>
      </w:r>
      <w:r>
        <w:t xml:space="preserve"> the current deemed Schedule 33, which</w:t>
      </w:r>
      <w:r w:rsidR="009F03ED">
        <w:t xml:space="preserve"> currently</w:t>
      </w:r>
      <w:r>
        <w:t xml:space="preserve"> includes </w:t>
      </w:r>
      <w:r w:rsidR="009F03ED">
        <w:t xml:space="preserve">refrigeration </w:t>
      </w:r>
      <w:r>
        <w:t xml:space="preserve">fans (fan/motor units) only. This activity could be expanded to include similar fan/motor units for ventilation fans, and impeller replacement for high efficiency fans. </w:t>
      </w:r>
      <w:r w:rsidRPr="001A64F5">
        <w:t>Accordingly,</w:t>
      </w:r>
      <w:r w:rsidR="004F3447">
        <w:t xml:space="preserve"> work is currently underway to expand</w:t>
      </w:r>
      <w:r w:rsidR="00F34F79">
        <w:t xml:space="preserve"> Schedule 33 to include ventilation fans</w:t>
      </w:r>
      <w:r w:rsidR="004F3447">
        <w:t xml:space="preserve"> and the Department will be consulting on this later in 2017</w:t>
      </w:r>
      <w:r w:rsidR="00F34F79">
        <w:t xml:space="preserve">. </w:t>
      </w:r>
    </w:p>
    <w:p w:rsidR="008540B6" w:rsidRDefault="008540B6" w:rsidP="008540B6">
      <w:pPr>
        <w:pStyle w:val="Heading2"/>
      </w:pPr>
      <w:r>
        <w:t>Underfloor insulation</w:t>
      </w:r>
    </w:p>
    <w:p w:rsidR="0050156A" w:rsidRDefault="008540B6" w:rsidP="008540B6">
      <w:r>
        <w:t>One submission related to</w:t>
      </w:r>
      <w:r w:rsidR="009F03ED">
        <w:t xml:space="preserve"> amending the</w:t>
      </w:r>
      <w:r>
        <w:t xml:space="preserve"> underfloor insulation</w:t>
      </w:r>
      <w:r w:rsidR="0050156A" w:rsidRPr="0050156A">
        <w:t xml:space="preserve"> </w:t>
      </w:r>
      <w:r w:rsidR="004240A1">
        <w:t>activity</w:t>
      </w:r>
      <w:r w:rsidR="0050156A" w:rsidRPr="0050156A">
        <w:t xml:space="preserve"> to </w:t>
      </w:r>
      <w:r w:rsidR="004240A1">
        <w:t>reduce</w:t>
      </w:r>
      <w:r w:rsidR="0050156A">
        <w:t xml:space="preserve"> </w:t>
      </w:r>
      <w:r w:rsidR="004240A1">
        <w:t>the</w:t>
      </w:r>
      <w:r w:rsidR="0050156A" w:rsidRPr="0050156A">
        <w:t xml:space="preserve"> minimum </w:t>
      </w:r>
      <w:r w:rsidR="0050156A">
        <w:t>R-value</w:t>
      </w:r>
      <w:r w:rsidR="004240A1">
        <w:t xml:space="preserve"> achieved from 2.5</w:t>
      </w:r>
      <w:r w:rsidR="0050156A">
        <w:t xml:space="preserve"> </w:t>
      </w:r>
      <w:r w:rsidR="004240A1">
        <w:t>to</w:t>
      </w:r>
      <w:r w:rsidR="0050156A" w:rsidRPr="0050156A">
        <w:t xml:space="preserve"> 1.5</w:t>
      </w:r>
      <w:r>
        <w:t xml:space="preserve">. </w:t>
      </w:r>
    </w:p>
    <w:p w:rsidR="0050156A" w:rsidRDefault="0050156A" w:rsidP="008540B6"/>
    <w:p w:rsidR="0016793E" w:rsidRDefault="0016793E" w:rsidP="008540B6">
      <w:r w:rsidRPr="00AE0CB1">
        <w:t xml:space="preserve">The Department consulted recently on amendments to the underfloor insulation activity, including </w:t>
      </w:r>
      <w:r w:rsidR="0050156A">
        <w:t>reducing minimum u</w:t>
      </w:r>
      <w:r w:rsidR="0050156A" w:rsidRPr="0050156A">
        <w:t>nderfloor insulation to achieve a minimum R-value of 1.5</w:t>
      </w:r>
      <w:r w:rsidRPr="00AE0CB1">
        <w:t>. The proposed amendments to underfloor insulation have been postponed because the underfloor insulation activity</w:t>
      </w:r>
      <w:r w:rsidR="009F03ED">
        <w:t xml:space="preserve"> is currently unavailable</w:t>
      </w:r>
      <w:r w:rsidRPr="00AE0CB1">
        <w:t xml:space="preserve"> pending new </w:t>
      </w:r>
      <w:r w:rsidR="009F03ED">
        <w:t>guidelines</w:t>
      </w:r>
      <w:r w:rsidRPr="00AE0CB1">
        <w:t xml:space="preserve"> for </w:t>
      </w:r>
      <w:r w:rsidR="009F03ED">
        <w:t xml:space="preserve">installing </w:t>
      </w:r>
      <w:r w:rsidRPr="00AE0CB1">
        <w:t>both underfloor and ceiling insulation.</w:t>
      </w:r>
      <w:r w:rsidR="00BB421B" w:rsidRPr="00BB421B">
        <w:t xml:space="preserve"> </w:t>
      </w:r>
    </w:p>
    <w:p w:rsidR="008540B6" w:rsidRDefault="008540B6" w:rsidP="008540B6">
      <w:pPr>
        <w:pStyle w:val="Heading2"/>
      </w:pPr>
      <w:r>
        <w:t>Air conditioning ductwork</w:t>
      </w:r>
    </w:p>
    <w:p w:rsidR="008540B6" w:rsidRPr="00734EDD" w:rsidRDefault="008540B6" w:rsidP="008540B6">
      <w:r>
        <w:t xml:space="preserve">One submission related to air conditioning ductwork. </w:t>
      </w:r>
      <w:r w:rsidR="009F03ED">
        <w:t>However, l</w:t>
      </w:r>
      <w:r>
        <w:t xml:space="preserve">imited information was provided by the proponent. </w:t>
      </w:r>
    </w:p>
    <w:p w:rsidR="008540B6" w:rsidRDefault="009656E1" w:rsidP="008540B6">
      <w:pPr>
        <w:pStyle w:val="Heading2"/>
      </w:pPr>
      <w:r>
        <w:t xml:space="preserve">Revised </w:t>
      </w:r>
      <w:r w:rsidR="008540B6">
        <w:t xml:space="preserve">Schedule 19 – </w:t>
      </w:r>
      <w:r w:rsidR="009F03ED">
        <w:t xml:space="preserve">refrigerator and freezer </w:t>
      </w:r>
      <w:r w:rsidR="008540B6">
        <w:t>destruction</w:t>
      </w:r>
    </w:p>
    <w:p w:rsidR="008540B6" w:rsidRDefault="008540B6" w:rsidP="008540B6">
      <w:r>
        <w:t xml:space="preserve">Two submissions related to amending </w:t>
      </w:r>
      <w:r w:rsidR="009F03ED">
        <w:t>S</w:t>
      </w:r>
      <w:r>
        <w:t xml:space="preserve">chedule 19 </w:t>
      </w:r>
      <w:r w:rsidR="001A43BE">
        <w:t xml:space="preserve">which relates to </w:t>
      </w:r>
      <w:r w:rsidR="00DE0C58">
        <w:t xml:space="preserve">the </w:t>
      </w:r>
      <w:r>
        <w:t>destruction</w:t>
      </w:r>
      <w:r w:rsidR="00DE0C58">
        <w:t xml:space="preserve"> of refrigerators</w:t>
      </w:r>
      <w:r w:rsidR="009F03ED">
        <w:t xml:space="preserve"> and freezers</w:t>
      </w:r>
      <w:r>
        <w:t xml:space="preserve">. These proposals both suggested increasing the </w:t>
      </w:r>
      <w:r w:rsidR="00DE0C58">
        <w:t xml:space="preserve">eligibility </w:t>
      </w:r>
      <w:r>
        <w:t xml:space="preserve">of </w:t>
      </w:r>
      <w:r w:rsidR="009F03ED">
        <w:t xml:space="preserve">refrigerators and freezers </w:t>
      </w:r>
      <w:r w:rsidR="00DE0C58">
        <w:t xml:space="preserve">which can create certificates when </w:t>
      </w:r>
      <w:r w:rsidR="00D3356C">
        <w:t xml:space="preserve">destroyed </w:t>
      </w:r>
      <w:r>
        <w:t>beyond the current 1996 year of manufacture, to either 2005 or 2006.</w:t>
      </w:r>
    </w:p>
    <w:p w:rsidR="004142AF" w:rsidRDefault="004142AF" w:rsidP="008540B6"/>
    <w:p w:rsidR="008540B6" w:rsidRDefault="00622091" w:rsidP="008540B6">
      <w:r>
        <w:t xml:space="preserve">The Department’s research </w:t>
      </w:r>
      <w:r w:rsidR="008540B6">
        <w:t>indicates that:</w:t>
      </w:r>
    </w:p>
    <w:p w:rsidR="003F1444" w:rsidRDefault="008540B6" w:rsidP="008540B6">
      <w:pPr>
        <w:pStyle w:val="ListParagraph"/>
        <w:numPr>
          <w:ilvl w:val="0"/>
          <w:numId w:val="43"/>
        </w:numPr>
        <w:spacing w:after="200" w:line="276" w:lineRule="auto"/>
      </w:pPr>
      <w:r w:rsidRPr="00B36623">
        <w:t>Minimum energy performance standards</w:t>
      </w:r>
      <w:r w:rsidR="009F03ED">
        <w:t xml:space="preserve"> (MEPS</w:t>
      </w:r>
      <w:r w:rsidRPr="00B36623">
        <w:t>) for fridges were first introduced in 1999 and then made more stringent in 2005.</w:t>
      </w:r>
    </w:p>
    <w:p w:rsidR="008540B6" w:rsidRDefault="008540B6" w:rsidP="008540B6">
      <w:pPr>
        <w:pStyle w:val="ListParagraph"/>
        <w:numPr>
          <w:ilvl w:val="0"/>
          <w:numId w:val="43"/>
        </w:numPr>
        <w:spacing w:after="200" w:line="276" w:lineRule="auto"/>
      </w:pPr>
      <w:r w:rsidRPr="00B36623">
        <w:t xml:space="preserve">The </w:t>
      </w:r>
      <w:r>
        <w:t>current</w:t>
      </w:r>
      <w:r w:rsidRPr="00B36623">
        <w:t xml:space="preserve"> </w:t>
      </w:r>
      <w:r w:rsidR="009F03ED">
        <w:t xml:space="preserve">cut-off </w:t>
      </w:r>
      <w:r w:rsidRPr="00B36623">
        <w:t>date of 1996 was chos</w:t>
      </w:r>
      <w:r>
        <w:t>en because</w:t>
      </w:r>
      <w:r w:rsidR="003F1444">
        <w:t xml:space="preserve"> </w:t>
      </w:r>
      <w:r w:rsidRPr="00B36623">
        <w:t xml:space="preserve">fridges sold </w:t>
      </w:r>
      <w:r>
        <w:t xml:space="preserve">earlier </w:t>
      </w:r>
      <w:r w:rsidRPr="00B36623">
        <w:t xml:space="preserve">were very </w:t>
      </w:r>
      <w:r w:rsidRPr="00B36623">
        <w:lastRenderedPageBreak/>
        <w:t xml:space="preserve">inefficient compared to </w:t>
      </w:r>
      <w:r w:rsidR="0017556F">
        <w:t>fridges currently on the market</w:t>
      </w:r>
      <w:r>
        <w:t>. A</w:t>
      </w:r>
      <w:r w:rsidRPr="00B36623">
        <w:t xml:space="preserve">fter this date the efficiency of fridges started to increase to meet the MEPS introduced in 1999. </w:t>
      </w:r>
    </w:p>
    <w:p w:rsidR="008540B6" w:rsidRDefault="001A7053" w:rsidP="008540B6">
      <w:pPr>
        <w:pStyle w:val="ListParagraph"/>
        <w:numPr>
          <w:ilvl w:val="0"/>
          <w:numId w:val="43"/>
        </w:numPr>
        <w:spacing w:after="200" w:line="276" w:lineRule="auto"/>
      </w:pPr>
      <w:r>
        <w:t xml:space="preserve">Changing </w:t>
      </w:r>
      <w:r w:rsidR="008540B6">
        <w:t xml:space="preserve">the </w:t>
      </w:r>
      <w:r w:rsidR="008540B6" w:rsidRPr="00B36623">
        <w:t>eligibility date for Schedule 19 from 1996 to 2005 (or 2006)</w:t>
      </w:r>
      <w:r w:rsidR="008540B6">
        <w:t xml:space="preserve"> would require the deeming calculation</w:t>
      </w:r>
      <w:r w:rsidR="008540B6" w:rsidRPr="00B36623">
        <w:t xml:space="preserve"> to assume that fridge </w:t>
      </w:r>
      <w:r>
        <w:t>b</w:t>
      </w:r>
      <w:r w:rsidR="008540B6" w:rsidRPr="00B36623">
        <w:t>eing removed</w:t>
      </w:r>
      <w:r w:rsidR="008540B6">
        <w:t xml:space="preserve"> from service was substantially </w:t>
      </w:r>
      <w:r w:rsidR="008540B6" w:rsidRPr="00B36623">
        <w:t>more efficient than the average pre-1996 fridge</w:t>
      </w:r>
      <w:r w:rsidR="008540B6">
        <w:t>.</w:t>
      </w:r>
      <w:r w:rsidR="003F1444">
        <w:t xml:space="preserve"> </w:t>
      </w:r>
      <w:r w:rsidR="008540B6">
        <w:t>Consequently, the number of VEECs allowed would be significantly reduced.</w:t>
      </w:r>
      <w:r w:rsidR="00F34F79">
        <w:t xml:space="preserve"> This would result in </w:t>
      </w:r>
      <w:r w:rsidR="009F03ED">
        <w:t xml:space="preserve">insufficient </w:t>
      </w:r>
      <w:r w:rsidR="00F34F79">
        <w:t xml:space="preserve">incentives to drive uptake of this activity. </w:t>
      </w:r>
    </w:p>
    <w:p w:rsidR="008540B6" w:rsidRDefault="008540B6" w:rsidP="008540B6">
      <w:r>
        <w:t xml:space="preserve">Accordingly, </w:t>
      </w:r>
      <w:r w:rsidR="00DE0C58">
        <w:t>revising</w:t>
      </w:r>
      <w:r w:rsidR="001A7053">
        <w:t xml:space="preserve"> S</w:t>
      </w:r>
      <w:r w:rsidR="009F03ED">
        <w:t>c</w:t>
      </w:r>
      <w:r w:rsidR="001A7053">
        <w:t>hedule 19</w:t>
      </w:r>
      <w:r>
        <w:t xml:space="preserve"> is not </w:t>
      </w:r>
      <w:r w:rsidR="00720B19">
        <w:t xml:space="preserve">being </w:t>
      </w:r>
      <w:r>
        <w:t>considered at this time.</w:t>
      </w:r>
    </w:p>
    <w:p w:rsidR="007F3132" w:rsidRDefault="007F3132" w:rsidP="007F3132">
      <w:pPr>
        <w:pStyle w:val="Heading2"/>
      </w:pPr>
      <w:r>
        <w:t xml:space="preserve">Amend Schedule 32 – High </w:t>
      </w:r>
      <w:r w:rsidR="00087ED8">
        <w:t>e</w:t>
      </w:r>
      <w:r>
        <w:t xml:space="preserve">fficiency </w:t>
      </w:r>
      <w:r w:rsidR="00087ED8">
        <w:t xml:space="preserve">refrigerated </w:t>
      </w:r>
      <w:r>
        <w:t>display</w:t>
      </w:r>
      <w:r w:rsidR="00087ED8">
        <w:t xml:space="preserve"> </w:t>
      </w:r>
      <w:r>
        <w:t>cabinets</w:t>
      </w:r>
    </w:p>
    <w:p w:rsidR="007F3132" w:rsidRDefault="007F3132" w:rsidP="007F3132">
      <w:r>
        <w:t xml:space="preserve">One submission related to </w:t>
      </w:r>
      <w:r w:rsidR="00ED4E82">
        <w:t xml:space="preserve">amending the decommissioning requirements </w:t>
      </w:r>
      <w:r>
        <w:t xml:space="preserve">of </w:t>
      </w:r>
      <w:r w:rsidR="009F03ED">
        <w:t>S</w:t>
      </w:r>
      <w:r>
        <w:t>chedule 32</w:t>
      </w:r>
      <w:r w:rsidR="005B7630">
        <w:t xml:space="preserve"> which relates to</w:t>
      </w:r>
      <w:r>
        <w:t xml:space="preserve"> </w:t>
      </w:r>
      <w:r w:rsidR="005B7630">
        <w:t>high efficiency refrigerated</w:t>
      </w:r>
      <w:r>
        <w:t xml:space="preserve"> display cabinets.</w:t>
      </w:r>
      <w:r w:rsidR="007161DB">
        <w:t xml:space="preserve"> </w:t>
      </w:r>
      <w:r w:rsidR="00ED4E82">
        <w:t xml:space="preserve">This </w:t>
      </w:r>
      <w:r w:rsidR="001B0107">
        <w:t xml:space="preserve">matter </w:t>
      </w:r>
      <w:r w:rsidR="00ED4E82">
        <w:t>was</w:t>
      </w:r>
      <w:r w:rsidR="001B0107">
        <w:t xml:space="preserve"> addressed in </w:t>
      </w:r>
      <w:r w:rsidR="0083241F">
        <w:t>amendments</w:t>
      </w:r>
      <w:r w:rsidR="00D15D7B">
        <w:t xml:space="preserve"> to</w:t>
      </w:r>
      <w:r w:rsidR="001B0107">
        <w:t xml:space="preserve"> </w:t>
      </w:r>
      <w:r>
        <w:t xml:space="preserve">this </w:t>
      </w:r>
      <w:r w:rsidR="00D15D7B">
        <w:t>S</w:t>
      </w:r>
      <w:r>
        <w:t>chedule</w:t>
      </w:r>
      <w:r w:rsidR="00ED4E82">
        <w:t xml:space="preserve"> which occurred in 2015</w:t>
      </w:r>
      <w:r>
        <w:t>.</w:t>
      </w:r>
    </w:p>
    <w:p w:rsidR="008540B6" w:rsidRDefault="008540B6" w:rsidP="008540B6">
      <w:pPr>
        <w:pStyle w:val="Heading1"/>
      </w:pPr>
      <w:r>
        <w:t>Next Steps</w:t>
      </w:r>
    </w:p>
    <w:p w:rsidR="008540B6" w:rsidRDefault="00D15D7B" w:rsidP="008540B6">
      <w:pPr>
        <w:pStyle w:val="Heading2"/>
      </w:pPr>
      <w:r>
        <w:t>Future processes for</w:t>
      </w:r>
      <w:r w:rsidR="001A7053">
        <w:t xml:space="preserve"> </w:t>
      </w:r>
      <w:r>
        <w:t>new and revised activities</w:t>
      </w:r>
    </w:p>
    <w:p w:rsidR="004A5EE1" w:rsidRDefault="002F42C2" w:rsidP="004A5EE1">
      <w:r>
        <w:t xml:space="preserve">The Department noted that many of the applications were incomplete or could not provide the data and information required to develop a new deemed method. The Department </w:t>
      </w:r>
      <w:r w:rsidR="003F1444">
        <w:t>acknowledge</w:t>
      </w:r>
      <w:r w:rsidR="00D15D7B">
        <w:t>s</w:t>
      </w:r>
      <w:r w:rsidR="00006973">
        <w:t xml:space="preserve"> the barriers</w:t>
      </w:r>
      <w:r w:rsidR="003F1444">
        <w:t xml:space="preserve"> to the introduction of new deemed activities scheme participants face</w:t>
      </w:r>
      <w:r w:rsidR="004A5EE1">
        <w:t xml:space="preserve">, </w:t>
      </w:r>
      <w:r w:rsidR="001319A5">
        <w:t xml:space="preserve">in particular </w:t>
      </w:r>
      <w:r w:rsidR="004A5EE1">
        <w:t>the availability of sufficient data</w:t>
      </w:r>
      <w:r w:rsidR="00756981">
        <w:t>.</w:t>
      </w:r>
      <w:r w:rsidR="003F1444">
        <w:t xml:space="preserve"> </w:t>
      </w:r>
      <w:r w:rsidR="00756981">
        <w:t>The Department</w:t>
      </w:r>
      <w:r w:rsidR="00006973">
        <w:t xml:space="preserve"> </w:t>
      </w:r>
      <w:r>
        <w:t xml:space="preserve">is actively considering options to improve the process </w:t>
      </w:r>
      <w:r w:rsidR="0031698A">
        <w:t>to</w:t>
      </w:r>
      <w:r>
        <w:t xml:space="preserve"> develop new and revised methods</w:t>
      </w:r>
      <w:r w:rsidR="0031698A">
        <w:t xml:space="preserve"> </w:t>
      </w:r>
      <w:r w:rsidR="00D15D7B">
        <w:t xml:space="preserve">to better </w:t>
      </w:r>
      <w:r w:rsidR="0031698A">
        <w:t>meet the needs of the Department and supports new activity proponents</w:t>
      </w:r>
      <w:r>
        <w:t>.</w:t>
      </w:r>
    </w:p>
    <w:p w:rsidR="004F3447" w:rsidRDefault="004F3447" w:rsidP="002F42C2"/>
    <w:p w:rsidR="002F42C2" w:rsidRDefault="0031698A" w:rsidP="002F42C2">
      <w:r>
        <w:lastRenderedPageBreak/>
        <w:t>The Department will seek stakeholder feedback to inform this process.</w:t>
      </w: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001E86" w:rsidTr="009E3FD3">
        <w:trPr>
          <w:trHeight w:val="2608"/>
        </w:trPr>
        <w:tc>
          <w:tcPr>
            <w:tcW w:w="5216" w:type="dxa"/>
            <w:shd w:val="clear" w:color="auto" w:fill="auto"/>
          </w:tcPr>
          <w:bookmarkEnd w:id="1"/>
          <w:p w:rsidR="00001E86" w:rsidRDefault="00001E86" w:rsidP="00C255C2">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3E057E">
              <w:rPr>
                <w:noProof/>
              </w:rPr>
              <w:t>2017</w:t>
            </w:r>
            <w:r>
              <w:fldChar w:fldCharType="end"/>
            </w:r>
          </w:p>
          <w:p w:rsidR="00001E86" w:rsidRDefault="00001E86" w:rsidP="00C255C2">
            <w:pPr>
              <w:pStyle w:val="SmallBodyText"/>
            </w:pPr>
            <w:r>
              <w:rPr>
                <w:noProof/>
              </w:rPr>
              <w:drawing>
                <wp:anchor distT="0" distB="0" distL="114300" distR="36195" simplePos="0" relativeHeight="251656192" behindDoc="0" locked="1" layoutInCell="1" allowOverlap="1" wp14:anchorId="0741F9E0" wp14:editId="091BC744">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6">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3" w:name="_ImprintPageOne"/>
            <w:bookmarkEnd w:id="3"/>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E97294" w:rsidRPr="008F559C" w:rsidRDefault="00E97294" w:rsidP="00C255C2">
            <w:pPr>
              <w:pStyle w:val="SmallHeading"/>
            </w:pPr>
            <w:r w:rsidRPr="00C255C2">
              <w:t>Disclaimer</w:t>
            </w:r>
          </w:p>
          <w:p w:rsidR="00001E86" w:rsidRDefault="00E97294" w:rsidP="00C255C2">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rsidR="00001E86" w:rsidRPr="00E97294" w:rsidRDefault="00001E86" w:rsidP="00C255C2">
            <w:pPr>
              <w:pStyle w:val="xAccessibilityHeading"/>
            </w:pPr>
            <w:bookmarkStart w:id="4" w:name="_Accessibility"/>
            <w:bookmarkEnd w:id="4"/>
            <w:r w:rsidRPr="00E97294">
              <w:t>Accessibility</w:t>
            </w:r>
          </w:p>
          <w:p w:rsidR="00001E86" w:rsidRDefault="00001E86" w:rsidP="00C255C2">
            <w:pPr>
              <w:pStyle w:val="xAccessibilityText"/>
            </w:pPr>
            <w:r>
              <w:t>If you would like to receive this publication in an alternative format, please telephone the DELWP Customer Service Centre on 136186, email </w:t>
            </w:r>
            <w:r w:rsidR="00720B19" w:rsidRPr="00720B19">
              <w:t>energysaver.incentive@delwp.vic.gov.au</w:t>
            </w:r>
            <w:r>
              <w:t xml:space="preserve">, or via the National Relay Service on 133 677 </w:t>
            </w:r>
            <w:hyperlink r:id="rId17" w:history="1">
              <w:r w:rsidRPr="00AE3298">
                <w:t>www.relayservice.com.au</w:t>
              </w:r>
            </w:hyperlink>
            <w:r>
              <w:t xml:space="preserve">. This document is also available on the internet at </w:t>
            </w:r>
            <w:hyperlink r:id="rId18" w:history="1">
              <w:r w:rsidRPr="00AE3298">
                <w:t>www.delwp.vic.gov.au</w:t>
              </w:r>
            </w:hyperlink>
            <w:r>
              <w:t xml:space="preserve">. </w:t>
            </w:r>
          </w:p>
          <w:p w:rsidR="00001E86" w:rsidRDefault="00001E86" w:rsidP="00C255C2">
            <w:pPr>
              <w:pStyle w:val="SmallBodyText"/>
            </w:pPr>
          </w:p>
        </w:tc>
      </w:tr>
    </w:tbl>
    <w:p w:rsidR="00001E86" w:rsidRPr="00806AB6" w:rsidRDefault="00001E86" w:rsidP="004C6213"/>
    <w:sectPr w:rsidR="00001E86" w:rsidRPr="00806AB6" w:rsidSect="00795C1C">
      <w:type w:val="continuous"/>
      <w:pgSz w:w="11907" w:h="16840" w:code="9"/>
      <w:pgMar w:top="2211" w:right="851" w:bottom="794" w:left="851" w:header="284" w:footer="284"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F0C" w:rsidRDefault="006B4F0C">
      <w:r>
        <w:separator/>
      </w:r>
    </w:p>
    <w:p w:rsidR="006B4F0C" w:rsidRDefault="006B4F0C"/>
    <w:p w:rsidR="006B4F0C" w:rsidRDefault="006B4F0C"/>
  </w:endnote>
  <w:endnote w:type="continuationSeparator" w:id="0">
    <w:p w:rsidR="006B4F0C" w:rsidRDefault="006B4F0C">
      <w:r>
        <w:continuationSeparator/>
      </w:r>
    </w:p>
    <w:p w:rsidR="006B4F0C" w:rsidRDefault="006B4F0C"/>
    <w:p w:rsidR="006B4F0C" w:rsidRDefault="006B4F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C4" w:rsidRPr="00B5221E" w:rsidRDefault="00A209C4" w:rsidP="00E97294">
    <w:pPr>
      <w:pStyle w:val="FooterEven"/>
    </w:pPr>
    <w:r w:rsidRPr="00D55628">
      <w:rPr>
        <w:noProof/>
      </w:rPr>
      <mc:AlternateContent>
        <mc:Choice Requires="wps">
          <w:drawing>
            <wp:anchor distT="0" distB="0" distL="114300" distR="114300" simplePos="0" relativeHeight="251637760" behindDoc="1" locked="1" layoutInCell="1" allowOverlap="1" wp14:anchorId="5D8E33ED" wp14:editId="336AEC6E">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9C4" w:rsidRPr="0001226A" w:rsidRDefault="00A209C4" w:rsidP="00DF21D2">
                          <w:pPr>
                            <w:pStyle w:val="xStatu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4" o:spid="_x0000_s1027"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rsidR="00A209C4" w:rsidRPr="0001226A" w:rsidRDefault="00A209C4" w:rsidP="00DF21D2">
                    <w:pPr>
                      <w:pStyle w:val="xStatus"/>
                    </w:pP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C4" w:rsidRDefault="00A209C4" w:rsidP="00213C82">
    <w:pPr>
      <w:pStyle w:val="Footer"/>
    </w:pPr>
    <w:r w:rsidRPr="00D55628">
      <w:rPr>
        <w:noProof/>
      </w:rPr>
      <mc:AlternateContent>
        <mc:Choice Requires="wps">
          <w:drawing>
            <wp:anchor distT="0" distB="0" distL="114300" distR="114300" simplePos="0" relativeHeight="251641856" behindDoc="1" locked="1" layoutInCell="1" allowOverlap="1" wp14:anchorId="27FD0FEE" wp14:editId="3258DA61">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9C4" w:rsidRPr="0001226A" w:rsidRDefault="00A209C4" w:rsidP="00DF21D2">
                          <w:pPr>
                            <w:pStyle w:val="xStatu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rsidR="00A209C4" w:rsidRPr="0001226A" w:rsidRDefault="00A209C4" w:rsidP="00DF21D2">
                    <w:pPr>
                      <w:pStyle w:val="xStatus"/>
                    </w:pPr>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C4" w:rsidRDefault="00A209C4" w:rsidP="00BF3066">
    <w:pPr>
      <w:pStyle w:val="Footer"/>
      <w:spacing w:before="1600"/>
    </w:pPr>
    <w:r>
      <w:rPr>
        <w:noProof/>
        <w:sz w:val="18"/>
      </w:rPr>
      <mc:AlternateContent>
        <mc:Choice Requires="wps">
          <w:drawing>
            <wp:anchor distT="0" distB="0" distL="114300" distR="114300" simplePos="0" relativeHeight="251666432" behindDoc="0" locked="1" layoutInCell="1" allowOverlap="1" wp14:anchorId="44097DC4" wp14:editId="3B2A9C0C">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09C4" w:rsidRPr="009F69FA" w:rsidRDefault="00A209C4" w:rsidP="00213C82">
                          <w:pPr>
                            <w:pStyle w:val="xWeb"/>
                          </w:pPr>
                          <w:bookmarkStart w:id="0" w:name="Here"/>
                          <w:r w:rsidRPr="009F69FA">
                            <w:t>de</w:t>
                          </w:r>
                          <w:r>
                            <w:t>lwp</w:t>
                          </w:r>
                          <w:r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WebAddress" o:spid="_x0000_s1029" type="#_x0000_t202" style="position:absolute;margin-left:0;margin-top:0;width:303pt;height:56.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rsidR="00A209C4" w:rsidRPr="009F69FA" w:rsidRDefault="00A209C4" w:rsidP="00213C82">
                    <w:pPr>
                      <w:pStyle w:val="xWeb"/>
                    </w:pPr>
                    <w:bookmarkStart w:id="1" w:name="Here"/>
                    <w:r w:rsidRPr="009F69FA">
                      <w:t>de</w:t>
                    </w:r>
                    <w:r>
                      <w:t>lwp</w:t>
                    </w:r>
                    <w:r w:rsidRPr="009F69FA">
                      <w:t>.vic.gov.au</w:t>
                    </w:r>
                    <w:bookmarkEnd w:id="1"/>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6CB15C03" wp14:editId="6B23CF41">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F0C" w:rsidRPr="008F5280" w:rsidRDefault="006B4F0C" w:rsidP="008F5280">
      <w:pPr>
        <w:pStyle w:val="FootnoteSeparator"/>
      </w:pPr>
    </w:p>
    <w:p w:rsidR="006B4F0C" w:rsidRDefault="006B4F0C"/>
  </w:footnote>
  <w:footnote w:type="continuationSeparator" w:id="0">
    <w:p w:rsidR="006B4F0C" w:rsidRDefault="006B4F0C" w:rsidP="008F5280">
      <w:pPr>
        <w:pStyle w:val="FootnoteSeparator"/>
      </w:pPr>
    </w:p>
    <w:p w:rsidR="006B4F0C" w:rsidRDefault="006B4F0C"/>
    <w:p w:rsidR="006B4F0C" w:rsidRDefault="006B4F0C"/>
  </w:footnote>
  <w:footnote w:type="continuationNotice" w:id="1">
    <w:p w:rsidR="006B4F0C" w:rsidRDefault="006B4F0C" w:rsidP="00D55628"/>
    <w:p w:rsidR="006B4F0C" w:rsidRDefault="006B4F0C"/>
    <w:p w:rsidR="006B4F0C" w:rsidRDefault="006B4F0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6B4F0C" w:rsidTr="00920652">
      <w:trPr>
        <w:trHeight w:hRule="exact" w:val="1418"/>
      </w:trPr>
      <w:tc>
        <w:tcPr>
          <w:tcW w:w="7761" w:type="dxa"/>
          <w:vAlign w:val="center"/>
        </w:tcPr>
        <w:p w:rsidR="00A209C4" w:rsidRPr="006B4F0C" w:rsidRDefault="007F5004" w:rsidP="00920652">
          <w:pPr>
            <w:pStyle w:val="Header"/>
          </w:pPr>
          <w:r>
            <w:fldChar w:fldCharType="begin"/>
          </w:r>
          <w:r>
            <w:instrText xml:space="preserve"> STYLEREF  Title  \* MERGEFORMAT </w:instrText>
          </w:r>
          <w:r>
            <w:fldChar w:fldCharType="separate"/>
          </w:r>
          <w:r>
            <w:rPr>
              <w:noProof/>
            </w:rPr>
            <w:t>New &amp; revised activities in the Victorian Energy Efficiency Target scheme</w:t>
          </w:r>
          <w:r>
            <w:rPr>
              <w:noProof/>
            </w:rPr>
            <w:fldChar w:fldCharType="end"/>
          </w:r>
        </w:p>
      </w:tc>
    </w:tr>
  </w:tbl>
  <w:p w:rsidR="00A209C4" w:rsidRPr="00E97294" w:rsidRDefault="00A209C4" w:rsidP="00435833">
    <w:pPr>
      <w:pStyle w:val="Header"/>
    </w:pPr>
    <w:r w:rsidRPr="00806AB6">
      <w:rPr>
        <w:noProof/>
      </w:rPr>
      <mc:AlternateContent>
        <mc:Choice Requires="wps">
          <w:drawing>
            <wp:anchor distT="0" distB="0" distL="114300" distR="114300" simplePos="0" relativeHeight="251678720" behindDoc="1" locked="0" layoutInCell="1" allowOverlap="1" wp14:anchorId="559F7040" wp14:editId="60A21BC4">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4624" behindDoc="1" locked="0" layoutInCell="1" allowOverlap="1" wp14:anchorId="46102A36" wp14:editId="753024B1">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Left" o:spid="_x0000_s1026" style="position:absolute;margin-left:22.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0072ce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0528" behindDoc="1" locked="0" layoutInCell="1" allowOverlap="1" wp14:anchorId="52FC9AA7" wp14:editId="3FC5D85A">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o:spid="_x0000_s1026" style="position:absolute;margin-left:22.7pt;margin-top:22.7pt;width:552.75pt;height:70.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A209C4" w:rsidRDefault="00A209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C1C" w:rsidRPr="00E97294" w:rsidRDefault="00795C1C" w:rsidP="00795C1C">
    <w:pPr>
      <w:pStyle w:val="Header"/>
    </w:pPr>
    <w:r w:rsidRPr="00806AB6">
      <w:rPr>
        <w:noProof/>
      </w:rPr>
      <mc:AlternateContent>
        <mc:Choice Requires="wps">
          <w:drawing>
            <wp:anchor distT="0" distB="0" distL="114300" distR="114300" simplePos="0" relativeHeight="251682816" behindDoc="1" locked="0" layoutInCell="1" allowOverlap="1" wp14:anchorId="2703126B" wp14:editId="3BE657F5">
              <wp:simplePos x="0" y="0"/>
              <wp:positionH relativeFrom="page">
                <wp:posOffset>720090</wp:posOffset>
              </wp:positionH>
              <wp:positionV relativeFrom="page">
                <wp:posOffset>288290</wp:posOffset>
              </wp:positionV>
              <wp:extent cx="864000" cy="900000"/>
              <wp:effectExtent l="0" t="0" r="0" b="0"/>
              <wp:wrapNone/>
              <wp:docPr id="9"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Right" o:spid="_x0000_s1026" style="position:absolute;margin-left:56.7pt;margin-top:22.7pt;width:68.05pt;height:70.8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7QH0wIAAOg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81792" behindDoc="1" locked="0" layoutInCell="1" allowOverlap="1" wp14:anchorId="0EC9179E" wp14:editId="539BB20F">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Left" o:spid="_x0000_s1026" style="position:absolute;margin-left:22.7pt;margin-top:22.7pt;width:68.05pt;height:70.8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kC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DLlLKFGsQo6WpmRqLcWDyJ0XqKntHLin+tF4irZ+0PzZwhAdWfzGAkNWzTedwQ/bOB1E2eWm8idB&#10;l+yC9i977cXOEY6PV7NJHCNDHKZrrLD2N7B5f5hvrPsidHDEtg/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8+llJ5KmKjiThqyZZiF2fOoU/EIJUNi&#10;lfan2lvaL+jStlhCy/sub8fCSmcv6Hij28GKHwEWhTa/KWkwVFNqf22YEZTIrwpT6zqZTMDLhc1k&#10;ejnCxgwtq6GFKQ5XKXUUNemXd66d3JvalOsCNyUhX0p/wqTJSz8RQnxtVN0GgzOo1A15P5mH+4A6&#10;/IoWf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CTjJAtACAADSBgAADgAAAAAAAAAAAAAAAAAuAgAAZHJzL2Uyb0Rv&#10;Yy54bWxQSwECLQAUAAYACAAAACEA3BC+V98AAAAJAQAADwAAAAAAAAAAAAAAAAAqBQAAZHJzL2Rv&#10;d25yZXYueG1sUEsFBgAAAAAEAAQA8wAAADYGAAAAAA==&#10;" path="m,l665,1419,1334,,,xe" fillcolor="#0072ce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80768" behindDoc="1" locked="0" layoutInCell="1" allowOverlap="1" wp14:anchorId="170AC2FE" wp14:editId="12E74013">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o:spid="_x0000_s1026" style="position:absolute;margin-left:22.7pt;margin-top:22.7pt;width:552.75pt;height:70.8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AQZfrM/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795C1C" w:rsidRDefault="007F5004" w:rsidP="00795C1C">
    <w:pPr>
      <w:pStyle w:val="Header"/>
      <w:ind w:left="2552"/>
    </w:pPr>
    <w:r>
      <w:fldChar w:fldCharType="begin"/>
    </w:r>
    <w:r>
      <w:instrText xml:space="preserve"> STYLEREF  Title  \* MERGEFORMAT </w:instrText>
    </w:r>
    <w:r>
      <w:fldChar w:fldCharType="separate"/>
    </w:r>
    <w:r w:rsidR="003E057E">
      <w:rPr>
        <w:noProof/>
      </w:rPr>
      <w:t>New &amp; revised activities in the Victorian Energy Efficiency Target scheme</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C4" w:rsidRPr="00E97294" w:rsidRDefault="00A209C4" w:rsidP="00E97294">
    <w:pPr>
      <w:pStyle w:val="Header"/>
    </w:pPr>
    <w:r w:rsidRPr="00806AB6">
      <w:rPr>
        <w:noProof/>
      </w:rPr>
      <mc:AlternateContent>
        <mc:Choice Requires="wps">
          <w:drawing>
            <wp:anchor distT="0" distB="0" distL="114300" distR="114300" simplePos="0" relativeHeight="251654144" behindDoc="1" locked="0" layoutInCell="1" allowOverlap="1" wp14:anchorId="15BE8891" wp14:editId="4989E789">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4A8449D6" wp14:editId="50117321">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99c7eb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487A9167" wp14:editId="21290326">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0072ce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3D6A7D68" wp14:editId="3959C5E4">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11248CC"/>
    <w:lvl w:ilvl="0">
      <w:start w:val="1"/>
      <w:numFmt w:val="decimal"/>
      <w:lvlText w:val="%1."/>
      <w:lvlJc w:val="left"/>
      <w:pPr>
        <w:tabs>
          <w:tab w:val="num" w:pos="1492"/>
        </w:tabs>
        <w:ind w:left="1492" w:hanging="360"/>
      </w:pPr>
    </w:lvl>
  </w:abstractNum>
  <w:abstractNum w:abstractNumId="1">
    <w:nsid w:val="FFFFFF7D"/>
    <w:multiLevelType w:val="singleLevel"/>
    <w:tmpl w:val="364C6276"/>
    <w:lvl w:ilvl="0">
      <w:start w:val="1"/>
      <w:numFmt w:val="decimal"/>
      <w:lvlText w:val="%1."/>
      <w:lvlJc w:val="left"/>
      <w:pPr>
        <w:tabs>
          <w:tab w:val="num" w:pos="1209"/>
        </w:tabs>
        <w:ind w:left="1209" w:hanging="360"/>
      </w:pPr>
    </w:lvl>
  </w:abstractNum>
  <w:abstractNum w:abstractNumId="2">
    <w:nsid w:val="FFFFFF7E"/>
    <w:multiLevelType w:val="singleLevel"/>
    <w:tmpl w:val="475E671E"/>
    <w:lvl w:ilvl="0">
      <w:start w:val="1"/>
      <w:numFmt w:val="decimal"/>
      <w:lvlText w:val="%1."/>
      <w:lvlJc w:val="left"/>
      <w:pPr>
        <w:tabs>
          <w:tab w:val="num" w:pos="926"/>
        </w:tabs>
        <w:ind w:left="926" w:hanging="360"/>
      </w:pPr>
    </w:lvl>
  </w:abstractNum>
  <w:abstractNum w:abstractNumId="3">
    <w:nsid w:val="FFFFFF7F"/>
    <w:multiLevelType w:val="singleLevel"/>
    <w:tmpl w:val="0692474E"/>
    <w:lvl w:ilvl="0">
      <w:start w:val="1"/>
      <w:numFmt w:val="decimal"/>
      <w:lvlText w:val="%1."/>
      <w:lvlJc w:val="left"/>
      <w:pPr>
        <w:tabs>
          <w:tab w:val="num" w:pos="643"/>
        </w:tabs>
        <w:ind w:left="643" w:hanging="360"/>
      </w:pPr>
    </w:lvl>
  </w:abstractNum>
  <w:abstractNum w:abstractNumId="4">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60A891A"/>
    <w:lvl w:ilvl="0">
      <w:start w:val="1"/>
      <w:numFmt w:val="decimal"/>
      <w:lvlText w:val="%1."/>
      <w:lvlJc w:val="left"/>
      <w:pPr>
        <w:tabs>
          <w:tab w:val="num" w:pos="360"/>
        </w:tabs>
        <w:ind w:left="360" w:hanging="360"/>
      </w:pPr>
    </w:lvl>
  </w:abstractNum>
  <w:abstractNum w:abstractNumId="9">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nsid w:val="0C351215"/>
    <w:multiLevelType w:val="multilevel"/>
    <w:tmpl w:val="6C1270E4"/>
    <w:name w:val="DELWPHeadings"/>
    <w:lvl w:ilvl="0">
      <w:start w:val="1"/>
      <w:numFmt w:val="none"/>
      <w:lvlRestart w:val="0"/>
      <w:suff w:val="nothing"/>
      <w:lvlText w:val=""/>
      <w:lvlJc w:val="left"/>
      <w:pPr>
        <w:ind w:left="0" w:firstLine="0"/>
      </w:pPr>
      <w:rPr>
        <w:rFonts w:hint="default"/>
        <w:color w:val="0072CE" w:themeColor="text2"/>
        <w:sz w:val="4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nsid w:val="34F3798A"/>
    <w:multiLevelType w:val="hybridMultilevel"/>
    <w:tmpl w:val="E4ECC88C"/>
    <w:lvl w:ilvl="0" w:tplc="858CDC60">
      <w:numFmt w:val="bullet"/>
      <w:lvlText w:val="-"/>
      <w:lvlJc w:val="left"/>
      <w:pPr>
        <w:ind w:left="990" w:hanging="360"/>
      </w:pPr>
      <w:rPr>
        <w:rFonts w:ascii="Arial" w:eastAsia="Times New Roman" w:hAnsi="Arial" w:cs="Arial" w:hint="default"/>
      </w:rPr>
    </w:lvl>
    <w:lvl w:ilvl="1" w:tplc="0C090003" w:tentative="1">
      <w:start w:val="1"/>
      <w:numFmt w:val="bullet"/>
      <w:lvlText w:val="o"/>
      <w:lvlJc w:val="left"/>
      <w:pPr>
        <w:ind w:left="1710" w:hanging="360"/>
      </w:pPr>
      <w:rPr>
        <w:rFonts w:ascii="Courier New" w:hAnsi="Courier New" w:cs="Courier New" w:hint="default"/>
      </w:rPr>
    </w:lvl>
    <w:lvl w:ilvl="2" w:tplc="0C090005" w:tentative="1">
      <w:start w:val="1"/>
      <w:numFmt w:val="bullet"/>
      <w:lvlText w:val=""/>
      <w:lvlJc w:val="left"/>
      <w:pPr>
        <w:ind w:left="2430" w:hanging="360"/>
      </w:pPr>
      <w:rPr>
        <w:rFonts w:ascii="Wingdings" w:hAnsi="Wingdings" w:hint="default"/>
      </w:rPr>
    </w:lvl>
    <w:lvl w:ilvl="3" w:tplc="0C090001" w:tentative="1">
      <w:start w:val="1"/>
      <w:numFmt w:val="bullet"/>
      <w:lvlText w:val=""/>
      <w:lvlJc w:val="left"/>
      <w:pPr>
        <w:ind w:left="3150" w:hanging="360"/>
      </w:pPr>
      <w:rPr>
        <w:rFonts w:ascii="Symbol" w:hAnsi="Symbol" w:hint="default"/>
      </w:rPr>
    </w:lvl>
    <w:lvl w:ilvl="4" w:tplc="0C090003" w:tentative="1">
      <w:start w:val="1"/>
      <w:numFmt w:val="bullet"/>
      <w:lvlText w:val="o"/>
      <w:lvlJc w:val="left"/>
      <w:pPr>
        <w:ind w:left="3870" w:hanging="360"/>
      </w:pPr>
      <w:rPr>
        <w:rFonts w:ascii="Courier New" w:hAnsi="Courier New" w:cs="Courier New" w:hint="default"/>
      </w:rPr>
    </w:lvl>
    <w:lvl w:ilvl="5" w:tplc="0C090005" w:tentative="1">
      <w:start w:val="1"/>
      <w:numFmt w:val="bullet"/>
      <w:lvlText w:val=""/>
      <w:lvlJc w:val="left"/>
      <w:pPr>
        <w:ind w:left="4590" w:hanging="360"/>
      </w:pPr>
      <w:rPr>
        <w:rFonts w:ascii="Wingdings" w:hAnsi="Wingdings" w:hint="default"/>
      </w:rPr>
    </w:lvl>
    <w:lvl w:ilvl="6" w:tplc="0C090001" w:tentative="1">
      <w:start w:val="1"/>
      <w:numFmt w:val="bullet"/>
      <w:lvlText w:val=""/>
      <w:lvlJc w:val="left"/>
      <w:pPr>
        <w:ind w:left="5310" w:hanging="360"/>
      </w:pPr>
      <w:rPr>
        <w:rFonts w:ascii="Symbol" w:hAnsi="Symbol" w:hint="default"/>
      </w:rPr>
    </w:lvl>
    <w:lvl w:ilvl="7" w:tplc="0C090003" w:tentative="1">
      <w:start w:val="1"/>
      <w:numFmt w:val="bullet"/>
      <w:lvlText w:val="o"/>
      <w:lvlJc w:val="left"/>
      <w:pPr>
        <w:ind w:left="6030" w:hanging="360"/>
      </w:pPr>
      <w:rPr>
        <w:rFonts w:ascii="Courier New" w:hAnsi="Courier New" w:cs="Courier New" w:hint="default"/>
      </w:rPr>
    </w:lvl>
    <w:lvl w:ilvl="8" w:tplc="0C090005" w:tentative="1">
      <w:start w:val="1"/>
      <w:numFmt w:val="bullet"/>
      <w:lvlText w:val=""/>
      <w:lvlJc w:val="left"/>
      <w:pPr>
        <w:ind w:left="6750" w:hanging="360"/>
      </w:pPr>
      <w:rPr>
        <w:rFonts w:ascii="Wingdings" w:hAnsi="Wingdings" w:hint="default"/>
      </w:rPr>
    </w:lvl>
  </w:abstractNum>
  <w:abstractNum w:abstractNumId="17">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D545EC4"/>
    <w:multiLevelType w:val="multilevel"/>
    <w:tmpl w:val="E4AAF846"/>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2">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3">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4">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550B6118"/>
    <w:multiLevelType w:val="hybridMultilevel"/>
    <w:tmpl w:val="1598CA60"/>
    <w:lvl w:ilvl="0" w:tplc="882EDBF0">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6">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7">
    <w:nsid w:val="62BE652C"/>
    <w:multiLevelType w:val="hybridMultilevel"/>
    <w:tmpl w:val="14B4B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9">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72CE"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2">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3">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4">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9"/>
  </w:num>
  <w:num w:numId="2">
    <w:abstractNumId w:val="30"/>
  </w:num>
  <w:num w:numId="3">
    <w:abstractNumId w:val="26"/>
  </w:num>
  <w:num w:numId="4">
    <w:abstractNumId w:val="34"/>
  </w:num>
  <w:num w:numId="5">
    <w:abstractNumId w:val="15"/>
  </w:num>
  <w:num w:numId="6">
    <w:abstractNumId w:val="12"/>
  </w:num>
  <w:num w:numId="7">
    <w:abstractNumId w:val="11"/>
  </w:num>
  <w:num w:numId="8">
    <w:abstractNumId w:val="10"/>
  </w:num>
  <w:num w:numId="9">
    <w:abstractNumId w:val="31"/>
  </w:num>
  <w:num w:numId="10">
    <w:abstractNumId w:val="13"/>
  </w:num>
  <w:num w:numId="11">
    <w:abstractNumId w:val="1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3"/>
    <w:lvlOverride w:ilvl="0">
      <w:startOverride w:val="1"/>
    </w:lvlOverride>
  </w:num>
  <w:num w:numId="29">
    <w:abstractNumId w:val="20"/>
  </w:num>
  <w:num w:numId="30">
    <w:abstractNumId w:val="32"/>
  </w:num>
  <w:num w:numId="31">
    <w:abstractNumId w:val="8"/>
  </w:num>
  <w:num w:numId="32">
    <w:abstractNumId w:val="29"/>
  </w:num>
  <w:num w:numId="33">
    <w:abstractNumId w:val="21"/>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27"/>
  </w:num>
  <w:num w:numId="44">
    <w:abstractNumId w:val="25"/>
  </w:num>
  <w:num w:numId="45">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hideSpellingErrors/>
  <w:activeWritingStyle w:appName="MSWord" w:lang="en-US" w:vendorID="64" w:dllVersion="131078" w:nlCheck="1" w:checkStyle="1"/>
  <w:activeWritingStyle w:appName="MSWord" w:lang="en-AU"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49153"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ergy"/>
    <w:docVar w:name="TOC" w:val="True"/>
    <w:docVar w:name="TOCNew" w:val="True"/>
    <w:docVar w:name="Version" w:val="1"/>
  </w:docVars>
  <w:rsids>
    <w:rsidRoot w:val="006B4F0C"/>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973"/>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3DF2"/>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0FA1"/>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87ED8"/>
    <w:rsid w:val="000908D6"/>
    <w:rsid w:val="0009125C"/>
    <w:rsid w:val="000913AD"/>
    <w:rsid w:val="00091F49"/>
    <w:rsid w:val="0009214D"/>
    <w:rsid w:val="00093051"/>
    <w:rsid w:val="0009350F"/>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3EAB"/>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AE8"/>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19A5"/>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93E"/>
    <w:rsid w:val="00170713"/>
    <w:rsid w:val="00170F85"/>
    <w:rsid w:val="001715D8"/>
    <w:rsid w:val="00171FD1"/>
    <w:rsid w:val="00172031"/>
    <w:rsid w:val="00172DA4"/>
    <w:rsid w:val="00173E6F"/>
    <w:rsid w:val="00173F6E"/>
    <w:rsid w:val="001748A0"/>
    <w:rsid w:val="0017556F"/>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3BE"/>
    <w:rsid w:val="001A45A0"/>
    <w:rsid w:val="001A4BB8"/>
    <w:rsid w:val="001A50A5"/>
    <w:rsid w:val="001A548E"/>
    <w:rsid w:val="001A5625"/>
    <w:rsid w:val="001A64F5"/>
    <w:rsid w:val="001A677B"/>
    <w:rsid w:val="001A7053"/>
    <w:rsid w:val="001A7616"/>
    <w:rsid w:val="001A788D"/>
    <w:rsid w:val="001A7B61"/>
    <w:rsid w:val="001A7F0C"/>
    <w:rsid w:val="001B0107"/>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7EF"/>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8AE"/>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A09"/>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040"/>
    <w:rsid w:val="002F1D03"/>
    <w:rsid w:val="002F1ECC"/>
    <w:rsid w:val="002F25E9"/>
    <w:rsid w:val="002F3E23"/>
    <w:rsid w:val="002F4165"/>
    <w:rsid w:val="002F42C2"/>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6AF"/>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98A"/>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12E"/>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57E"/>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444"/>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2AF"/>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0A1"/>
    <w:rsid w:val="004244DD"/>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402"/>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5E14"/>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890"/>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49BA"/>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34"/>
    <w:rsid w:val="00483A51"/>
    <w:rsid w:val="00483B71"/>
    <w:rsid w:val="00483D92"/>
    <w:rsid w:val="00483FCE"/>
    <w:rsid w:val="0048408A"/>
    <w:rsid w:val="004842EB"/>
    <w:rsid w:val="00484746"/>
    <w:rsid w:val="004849DA"/>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601"/>
    <w:rsid w:val="004A39FD"/>
    <w:rsid w:val="004A45E4"/>
    <w:rsid w:val="004A4A85"/>
    <w:rsid w:val="004A5164"/>
    <w:rsid w:val="004A5391"/>
    <w:rsid w:val="004A5619"/>
    <w:rsid w:val="004A5897"/>
    <w:rsid w:val="004A593E"/>
    <w:rsid w:val="004A5D61"/>
    <w:rsid w:val="004A5EE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0BB"/>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A5A"/>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447"/>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56A"/>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813"/>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467"/>
    <w:rsid w:val="00527730"/>
    <w:rsid w:val="0053023B"/>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7BD"/>
    <w:rsid w:val="0054585E"/>
    <w:rsid w:val="00545B76"/>
    <w:rsid w:val="00546073"/>
    <w:rsid w:val="0054736B"/>
    <w:rsid w:val="005478BB"/>
    <w:rsid w:val="00547BC4"/>
    <w:rsid w:val="00550BE8"/>
    <w:rsid w:val="00550C69"/>
    <w:rsid w:val="00551607"/>
    <w:rsid w:val="00552423"/>
    <w:rsid w:val="00552772"/>
    <w:rsid w:val="005534BB"/>
    <w:rsid w:val="00553651"/>
    <w:rsid w:val="0055365C"/>
    <w:rsid w:val="00553668"/>
    <w:rsid w:val="00553ADF"/>
    <w:rsid w:val="005541D4"/>
    <w:rsid w:val="00554A10"/>
    <w:rsid w:val="00555078"/>
    <w:rsid w:val="005550AC"/>
    <w:rsid w:val="005565AB"/>
    <w:rsid w:val="00556A21"/>
    <w:rsid w:val="00556E29"/>
    <w:rsid w:val="00556EE7"/>
    <w:rsid w:val="0056060F"/>
    <w:rsid w:val="005613E8"/>
    <w:rsid w:val="0056158C"/>
    <w:rsid w:val="00561816"/>
    <w:rsid w:val="005619B2"/>
    <w:rsid w:val="00561C27"/>
    <w:rsid w:val="00561F68"/>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258"/>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CE6"/>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130"/>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630"/>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0FC"/>
    <w:rsid w:val="005D48A2"/>
    <w:rsid w:val="005D497A"/>
    <w:rsid w:val="005D4AA8"/>
    <w:rsid w:val="005D52C9"/>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47A"/>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091"/>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D5C"/>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936"/>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F0C"/>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16"/>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391"/>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0F74"/>
    <w:rsid w:val="006E10BA"/>
    <w:rsid w:val="006E1305"/>
    <w:rsid w:val="006E1C8D"/>
    <w:rsid w:val="006E2242"/>
    <w:rsid w:val="006E227F"/>
    <w:rsid w:val="006E262F"/>
    <w:rsid w:val="006E29C7"/>
    <w:rsid w:val="006E2A46"/>
    <w:rsid w:val="006E2A62"/>
    <w:rsid w:val="006E32DD"/>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704"/>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1DB"/>
    <w:rsid w:val="00716795"/>
    <w:rsid w:val="007169A1"/>
    <w:rsid w:val="00716CA0"/>
    <w:rsid w:val="007172B7"/>
    <w:rsid w:val="007178CC"/>
    <w:rsid w:val="00717B97"/>
    <w:rsid w:val="00720154"/>
    <w:rsid w:val="007202E0"/>
    <w:rsid w:val="007209C2"/>
    <w:rsid w:val="00720B19"/>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628"/>
    <w:rsid w:val="0075373B"/>
    <w:rsid w:val="00753FA3"/>
    <w:rsid w:val="00754BEB"/>
    <w:rsid w:val="00754D6D"/>
    <w:rsid w:val="00754F62"/>
    <w:rsid w:val="007554D1"/>
    <w:rsid w:val="00755955"/>
    <w:rsid w:val="00755B35"/>
    <w:rsid w:val="00755CC8"/>
    <w:rsid w:val="00755F55"/>
    <w:rsid w:val="00756497"/>
    <w:rsid w:val="00756552"/>
    <w:rsid w:val="00756981"/>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A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4CB"/>
    <w:rsid w:val="007947CB"/>
    <w:rsid w:val="00794808"/>
    <w:rsid w:val="0079521E"/>
    <w:rsid w:val="00795366"/>
    <w:rsid w:val="00795609"/>
    <w:rsid w:val="0079581E"/>
    <w:rsid w:val="00795C1C"/>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3BBA"/>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9EE"/>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132"/>
    <w:rsid w:val="007F32C9"/>
    <w:rsid w:val="007F35A0"/>
    <w:rsid w:val="007F4249"/>
    <w:rsid w:val="007F4643"/>
    <w:rsid w:val="007F5004"/>
    <w:rsid w:val="007F52F1"/>
    <w:rsid w:val="007F5B9D"/>
    <w:rsid w:val="007F5E2A"/>
    <w:rsid w:val="007F66D7"/>
    <w:rsid w:val="007F68B8"/>
    <w:rsid w:val="007F6E4D"/>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592"/>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41F"/>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0B6"/>
    <w:rsid w:val="00854775"/>
    <w:rsid w:val="00854A92"/>
    <w:rsid w:val="00854AFC"/>
    <w:rsid w:val="00854E25"/>
    <w:rsid w:val="00855D27"/>
    <w:rsid w:val="00856840"/>
    <w:rsid w:val="00856B69"/>
    <w:rsid w:val="008577AF"/>
    <w:rsid w:val="008579A6"/>
    <w:rsid w:val="0086000C"/>
    <w:rsid w:val="008601AB"/>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8D9"/>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2D"/>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3B8"/>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D98"/>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34E"/>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3770D"/>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E1"/>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2D"/>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4BF"/>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A2"/>
    <w:rsid w:val="009A28F9"/>
    <w:rsid w:val="009A2E7A"/>
    <w:rsid w:val="009A2F7F"/>
    <w:rsid w:val="009A347B"/>
    <w:rsid w:val="009A39B3"/>
    <w:rsid w:val="009A3A46"/>
    <w:rsid w:val="009A4345"/>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7F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3ED"/>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28B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DDB"/>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CB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ABA"/>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6AB9"/>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536"/>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2A3"/>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21B"/>
    <w:rsid w:val="00BB4405"/>
    <w:rsid w:val="00BB450E"/>
    <w:rsid w:val="00BB4B4F"/>
    <w:rsid w:val="00BB5175"/>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3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C7B"/>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992"/>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B74"/>
    <w:rsid w:val="00CA1C75"/>
    <w:rsid w:val="00CA1D01"/>
    <w:rsid w:val="00CA1DB7"/>
    <w:rsid w:val="00CA1F0E"/>
    <w:rsid w:val="00CA2A66"/>
    <w:rsid w:val="00CA2AD6"/>
    <w:rsid w:val="00CA2FBC"/>
    <w:rsid w:val="00CA3229"/>
    <w:rsid w:val="00CA34F9"/>
    <w:rsid w:val="00CA42F4"/>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1B83"/>
    <w:rsid w:val="00CC29B3"/>
    <w:rsid w:val="00CC2BDE"/>
    <w:rsid w:val="00CC2F9B"/>
    <w:rsid w:val="00CC31EC"/>
    <w:rsid w:val="00CC43B2"/>
    <w:rsid w:val="00CC54F6"/>
    <w:rsid w:val="00CC5502"/>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9E4"/>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D76E4"/>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2E2"/>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5D7B"/>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3F86"/>
    <w:rsid w:val="00D248DA"/>
    <w:rsid w:val="00D24D9F"/>
    <w:rsid w:val="00D25604"/>
    <w:rsid w:val="00D25B8C"/>
    <w:rsid w:val="00D266DE"/>
    <w:rsid w:val="00D26FC2"/>
    <w:rsid w:val="00D270B3"/>
    <w:rsid w:val="00D27135"/>
    <w:rsid w:val="00D2725B"/>
    <w:rsid w:val="00D30DFC"/>
    <w:rsid w:val="00D31D2C"/>
    <w:rsid w:val="00D3264A"/>
    <w:rsid w:val="00D32A6E"/>
    <w:rsid w:val="00D32E8E"/>
    <w:rsid w:val="00D33354"/>
    <w:rsid w:val="00D3356C"/>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6F80"/>
    <w:rsid w:val="00D570BE"/>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38B"/>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7DA"/>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97CC4"/>
    <w:rsid w:val="00DA0680"/>
    <w:rsid w:val="00DA09FE"/>
    <w:rsid w:val="00DA0D82"/>
    <w:rsid w:val="00DA1157"/>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28F"/>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C58"/>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3AA"/>
    <w:rsid w:val="00E254E5"/>
    <w:rsid w:val="00E254F5"/>
    <w:rsid w:val="00E25896"/>
    <w:rsid w:val="00E25BCE"/>
    <w:rsid w:val="00E269D3"/>
    <w:rsid w:val="00E26A34"/>
    <w:rsid w:val="00E26E66"/>
    <w:rsid w:val="00E27A00"/>
    <w:rsid w:val="00E27A19"/>
    <w:rsid w:val="00E27CF0"/>
    <w:rsid w:val="00E27F2C"/>
    <w:rsid w:val="00E301C7"/>
    <w:rsid w:val="00E301D1"/>
    <w:rsid w:val="00E30EAD"/>
    <w:rsid w:val="00E30EE0"/>
    <w:rsid w:val="00E30F72"/>
    <w:rsid w:val="00E310E3"/>
    <w:rsid w:val="00E31B8A"/>
    <w:rsid w:val="00E3206C"/>
    <w:rsid w:val="00E3215F"/>
    <w:rsid w:val="00E32A05"/>
    <w:rsid w:val="00E32BE3"/>
    <w:rsid w:val="00E32E70"/>
    <w:rsid w:val="00E3371C"/>
    <w:rsid w:val="00E34147"/>
    <w:rsid w:val="00E34BF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61D"/>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B53"/>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4E82"/>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702"/>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4F79"/>
    <w:rsid w:val="00F3523F"/>
    <w:rsid w:val="00F35840"/>
    <w:rsid w:val="00F3585E"/>
    <w:rsid w:val="00F35D9B"/>
    <w:rsid w:val="00F35FDF"/>
    <w:rsid w:val="00F367A6"/>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A21"/>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08A9"/>
    <w:rsid w:val="00F715D7"/>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30C"/>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2A8"/>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81B"/>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style="mso-position-horizontal-relative:page;mso-position-vertical-relative:page" stroke="f">
      <v:stroke on="f"/>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unhideWhenUsed="0"/>
    <w:lsdException w:name="table of figures" w:uiPriority="99"/>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List Number 3" w:qFormat="1"/>
    <w:lsdException w:name="Title" w:semiHidden="0" w:uiPriority="99" w:unhideWhenUsed="0"/>
    <w:lsdException w:name="Default Paragraph Font" w:uiPriority="1"/>
    <w:lsdException w:name="Body Text" w:qFormat="1"/>
    <w:lsdException w:name="List Continue" w:uiPriority="1" w:qFormat="1"/>
    <w:lsdException w:name="List Continue 2" w:uiPriority="1" w:qFormat="1"/>
    <w:lsdException w:name="Subtitle" w:semiHidden="0" w:uiPriority="99"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spacing w:before="300" w:after="360" w:line="440" w:lineRule="exact"/>
      <w:outlineLvl w:val="0"/>
    </w:pPr>
    <w:rPr>
      <w:b/>
      <w:bCs/>
      <w:color w:val="0072CE" w:themeColor="text2"/>
      <w:kern w:val="32"/>
      <w:sz w:val="40"/>
      <w:szCs w:val="32"/>
    </w:rPr>
  </w:style>
  <w:style w:type="paragraph" w:styleId="Heading2">
    <w:name w:val="heading 2"/>
    <w:basedOn w:val="Normal"/>
    <w:next w:val="BodyText"/>
    <w:link w:val="Heading2Char"/>
    <w:qFormat/>
    <w:rsid w:val="00C30843"/>
    <w:pPr>
      <w:keepNext/>
      <w:keepLines/>
      <w:tabs>
        <w:tab w:val="left" w:pos="1418"/>
        <w:tab w:val="left" w:pos="1701"/>
        <w:tab w:val="left" w:pos="1985"/>
      </w:tabs>
      <w:spacing w:before="240" w:after="100" w:line="260" w:lineRule="exact"/>
      <w:outlineLvl w:val="1"/>
    </w:pPr>
    <w:rPr>
      <w:b/>
      <w:bCs/>
      <w:iCs/>
      <w:color w:val="0072CE" w:themeColor="text2"/>
      <w:kern w:val="20"/>
      <w:sz w:val="22"/>
      <w:szCs w:val="28"/>
    </w:rPr>
  </w:style>
  <w:style w:type="paragraph" w:styleId="Heading3">
    <w:name w:val="heading 3"/>
    <w:basedOn w:val="Normal"/>
    <w:next w:val="BodyText"/>
    <w:link w:val="Heading3Char"/>
    <w:qFormat/>
    <w:rsid w:val="00C30843"/>
    <w:pPr>
      <w:keepNext/>
      <w:keepLines/>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72CE"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72CE"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72CE"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72CE" w:themeColor="text2"/>
        <w:bottom w:val="single" w:sz="8" w:space="0" w:color="0072CE" w:themeColor="text2"/>
        <w:insideH w:val="single" w:sz="8" w:space="0" w:color="0072CE"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72CE" w:themeFill="text2"/>
      </w:tcPr>
    </w:tblStylePr>
    <w:tblStylePr w:type="lastRow">
      <w:rPr>
        <w:b w:val="0"/>
      </w:rPr>
    </w:tblStylePr>
    <w:tblStylePr w:type="lastCol">
      <w:pPr>
        <w:jc w:val="left"/>
      </w:pPr>
    </w:tblStylePr>
    <w:tblStylePr w:type="band1Vert">
      <w:tblPr/>
      <w:tcPr>
        <w:shd w:val="clear" w:color="auto" w:fill="E5F1F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72CE"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72CE"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72CE"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72CE"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72CE"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72CE"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72CE"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72CE"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72CE"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72CE"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72CE"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1F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1F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72CE"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72CE" w:themeColor="text2"/>
        <w:left w:val="single" w:sz="4" w:space="0" w:color="0072CE" w:themeColor="text2"/>
        <w:bottom w:val="single" w:sz="4" w:space="0" w:color="0072CE" w:themeColor="text2"/>
        <w:right w:val="single" w:sz="4" w:space="0" w:color="0072CE"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72CE"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72CE"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72CE" w:themeFill="text2"/>
    </w:tcPr>
  </w:style>
  <w:style w:type="paragraph" w:customStyle="1" w:styleId="BodyText100ThemeColour">
    <w:name w:val="Body Text 100% Theme Colour"/>
    <w:basedOn w:val="BodyText"/>
    <w:qFormat/>
    <w:rsid w:val="00096B2D"/>
    <w:rPr>
      <w:color w:val="0072CE"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72CE" w:themeColor="text2"/>
      <w:kern w:val="32"/>
      <w:sz w:val="40"/>
      <w:szCs w:val="32"/>
    </w:rPr>
  </w:style>
  <w:style w:type="character" w:customStyle="1" w:styleId="Heading2Char">
    <w:name w:val="Heading 2 Char"/>
    <w:basedOn w:val="DefaultParagraphFont"/>
    <w:link w:val="Heading2"/>
    <w:rsid w:val="001306D2"/>
    <w:rPr>
      <w:b/>
      <w:bCs/>
      <w:iCs/>
      <w:color w:val="0072CE"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styleId="Revision">
    <w:name w:val="Revision"/>
    <w:hidden/>
    <w:uiPriority w:val="99"/>
    <w:semiHidden/>
    <w:rsid w:val="00173E6F"/>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unhideWhenUsed="0"/>
    <w:lsdException w:name="table of figures" w:uiPriority="99"/>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List Number 3" w:qFormat="1"/>
    <w:lsdException w:name="Title" w:semiHidden="0" w:uiPriority="99" w:unhideWhenUsed="0"/>
    <w:lsdException w:name="Default Paragraph Font" w:uiPriority="1"/>
    <w:lsdException w:name="Body Text" w:qFormat="1"/>
    <w:lsdException w:name="List Continue" w:uiPriority="1" w:qFormat="1"/>
    <w:lsdException w:name="List Continue 2" w:uiPriority="1" w:qFormat="1"/>
    <w:lsdException w:name="Subtitle" w:semiHidden="0" w:uiPriority="99"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spacing w:before="300" w:after="360" w:line="440" w:lineRule="exact"/>
      <w:outlineLvl w:val="0"/>
    </w:pPr>
    <w:rPr>
      <w:b/>
      <w:bCs/>
      <w:color w:val="0072CE" w:themeColor="text2"/>
      <w:kern w:val="32"/>
      <w:sz w:val="40"/>
      <w:szCs w:val="32"/>
    </w:rPr>
  </w:style>
  <w:style w:type="paragraph" w:styleId="Heading2">
    <w:name w:val="heading 2"/>
    <w:basedOn w:val="Normal"/>
    <w:next w:val="BodyText"/>
    <w:link w:val="Heading2Char"/>
    <w:qFormat/>
    <w:rsid w:val="00C30843"/>
    <w:pPr>
      <w:keepNext/>
      <w:keepLines/>
      <w:tabs>
        <w:tab w:val="left" w:pos="1418"/>
        <w:tab w:val="left" w:pos="1701"/>
        <w:tab w:val="left" w:pos="1985"/>
      </w:tabs>
      <w:spacing w:before="240" w:after="100" w:line="260" w:lineRule="exact"/>
      <w:outlineLvl w:val="1"/>
    </w:pPr>
    <w:rPr>
      <w:b/>
      <w:bCs/>
      <w:iCs/>
      <w:color w:val="0072CE" w:themeColor="text2"/>
      <w:kern w:val="20"/>
      <w:sz w:val="22"/>
      <w:szCs w:val="28"/>
    </w:rPr>
  </w:style>
  <w:style w:type="paragraph" w:styleId="Heading3">
    <w:name w:val="heading 3"/>
    <w:basedOn w:val="Normal"/>
    <w:next w:val="BodyText"/>
    <w:link w:val="Heading3Char"/>
    <w:qFormat/>
    <w:rsid w:val="00C30843"/>
    <w:pPr>
      <w:keepNext/>
      <w:keepLines/>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72CE"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72CE"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72CE"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72CE" w:themeColor="text2"/>
        <w:bottom w:val="single" w:sz="8" w:space="0" w:color="0072CE" w:themeColor="text2"/>
        <w:insideH w:val="single" w:sz="8" w:space="0" w:color="0072CE"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72CE" w:themeFill="text2"/>
      </w:tcPr>
    </w:tblStylePr>
    <w:tblStylePr w:type="lastRow">
      <w:rPr>
        <w:b w:val="0"/>
      </w:rPr>
    </w:tblStylePr>
    <w:tblStylePr w:type="lastCol">
      <w:pPr>
        <w:jc w:val="left"/>
      </w:pPr>
    </w:tblStylePr>
    <w:tblStylePr w:type="band1Vert">
      <w:tblPr/>
      <w:tcPr>
        <w:shd w:val="clear" w:color="auto" w:fill="E5F1F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72CE"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72CE"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72CE"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72CE"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72CE"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72CE"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72CE"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72CE"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72CE"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72CE"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72CE"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1F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1F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72CE"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72CE" w:themeColor="text2"/>
        <w:left w:val="single" w:sz="4" w:space="0" w:color="0072CE" w:themeColor="text2"/>
        <w:bottom w:val="single" w:sz="4" w:space="0" w:color="0072CE" w:themeColor="text2"/>
        <w:right w:val="single" w:sz="4" w:space="0" w:color="0072CE"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72CE"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72CE"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72CE" w:themeFill="text2"/>
    </w:tcPr>
  </w:style>
  <w:style w:type="paragraph" w:customStyle="1" w:styleId="BodyText100ThemeColour">
    <w:name w:val="Body Text 100% Theme Colour"/>
    <w:basedOn w:val="BodyText"/>
    <w:qFormat/>
    <w:rsid w:val="00096B2D"/>
    <w:rPr>
      <w:color w:val="0072CE"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72CE" w:themeColor="text2"/>
      <w:kern w:val="32"/>
      <w:sz w:val="40"/>
      <w:szCs w:val="32"/>
    </w:rPr>
  </w:style>
  <w:style w:type="character" w:customStyle="1" w:styleId="Heading2Char">
    <w:name w:val="Heading 2 Char"/>
    <w:basedOn w:val="DefaultParagraphFont"/>
    <w:link w:val="Heading2"/>
    <w:rsid w:val="001306D2"/>
    <w:rPr>
      <w:b/>
      <w:bCs/>
      <w:iCs/>
      <w:color w:val="0072CE"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styleId="Revision">
    <w:name w:val="Revision"/>
    <w:hidden/>
    <w:uiPriority w:val="99"/>
    <w:semiHidden/>
    <w:rsid w:val="00173E6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229416264">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delwp.vic.gov.a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relayservice.com.au"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delwp.vic.gov.au/energy/legislation/energy-saver-incentive"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0w\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72CE"/>
      </a:dk2>
      <a:lt2>
        <a:srgbClr val="E5F1FA"/>
      </a:lt2>
      <a:accent1>
        <a:srgbClr val="00B2A9"/>
      </a:accent1>
      <a:accent2>
        <a:srgbClr val="0072CE"/>
      </a:accent2>
      <a:accent3>
        <a:srgbClr val="201547"/>
      </a:accent3>
      <a:accent4>
        <a:srgbClr val="99E0DD"/>
      </a:accent4>
      <a:accent5>
        <a:srgbClr val="99C7EB"/>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07D36-7F48-4670-A9E6-1CF8E0603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1</TotalTime>
  <Pages>4</Pages>
  <Words>2281</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Title</vt:lpstr>
    </vt:vector>
  </TitlesOfParts>
  <Company>Victorian Government</Company>
  <LinksUpToDate>false</LinksUpToDate>
  <CharactersWithSpaces>15253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Emma</dc:creator>
  <cp:lastModifiedBy>Andrew Rothberg (DELWP)</cp:lastModifiedBy>
  <cp:revision>2</cp:revision>
  <cp:lastPrinted>2017-04-24T02:18:00Z</cp:lastPrinted>
  <dcterms:created xsi:type="dcterms:W3CDTF">2017-04-28T00:36:00Z</dcterms:created>
  <dcterms:modified xsi:type="dcterms:W3CDTF">2017-04-28T00:36:00Z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