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F431A" w14:textId="5CDBF870" w:rsidR="007968FE" w:rsidRDefault="00CA2AD9" w:rsidP="00220DDE">
      <w:pPr>
        <w:pStyle w:val="Title"/>
        <w:spacing w:after="0"/>
      </w:pPr>
      <w:r w:rsidRPr="00CA2AD9">
        <w:t>Victorian all-electric home emissions</w:t>
      </w:r>
      <w:r w:rsidR="00CA4414">
        <w:t xml:space="preserve"> </w:t>
      </w:r>
      <w:r w:rsidRPr="00CA2AD9">
        <w:t>forecast</w:t>
      </w:r>
    </w:p>
    <w:p w14:paraId="12C639A8" w14:textId="77777777" w:rsidR="00CA2AD9" w:rsidRDefault="00CA2AD9" w:rsidP="00220DDE">
      <w:pPr>
        <w:pStyle w:val="Subtitle"/>
        <w:spacing w:after="0"/>
      </w:pPr>
      <w:r w:rsidRPr="00CA2AD9">
        <w:t>All-Electric and Dual Fuel – December 2024</w:t>
      </w:r>
    </w:p>
    <w:p w14:paraId="11FE4274" w14:textId="1B9A8AA9" w:rsidR="00BE0BA2" w:rsidRPr="00BE0BA2" w:rsidRDefault="00CA2AD9" w:rsidP="00220DDE">
      <w:pPr>
        <w:pStyle w:val="Heading1"/>
        <w:spacing w:before="120" w:after="240"/>
      </w:pPr>
      <w:r w:rsidRPr="00CA2AD9">
        <w:t>Key Messages – Existing Home</w:t>
      </w:r>
    </w:p>
    <w:p w14:paraId="45ABB156" w14:textId="77777777" w:rsidR="00CA2AD9" w:rsidRPr="00CA2AD9" w:rsidRDefault="00CA2AD9" w:rsidP="00E7462C">
      <w:pPr>
        <w:pStyle w:val="BodyText"/>
        <w:spacing w:after="60"/>
      </w:pPr>
      <w:r w:rsidRPr="00CA2AD9">
        <w:t>Department of Energy, Environment and Climate Action (DEECA) analysis concludes:</w:t>
      </w:r>
    </w:p>
    <w:p w14:paraId="66BF06DB" w14:textId="377728B1" w:rsidR="00CA2AD9" w:rsidRDefault="00CA2AD9" w:rsidP="00220DDE">
      <w:pPr>
        <w:pStyle w:val="ListBullet"/>
        <w:spacing w:after="0"/>
      </w:pPr>
      <w:r w:rsidRPr="00CA2AD9">
        <w:t>Converting an existing dual-fuel home to all-electric will result in 19% lower GHG emissions in 2025, saving 1.3 t CO</w:t>
      </w:r>
      <w:r w:rsidRPr="00CA2AD9">
        <w:rPr>
          <w:vertAlign w:val="subscript"/>
        </w:rPr>
        <w:t>2</w:t>
      </w:r>
      <w:r w:rsidRPr="00CA2AD9">
        <w:t xml:space="preserve"> in the first year.</w:t>
      </w:r>
    </w:p>
    <w:p w14:paraId="52A81C95" w14:textId="75CAC090" w:rsidR="00B47A27" w:rsidRDefault="00B47A27" w:rsidP="00B47A27">
      <w:pPr>
        <w:pStyle w:val="Caption"/>
        <w:keepNext/>
      </w:pPr>
      <w:r>
        <w:t xml:space="preserve">Figure </w:t>
      </w:r>
      <w:r w:rsidR="00E7462C">
        <w:fldChar w:fldCharType="begin"/>
      </w:r>
      <w:r w:rsidR="00E7462C">
        <w:instrText xml:space="preserve"> SEQ Figure \* ARABIC </w:instrText>
      </w:r>
      <w:r w:rsidR="00E7462C">
        <w:fldChar w:fldCharType="separate"/>
      </w:r>
      <w:r w:rsidR="00E7462C">
        <w:rPr>
          <w:noProof/>
        </w:rPr>
        <w:t>1</w:t>
      </w:r>
      <w:r w:rsidR="00E7462C">
        <w:rPr>
          <w:noProof/>
        </w:rPr>
        <w:fldChar w:fldCharType="end"/>
      </w:r>
      <w:r>
        <w:t xml:space="preserve">: </w:t>
      </w:r>
      <w:r w:rsidRPr="00E14793">
        <w:t>Emissions in 2025 – Existing home</w:t>
      </w:r>
    </w:p>
    <w:p w14:paraId="7703EA10" w14:textId="582B110A" w:rsidR="0070439A" w:rsidRPr="00CA2AD9" w:rsidRDefault="00B47A27" w:rsidP="00E7462C">
      <w:pPr>
        <w:pStyle w:val="BodyText"/>
        <w:spacing w:after="120"/>
        <w:jc w:val="center"/>
      </w:pPr>
      <w:r>
        <w:rPr>
          <w:noProof/>
        </w:rPr>
        <w:drawing>
          <wp:inline distT="0" distB="0" distL="0" distR="0" wp14:anchorId="0739A19A" wp14:editId="3BC839AB">
            <wp:extent cx="3240000" cy="1959861"/>
            <wp:effectExtent l="0" t="0" r="0" b="0"/>
            <wp:docPr id="2095899922" name="Picture 3" descr="A bar chart comparing the greenhouse gas emissions produced by an all-electric existing home (5.5 tonnes of carbon dioxide) versus a dual-fuel existing home (6.8 tonnes) in 20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899922" name="Picture 3" descr="A bar chart comparing the greenhouse gas emissions produced by an all-electric existing home (5.5 tonnes of carbon dioxide) versus a dual-fuel existing home (6.8 tonnes) in 2025 "/>
                    <pic:cNvPicPr/>
                  </pic:nvPicPr>
                  <pic:blipFill>
                    <a:blip r:embed="rId8"/>
                    <a:stretch>
                      <a:fillRect/>
                    </a:stretch>
                  </pic:blipFill>
                  <pic:spPr>
                    <a:xfrm>
                      <a:off x="0" y="0"/>
                      <a:ext cx="3240000" cy="1959861"/>
                    </a:xfrm>
                    <a:prstGeom prst="rect">
                      <a:avLst/>
                    </a:prstGeom>
                  </pic:spPr>
                </pic:pic>
              </a:graphicData>
            </a:graphic>
          </wp:inline>
        </w:drawing>
      </w:r>
    </w:p>
    <w:p w14:paraId="6248263E" w14:textId="389C490A" w:rsidR="00222FF2" w:rsidRDefault="00CA2AD9" w:rsidP="00CA175F">
      <w:pPr>
        <w:pStyle w:val="ListBullet"/>
        <w:rPr>
          <w:lang w:val="en-AU"/>
        </w:rPr>
      </w:pPr>
      <w:r w:rsidRPr="00CA2AD9">
        <w:rPr>
          <w:lang w:val="en-AU"/>
        </w:rPr>
        <w:t>Over the 10-year period from 2025–2035, an existing all-electric home will have 38% lower GHG emissions than a new dual fuel home, saving 21.5 t CO</w:t>
      </w:r>
      <w:r w:rsidRPr="00CA2AD9">
        <w:rPr>
          <w:vertAlign w:val="subscript"/>
        </w:rPr>
        <w:t>2</w:t>
      </w:r>
      <w:r w:rsidRPr="00CA2AD9">
        <w:rPr>
          <w:lang w:val="en-AU"/>
        </w:rPr>
        <w:t>.</w:t>
      </w:r>
    </w:p>
    <w:p w14:paraId="035CA967" w14:textId="34090455" w:rsidR="00B47A27" w:rsidRDefault="00B47A27" w:rsidP="00E7462C">
      <w:pPr>
        <w:pStyle w:val="Caption"/>
        <w:keepNext/>
      </w:pPr>
      <w:r>
        <w:t xml:space="preserve">Figure </w:t>
      </w:r>
      <w:r w:rsidR="00E7462C">
        <w:fldChar w:fldCharType="begin"/>
      </w:r>
      <w:r w:rsidR="00E7462C">
        <w:instrText xml:space="preserve"> SEQ Figure \* ARABIC </w:instrText>
      </w:r>
      <w:r w:rsidR="00E7462C">
        <w:fldChar w:fldCharType="separate"/>
      </w:r>
      <w:r w:rsidR="00E7462C">
        <w:rPr>
          <w:noProof/>
        </w:rPr>
        <w:t>2</w:t>
      </w:r>
      <w:r w:rsidR="00E7462C">
        <w:rPr>
          <w:noProof/>
        </w:rPr>
        <w:fldChar w:fldCharType="end"/>
      </w:r>
      <w:r>
        <w:t xml:space="preserve">: </w:t>
      </w:r>
      <w:r w:rsidR="00E7462C" w:rsidRPr="00E7462C">
        <w:t>Emissions over 10 years from 2025 –</w:t>
      </w:r>
      <w:r w:rsidR="00CA4414">
        <w:t xml:space="preserve"> </w:t>
      </w:r>
      <w:r w:rsidR="00E7462C" w:rsidRPr="00E7462C">
        <w:t>Existing home</w:t>
      </w:r>
    </w:p>
    <w:p w14:paraId="06572268" w14:textId="24CEF9EF" w:rsidR="00B47A27" w:rsidRDefault="00B47A27" w:rsidP="00E7462C">
      <w:pPr>
        <w:pStyle w:val="BodyText"/>
        <w:spacing w:after="0"/>
        <w:jc w:val="center"/>
      </w:pPr>
      <w:r>
        <w:rPr>
          <w:noProof/>
        </w:rPr>
        <w:drawing>
          <wp:inline distT="0" distB="0" distL="0" distR="0" wp14:anchorId="3357098F" wp14:editId="712BB0E3">
            <wp:extent cx="3240000" cy="1999149"/>
            <wp:effectExtent l="0" t="0" r="0" b="0"/>
            <wp:docPr id="1247372344" name="Picture 4" descr="A bar chart showing the different amounts of greenhouse gas emissions produced by an all-electric existing home (34.4 tonnes of carbon dioxide) and a dual-fuel existing home (55.9 tonnes)across a ten year period starting i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72344" name="Picture 4" descr="A bar chart showing the different amounts of greenhouse gas emissions produced by an all-electric existing home (34.4 tonnes of carbon dioxide) and a dual-fuel existing home (55.9 tonnes)across a ten year period starting in 2025."/>
                    <pic:cNvPicPr/>
                  </pic:nvPicPr>
                  <pic:blipFill>
                    <a:blip r:embed="rId9"/>
                    <a:stretch>
                      <a:fillRect/>
                    </a:stretch>
                  </pic:blipFill>
                  <pic:spPr>
                    <a:xfrm>
                      <a:off x="0" y="0"/>
                      <a:ext cx="3240000" cy="1999149"/>
                    </a:xfrm>
                    <a:prstGeom prst="rect">
                      <a:avLst/>
                    </a:prstGeom>
                  </pic:spPr>
                </pic:pic>
              </a:graphicData>
            </a:graphic>
          </wp:inline>
        </w:drawing>
      </w:r>
    </w:p>
    <w:p w14:paraId="6F4709A6" w14:textId="7160EDAF" w:rsidR="00CA2AD9" w:rsidRPr="00CA2AD9" w:rsidRDefault="00CA2AD9" w:rsidP="00880EAE">
      <w:pPr>
        <w:pStyle w:val="ListBullet"/>
        <w:spacing w:after="0"/>
      </w:pPr>
      <w:r w:rsidRPr="00CA2AD9">
        <w:lastRenderedPageBreak/>
        <w:t>Electrifying an existing home can deliver greater reductions compared to a new home, as existing homes are typically not as thermally efficient and</w:t>
      </w:r>
      <w:r w:rsidR="00CA4414">
        <w:t xml:space="preserve"> </w:t>
      </w:r>
      <w:r w:rsidRPr="00CA2AD9">
        <w:t>require higher heating loads. Switching to an</w:t>
      </w:r>
      <w:r w:rsidR="00CA4414">
        <w:t xml:space="preserve"> </w:t>
      </w:r>
      <w:r w:rsidRPr="00CA2AD9">
        <w:t>efficient electric alternative in</w:t>
      </w:r>
      <w:r w:rsidR="00CA4414">
        <w:t xml:space="preserve"> </w:t>
      </w:r>
      <w:r w:rsidRPr="00CA2AD9">
        <w:t>an existing home will</w:t>
      </w:r>
      <w:r w:rsidR="00CA4414">
        <w:t xml:space="preserve"> </w:t>
      </w:r>
      <w:r w:rsidRPr="00CA2AD9">
        <w:t>save more energy and therefore emissions.</w:t>
      </w:r>
    </w:p>
    <w:p w14:paraId="1C8ED3A6" w14:textId="77777777" w:rsidR="00CA2AD9" w:rsidRPr="00CA2AD9" w:rsidRDefault="00CA2AD9" w:rsidP="00880EAE">
      <w:pPr>
        <w:pStyle w:val="Heading1"/>
        <w:spacing w:after="120"/>
      </w:pPr>
      <w:r w:rsidRPr="00CA2AD9">
        <w:t>Key Inputs – Existing Home</w:t>
      </w:r>
    </w:p>
    <w:p w14:paraId="279C5F43" w14:textId="77777777" w:rsidR="00CA2AD9" w:rsidRPr="00CA2AD9" w:rsidRDefault="00CA2AD9" w:rsidP="00880EAE">
      <w:pPr>
        <w:pStyle w:val="ListBullet"/>
        <w:spacing w:after="0"/>
      </w:pPr>
      <w:r w:rsidRPr="00CA2AD9">
        <w:t>Thermal performance of a 3-star building shell</w:t>
      </w:r>
    </w:p>
    <w:p w14:paraId="769F2086" w14:textId="50481A00" w:rsidR="00CA2AD9" w:rsidRDefault="00CA2AD9" w:rsidP="00CA175F">
      <w:pPr>
        <w:pStyle w:val="ListBullet"/>
        <w:rPr>
          <w:lang w:val="en-AU"/>
        </w:rPr>
      </w:pPr>
      <w:r w:rsidRPr="00CA2AD9">
        <w:rPr>
          <w:lang w:val="en-AU"/>
        </w:rPr>
        <w:t>High efficiency, multi-split air conditioning systems used for space heating (high efficiency conversion of</w:t>
      </w:r>
      <w:r w:rsidR="00CA4414">
        <w:rPr>
          <w:lang w:val="en-AU"/>
        </w:rPr>
        <w:t xml:space="preserve"> </w:t>
      </w:r>
      <w:r w:rsidRPr="00CA2AD9">
        <w:rPr>
          <w:lang w:val="en-AU"/>
        </w:rPr>
        <w:t>around</w:t>
      </w:r>
      <w:r w:rsidR="00CA4414">
        <w:rPr>
          <w:lang w:val="en-AU"/>
        </w:rPr>
        <w:t xml:space="preserve"> </w:t>
      </w:r>
      <w:r w:rsidRPr="00CA2AD9">
        <w:rPr>
          <w:lang w:val="en-AU"/>
        </w:rPr>
        <w:t>450%)</w:t>
      </w:r>
    </w:p>
    <w:p w14:paraId="158EC85F" w14:textId="072ABDFB" w:rsidR="00220DDE" w:rsidRDefault="00220DDE" w:rsidP="00880EAE">
      <w:pPr>
        <w:pStyle w:val="Caption"/>
        <w:keepNext/>
        <w:spacing w:before="0" w:after="40"/>
      </w:pPr>
      <w:r>
        <w:t xml:space="preserve">Table </w:t>
      </w:r>
      <w:r>
        <w:fldChar w:fldCharType="begin"/>
      </w:r>
      <w:r>
        <w:instrText xml:space="preserve"> SEQ Table \* ARABIC </w:instrText>
      </w:r>
      <w:r>
        <w:fldChar w:fldCharType="separate"/>
      </w:r>
      <w:r>
        <w:rPr>
          <w:noProof/>
        </w:rPr>
        <w:t>1</w:t>
      </w:r>
      <w:r>
        <w:rPr>
          <w:noProof/>
        </w:rPr>
        <w:fldChar w:fldCharType="end"/>
      </w:r>
      <w:r w:rsidR="000026B6">
        <w:t xml:space="preserve">: Key inputs </w:t>
      </w:r>
      <w:r w:rsidR="00880EAE">
        <w:t>for an existing home</w:t>
      </w:r>
    </w:p>
    <w:tbl>
      <w:tblPr>
        <w:tblStyle w:val="Style2"/>
        <w:tblW w:w="5000" w:type="pct"/>
        <w:tblLook w:val="0020" w:firstRow="1" w:lastRow="0" w:firstColumn="0" w:lastColumn="0" w:noHBand="0" w:noVBand="0"/>
        <w:tblCaption w:val="Key inputs for an existing home"/>
      </w:tblPr>
      <w:tblGrid>
        <w:gridCol w:w="3209"/>
        <w:gridCol w:w="3209"/>
        <w:gridCol w:w="3210"/>
      </w:tblGrid>
      <w:tr w:rsidR="00CA2AD9" w:rsidRPr="00CA2AD9" w14:paraId="3A0C6362" w14:textId="77777777" w:rsidTr="00880EAE">
        <w:trPr>
          <w:cnfStyle w:val="100000000000" w:firstRow="1" w:lastRow="0" w:firstColumn="0" w:lastColumn="0" w:oddVBand="0" w:evenVBand="0" w:oddHBand="0" w:evenHBand="0" w:firstRowFirstColumn="0" w:firstRowLastColumn="0" w:lastRowFirstColumn="0" w:lastRowLastColumn="0"/>
          <w:cantSplit/>
          <w:trHeight w:val="60"/>
          <w:tblHeader/>
        </w:trPr>
        <w:tc>
          <w:tcPr>
            <w:tcW w:w="1666" w:type="pct"/>
          </w:tcPr>
          <w:p w14:paraId="5BC502A0" w14:textId="77777777" w:rsidR="00CA2AD9" w:rsidRPr="00CA2AD9" w:rsidRDefault="00CA2AD9" w:rsidP="00880EAE">
            <w:pPr>
              <w:pStyle w:val="Tabletext"/>
              <w:spacing w:after="80" w:line="240" w:lineRule="auto"/>
            </w:pPr>
            <w:r w:rsidRPr="00CA2AD9">
              <w:t>Input</w:t>
            </w:r>
          </w:p>
        </w:tc>
        <w:tc>
          <w:tcPr>
            <w:tcW w:w="1666" w:type="pct"/>
          </w:tcPr>
          <w:p w14:paraId="3002A63E" w14:textId="77777777" w:rsidR="00CA2AD9" w:rsidRPr="00CA2AD9" w:rsidRDefault="00CA2AD9" w:rsidP="00880EAE">
            <w:pPr>
              <w:pStyle w:val="Tabletext"/>
              <w:spacing w:after="80" w:line="240" w:lineRule="auto"/>
            </w:pPr>
            <w:r w:rsidRPr="00CA2AD9">
              <w:t>Existing home</w:t>
            </w:r>
          </w:p>
        </w:tc>
        <w:tc>
          <w:tcPr>
            <w:tcW w:w="1667" w:type="pct"/>
          </w:tcPr>
          <w:p w14:paraId="70B06480" w14:textId="01C7FE2D" w:rsidR="00CA2AD9" w:rsidRPr="00CA2AD9" w:rsidRDefault="00CA2AD9" w:rsidP="00880EAE">
            <w:pPr>
              <w:pStyle w:val="Tabletext"/>
              <w:spacing w:after="80" w:line="240" w:lineRule="auto"/>
            </w:pPr>
            <w:r w:rsidRPr="00CA2AD9">
              <w:t>Emissions Factor</w:t>
            </w:r>
            <w:r w:rsidR="00CA4414">
              <w:t xml:space="preserve"> </w:t>
            </w:r>
            <w:r w:rsidRPr="00CA2AD9">
              <w:t>2025</w:t>
            </w:r>
          </w:p>
        </w:tc>
      </w:tr>
      <w:tr w:rsidR="00CA2AD9" w:rsidRPr="00CA2AD9" w14:paraId="4E4E179D" w14:textId="77777777" w:rsidTr="00CA175F">
        <w:trPr>
          <w:trHeight w:val="60"/>
        </w:trPr>
        <w:tc>
          <w:tcPr>
            <w:tcW w:w="1666" w:type="pct"/>
          </w:tcPr>
          <w:p w14:paraId="084D7B33" w14:textId="77777777" w:rsidR="00CA2AD9" w:rsidRPr="00CA2AD9" w:rsidRDefault="00CA2AD9" w:rsidP="00880EAE">
            <w:pPr>
              <w:pStyle w:val="Tabletext"/>
              <w:spacing w:after="80" w:line="276" w:lineRule="auto"/>
            </w:pPr>
            <w:r w:rsidRPr="00CA2AD9">
              <w:t>Dual Fuel – gas input</w:t>
            </w:r>
          </w:p>
        </w:tc>
        <w:tc>
          <w:tcPr>
            <w:tcW w:w="1666" w:type="pct"/>
          </w:tcPr>
          <w:p w14:paraId="1F7C09C7" w14:textId="77777777" w:rsidR="00CA2AD9" w:rsidRPr="00CA2AD9" w:rsidRDefault="00CA2AD9" w:rsidP="00880EAE">
            <w:pPr>
              <w:pStyle w:val="Tabletext"/>
              <w:spacing w:after="80" w:line="276" w:lineRule="auto"/>
            </w:pPr>
            <w:r w:rsidRPr="00CA2AD9">
              <w:t>65.2 GJ/yr</w:t>
            </w:r>
          </w:p>
        </w:tc>
        <w:tc>
          <w:tcPr>
            <w:tcW w:w="1667" w:type="pct"/>
          </w:tcPr>
          <w:p w14:paraId="748FDE3F" w14:textId="77777777" w:rsidR="00CA2AD9" w:rsidRPr="00CA2AD9" w:rsidRDefault="00CA2AD9" w:rsidP="00880EAE">
            <w:pPr>
              <w:pStyle w:val="Tabletext"/>
              <w:spacing w:after="80" w:line="276" w:lineRule="auto"/>
            </w:pPr>
            <w:r w:rsidRPr="00CA2AD9">
              <w:t>0.056 tC0</w:t>
            </w:r>
            <w:r w:rsidRPr="00CA2AD9">
              <w:rPr>
                <w:vertAlign w:val="subscript"/>
                <w:lang w:val="en-US"/>
              </w:rPr>
              <w:t>2</w:t>
            </w:r>
            <w:r w:rsidRPr="00CA2AD9">
              <w:t>/GJ</w:t>
            </w:r>
          </w:p>
        </w:tc>
      </w:tr>
      <w:tr w:rsidR="00CA2AD9" w:rsidRPr="00CA2AD9" w14:paraId="3E254D0F" w14:textId="77777777" w:rsidTr="00CA175F">
        <w:trPr>
          <w:trHeight w:val="60"/>
        </w:trPr>
        <w:tc>
          <w:tcPr>
            <w:tcW w:w="1666" w:type="pct"/>
          </w:tcPr>
          <w:p w14:paraId="24ECBE20" w14:textId="63975F6D" w:rsidR="00CA2AD9" w:rsidRPr="00CA2AD9" w:rsidRDefault="00CA2AD9" w:rsidP="00880EAE">
            <w:pPr>
              <w:pStyle w:val="Tabletext"/>
              <w:spacing w:after="80" w:line="276" w:lineRule="auto"/>
            </w:pPr>
            <w:r w:rsidRPr="00CA2AD9">
              <w:t>Dual Fuel – electricity</w:t>
            </w:r>
            <w:r w:rsidR="00CA4414">
              <w:t xml:space="preserve"> </w:t>
            </w:r>
            <w:r w:rsidRPr="00CA2AD9">
              <w:t xml:space="preserve">input </w:t>
            </w:r>
          </w:p>
        </w:tc>
        <w:tc>
          <w:tcPr>
            <w:tcW w:w="1666" w:type="pct"/>
          </w:tcPr>
          <w:p w14:paraId="29468E2B" w14:textId="77777777" w:rsidR="00CA2AD9" w:rsidRPr="00CA2AD9" w:rsidRDefault="00CA2AD9" w:rsidP="00880EAE">
            <w:pPr>
              <w:pStyle w:val="Tabletext"/>
              <w:spacing w:after="80" w:line="276" w:lineRule="auto"/>
            </w:pPr>
            <w:r w:rsidRPr="00CA2AD9">
              <w:t>3.9 MWh</w:t>
            </w:r>
          </w:p>
        </w:tc>
        <w:tc>
          <w:tcPr>
            <w:tcW w:w="1667" w:type="pct"/>
          </w:tcPr>
          <w:p w14:paraId="12C8D879" w14:textId="77777777" w:rsidR="00CA2AD9" w:rsidRPr="00CA2AD9" w:rsidRDefault="00CA2AD9" w:rsidP="00880EAE">
            <w:pPr>
              <w:pStyle w:val="Tabletext"/>
              <w:spacing w:after="80" w:line="276" w:lineRule="auto"/>
            </w:pPr>
            <w:r w:rsidRPr="00CA2AD9">
              <w:t>0.812 tC0</w:t>
            </w:r>
            <w:r w:rsidRPr="00CA2AD9">
              <w:rPr>
                <w:vertAlign w:val="subscript"/>
                <w:lang w:val="en-US"/>
              </w:rPr>
              <w:t>2</w:t>
            </w:r>
            <w:r w:rsidRPr="00CA2AD9">
              <w:t>/MWh</w:t>
            </w:r>
          </w:p>
        </w:tc>
      </w:tr>
      <w:tr w:rsidR="00CA2AD9" w:rsidRPr="00CA2AD9" w14:paraId="0B2BFA8D" w14:textId="77777777" w:rsidTr="00CA175F">
        <w:trPr>
          <w:trHeight w:val="60"/>
        </w:trPr>
        <w:tc>
          <w:tcPr>
            <w:tcW w:w="1666" w:type="pct"/>
          </w:tcPr>
          <w:p w14:paraId="380A0DA5" w14:textId="77777777" w:rsidR="00CA2AD9" w:rsidRPr="00CA2AD9" w:rsidRDefault="00CA2AD9" w:rsidP="00880EAE">
            <w:pPr>
              <w:pStyle w:val="Tabletext"/>
              <w:spacing w:after="80" w:line="276" w:lineRule="auto"/>
            </w:pPr>
            <w:r w:rsidRPr="00CA2AD9">
              <w:t xml:space="preserve">All-electric home input </w:t>
            </w:r>
          </w:p>
        </w:tc>
        <w:tc>
          <w:tcPr>
            <w:tcW w:w="1666" w:type="pct"/>
          </w:tcPr>
          <w:p w14:paraId="74BA3A92" w14:textId="77777777" w:rsidR="00CA2AD9" w:rsidRPr="00CA2AD9" w:rsidRDefault="00CA2AD9" w:rsidP="00880EAE">
            <w:pPr>
              <w:pStyle w:val="Tabletext"/>
              <w:spacing w:after="80" w:line="276" w:lineRule="auto"/>
            </w:pPr>
            <w:r w:rsidRPr="00CA2AD9">
              <w:t>6.7 MWh</w:t>
            </w:r>
          </w:p>
        </w:tc>
        <w:tc>
          <w:tcPr>
            <w:tcW w:w="1667" w:type="pct"/>
          </w:tcPr>
          <w:p w14:paraId="2765E5C2" w14:textId="77777777" w:rsidR="00CA2AD9" w:rsidRPr="00CA2AD9" w:rsidRDefault="00CA2AD9" w:rsidP="00880EAE">
            <w:pPr>
              <w:pStyle w:val="Tabletext"/>
              <w:spacing w:after="80" w:line="276" w:lineRule="auto"/>
            </w:pPr>
            <w:r w:rsidRPr="00CA2AD9">
              <w:t>0.812 tC0</w:t>
            </w:r>
            <w:r w:rsidRPr="00CA2AD9">
              <w:rPr>
                <w:vertAlign w:val="subscript"/>
                <w:lang w:val="en-US"/>
              </w:rPr>
              <w:t>2</w:t>
            </w:r>
            <w:r w:rsidRPr="00CA2AD9">
              <w:t>/MWh</w:t>
            </w:r>
          </w:p>
        </w:tc>
      </w:tr>
    </w:tbl>
    <w:p w14:paraId="186570ED" w14:textId="21F4D5EC" w:rsidR="00CA2AD9" w:rsidRPr="00CA2AD9" w:rsidRDefault="00E7462C" w:rsidP="00880EAE">
      <w:pPr>
        <w:pStyle w:val="Heading1"/>
        <w:spacing w:before="240" w:after="120"/>
      </w:pPr>
      <w:r w:rsidRPr="00CA2AD9">
        <w:t xml:space="preserve">Key Messages – </w:t>
      </w:r>
      <w:r w:rsidR="00CA2AD9" w:rsidRPr="00CA2AD9">
        <w:t>New Home</w:t>
      </w:r>
    </w:p>
    <w:p w14:paraId="06A9E9D3" w14:textId="77777777" w:rsidR="00CA2AD9" w:rsidRPr="00CA2AD9" w:rsidRDefault="00CA2AD9" w:rsidP="00880EAE">
      <w:pPr>
        <w:pStyle w:val="BodyText"/>
        <w:spacing w:after="0"/>
        <w:rPr>
          <w:lang w:val="en-US"/>
        </w:rPr>
      </w:pPr>
      <w:r w:rsidRPr="00CA2AD9">
        <w:rPr>
          <w:lang w:val="en-US"/>
        </w:rPr>
        <w:t>Department of Energy, Environment and Climate Action (DEECA) analysis concludes:</w:t>
      </w:r>
    </w:p>
    <w:p w14:paraId="3F7C0032" w14:textId="54E48983" w:rsidR="00CA2AD9" w:rsidRPr="00E7462C" w:rsidRDefault="00CA2AD9" w:rsidP="00880EAE">
      <w:pPr>
        <w:pStyle w:val="ListBullet"/>
        <w:spacing w:after="0"/>
      </w:pPr>
      <w:r w:rsidRPr="00CA2AD9">
        <w:t>Built today, a new, all-electric home has 6% lower greenhouse gas (GHG) emissions than a new dual fuel home, saving 0.3 t CO</w:t>
      </w:r>
      <w:r w:rsidRPr="00CA2AD9">
        <w:rPr>
          <w:vertAlign w:val="subscript"/>
        </w:rPr>
        <w:t>2</w:t>
      </w:r>
      <w:r w:rsidRPr="00CA2AD9">
        <w:t>.</w:t>
      </w:r>
      <w:r w:rsidR="00CA175F">
        <w:t xml:space="preserve"> (</w:t>
      </w:r>
      <w:r w:rsidR="00CA175F" w:rsidRPr="00220DDE">
        <w:rPr>
          <w:b/>
          <w:bCs/>
        </w:rPr>
        <w:t>Note:</w:t>
      </w:r>
      <w:r w:rsidR="00CA175F">
        <w:t xml:space="preserve"> </w:t>
      </w:r>
      <w:r w:rsidR="00CA175F" w:rsidRPr="00CA175F">
        <w:rPr>
          <w:lang w:val="en-AU"/>
        </w:rPr>
        <w:t>GHG emissions reductions estimates for a new home were revised using updated energy use assumptions and electricity emissions factors.</w:t>
      </w:r>
      <w:r w:rsidR="00CA175F">
        <w:rPr>
          <w:lang w:val="en-AU"/>
        </w:rPr>
        <w:t>)</w:t>
      </w:r>
    </w:p>
    <w:p w14:paraId="1302F9AC" w14:textId="5EEFAE42" w:rsidR="00E7462C" w:rsidRDefault="00E7462C" w:rsidP="00880EAE">
      <w:pPr>
        <w:pStyle w:val="Caption"/>
        <w:spacing w:after="0"/>
      </w:pPr>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r w:rsidRPr="007932FA">
        <w:t xml:space="preserve">Emissions in 2025 – </w:t>
      </w:r>
      <w:r>
        <w:t>New</w:t>
      </w:r>
      <w:r w:rsidRPr="007932FA">
        <w:t xml:space="preserve"> home</w:t>
      </w:r>
    </w:p>
    <w:p w14:paraId="73C110F5" w14:textId="39044A61" w:rsidR="00E7462C" w:rsidRPr="00CA2AD9" w:rsidRDefault="00E7462C" w:rsidP="00E7462C">
      <w:pPr>
        <w:pStyle w:val="BodyText"/>
        <w:jc w:val="center"/>
      </w:pPr>
      <w:r>
        <w:rPr>
          <w:noProof/>
        </w:rPr>
        <w:drawing>
          <wp:inline distT="0" distB="0" distL="0" distR="0" wp14:anchorId="74A64B4B" wp14:editId="677E00C6">
            <wp:extent cx="3240000" cy="1887158"/>
            <wp:effectExtent l="0" t="0" r="0" b="5715"/>
            <wp:docPr id="1802129502" name="Picture 5" descr="A bar chart comparing the greenhouse gas emissions produced by an all-electric new home (4.5 tonnes of carbon dioxide) versus a dual-fuel new home (4.8 tonnes) i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29502" name="Picture 5" descr="A bar chart comparing the greenhouse gas emissions produced by an all-electric new home (4.5 tonnes of carbon dioxide) versus a dual-fuel new home (4.8 tonnes) in 2025"/>
                    <pic:cNvPicPr/>
                  </pic:nvPicPr>
                  <pic:blipFill>
                    <a:blip r:embed="rId10"/>
                    <a:stretch>
                      <a:fillRect/>
                    </a:stretch>
                  </pic:blipFill>
                  <pic:spPr>
                    <a:xfrm>
                      <a:off x="0" y="0"/>
                      <a:ext cx="3240000" cy="1887158"/>
                    </a:xfrm>
                    <a:prstGeom prst="rect">
                      <a:avLst/>
                    </a:prstGeom>
                  </pic:spPr>
                </pic:pic>
              </a:graphicData>
            </a:graphic>
          </wp:inline>
        </w:drawing>
      </w:r>
    </w:p>
    <w:p w14:paraId="1A760D72" w14:textId="21B915CE" w:rsidR="00CA2AD9" w:rsidRDefault="00CA2AD9" w:rsidP="00CA175F">
      <w:pPr>
        <w:pStyle w:val="ListBullet"/>
      </w:pPr>
      <w:r w:rsidRPr="00CA2AD9">
        <w:lastRenderedPageBreak/>
        <w:t>Over the 10-year period from 2025–2035, a new, all-electric home has 23% lower GHG emissions than a new dual</w:t>
      </w:r>
      <w:r w:rsidR="00CA4414">
        <w:t xml:space="preserve"> </w:t>
      </w:r>
      <w:r w:rsidRPr="00CA2AD9">
        <w:t>fuel home, saving 8.2 t CO</w:t>
      </w:r>
      <w:r w:rsidRPr="00CA2AD9">
        <w:rPr>
          <w:vertAlign w:val="subscript"/>
        </w:rPr>
        <w:t>2</w:t>
      </w:r>
      <w:r w:rsidRPr="00CA2AD9">
        <w:t>.</w:t>
      </w:r>
    </w:p>
    <w:p w14:paraId="03E4CD36" w14:textId="63CCA249" w:rsidR="00E7462C" w:rsidRDefault="00E7462C" w:rsidP="00E7462C">
      <w:pPr>
        <w:pStyle w:val="Caption"/>
        <w:keepNext/>
      </w:pPr>
      <w:r>
        <w:t xml:space="preserve">Figure </w:t>
      </w:r>
      <w:r>
        <w:fldChar w:fldCharType="begin"/>
      </w:r>
      <w:r>
        <w:instrText xml:space="preserve"> SEQ Figure \* ARABIC </w:instrText>
      </w:r>
      <w:r>
        <w:fldChar w:fldCharType="separate"/>
      </w:r>
      <w:r>
        <w:rPr>
          <w:noProof/>
        </w:rPr>
        <w:t>4</w:t>
      </w:r>
      <w:r>
        <w:rPr>
          <w:noProof/>
        </w:rPr>
        <w:fldChar w:fldCharType="end"/>
      </w:r>
      <w:r>
        <w:t xml:space="preserve">: </w:t>
      </w:r>
      <w:r w:rsidRPr="000340F0">
        <w:t xml:space="preserve">Emissions over 10 years from 2025 – </w:t>
      </w:r>
      <w:r>
        <w:t>New</w:t>
      </w:r>
      <w:r w:rsidRPr="000340F0">
        <w:t xml:space="preserve"> home</w:t>
      </w:r>
    </w:p>
    <w:p w14:paraId="3F34FC73" w14:textId="2DE1A710" w:rsidR="00E7462C" w:rsidRDefault="00E7462C" w:rsidP="00220DDE">
      <w:pPr>
        <w:pStyle w:val="BodyText"/>
        <w:spacing w:after="120"/>
        <w:jc w:val="center"/>
      </w:pPr>
      <w:r>
        <w:rPr>
          <w:noProof/>
        </w:rPr>
        <w:drawing>
          <wp:inline distT="0" distB="0" distL="0" distR="0" wp14:anchorId="44D2EF4C" wp14:editId="6E7FD474">
            <wp:extent cx="3240000" cy="1854700"/>
            <wp:effectExtent l="0" t="0" r="0" b="0"/>
            <wp:docPr id="750583511" name="Picture 6" descr="A bar chart showing the different amounts of greenhouse gas emissions produced by an all-electric new home (28.1 tonnes of carbon dioxide) and a dual-fuel new home (36.3 tonnes) across a ten year period starting in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583511" name="Picture 6" descr="A bar chart showing the different amounts of greenhouse gas emissions produced by an all-electric new home (28.1 tonnes of carbon dioxide) and a dual-fuel new home (36.3 tonnes) across a ten year period starting in 2025."/>
                    <pic:cNvPicPr/>
                  </pic:nvPicPr>
                  <pic:blipFill>
                    <a:blip r:embed="rId11"/>
                    <a:stretch>
                      <a:fillRect/>
                    </a:stretch>
                  </pic:blipFill>
                  <pic:spPr>
                    <a:xfrm>
                      <a:off x="0" y="0"/>
                      <a:ext cx="3240000" cy="1854700"/>
                    </a:xfrm>
                    <a:prstGeom prst="rect">
                      <a:avLst/>
                    </a:prstGeom>
                  </pic:spPr>
                </pic:pic>
              </a:graphicData>
            </a:graphic>
          </wp:inline>
        </w:drawing>
      </w:r>
    </w:p>
    <w:p w14:paraId="78CAD3C4" w14:textId="77777777" w:rsidR="00CA2AD9" w:rsidRPr="00CA2AD9" w:rsidRDefault="00CA2AD9" w:rsidP="00E22996">
      <w:pPr>
        <w:pStyle w:val="Heading1"/>
        <w:spacing w:before="120" w:after="120"/>
      </w:pPr>
      <w:r w:rsidRPr="00CA2AD9">
        <w:t>Key Inputs – New Home</w:t>
      </w:r>
    </w:p>
    <w:p w14:paraId="182AF77F" w14:textId="77777777" w:rsidR="00CA2AD9" w:rsidRPr="00CA2AD9" w:rsidRDefault="00CA2AD9" w:rsidP="00CA2AD9">
      <w:pPr>
        <w:pStyle w:val="ListBullet"/>
      </w:pPr>
      <w:r w:rsidRPr="00CA2AD9">
        <w:t>New home built with 7-star building shell</w:t>
      </w:r>
    </w:p>
    <w:p w14:paraId="43658F30" w14:textId="761D7D02" w:rsidR="00CA2AD9" w:rsidRDefault="00CA2AD9" w:rsidP="00CA2AD9">
      <w:pPr>
        <w:pStyle w:val="ListBullet"/>
      </w:pPr>
      <w:r w:rsidRPr="00CA2AD9">
        <w:t>High efficiency, multi-split air conditioning systems used for space heating (high efficiency conversion of</w:t>
      </w:r>
      <w:r w:rsidR="00CA4414">
        <w:t xml:space="preserve"> </w:t>
      </w:r>
      <w:r w:rsidRPr="00CA2AD9">
        <w:t>around</w:t>
      </w:r>
      <w:r w:rsidR="00CA4414">
        <w:t xml:space="preserve"> </w:t>
      </w:r>
      <w:r w:rsidRPr="00CA2AD9">
        <w:t>450%)</w:t>
      </w:r>
    </w:p>
    <w:p w14:paraId="6A49CCC6" w14:textId="161325B6" w:rsidR="00220DDE" w:rsidRDefault="00220DDE" w:rsidP="00220DDE">
      <w:pPr>
        <w:pStyle w:val="Caption"/>
        <w:keepNext/>
      </w:pPr>
      <w:r>
        <w:t xml:space="preserve">Table </w:t>
      </w:r>
      <w:r>
        <w:fldChar w:fldCharType="begin"/>
      </w:r>
      <w:r>
        <w:instrText xml:space="preserve"> SEQ Table \* ARABIC </w:instrText>
      </w:r>
      <w:r>
        <w:fldChar w:fldCharType="separate"/>
      </w:r>
      <w:r>
        <w:rPr>
          <w:noProof/>
        </w:rPr>
        <w:t>2</w:t>
      </w:r>
      <w:r>
        <w:rPr>
          <w:noProof/>
        </w:rPr>
        <w:fldChar w:fldCharType="end"/>
      </w:r>
      <w:r w:rsidR="00880EAE">
        <w:t xml:space="preserve">: </w:t>
      </w:r>
      <w:r w:rsidR="00880EAE" w:rsidRPr="00880EAE">
        <w:t xml:space="preserve">Key inputs for a </w:t>
      </w:r>
      <w:r w:rsidR="00880EAE">
        <w:t>new</w:t>
      </w:r>
      <w:r w:rsidR="00880EAE" w:rsidRPr="00880EAE">
        <w:t xml:space="preserve"> home</w:t>
      </w:r>
    </w:p>
    <w:tbl>
      <w:tblPr>
        <w:tblStyle w:val="Style2"/>
        <w:tblW w:w="5000" w:type="pct"/>
        <w:tblLook w:val="0020" w:firstRow="1" w:lastRow="0" w:firstColumn="0" w:lastColumn="0" w:noHBand="0" w:noVBand="0"/>
        <w:tblCaption w:val="Key inputs for an new home"/>
      </w:tblPr>
      <w:tblGrid>
        <w:gridCol w:w="3682"/>
        <w:gridCol w:w="2973"/>
        <w:gridCol w:w="2973"/>
      </w:tblGrid>
      <w:tr w:rsidR="00CA2AD9" w:rsidRPr="00CA2AD9" w14:paraId="670BC4CB" w14:textId="77777777" w:rsidTr="00880EAE">
        <w:trPr>
          <w:cnfStyle w:val="100000000000" w:firstRow="1" w:lastRow="0" w:firstColumn="0" w:lastColumn="0" w:oddVBand="0" w:evenVBand="0" w:oddHBand="0" w:evenHBand="0" w:firstRowFirstColumn="0" w:firstRowLastColumn="0" w:lastRowFirstColumn="0" w:lastRowLastColumn="0"/>
          <w:cantSplit/>
          <w:trHeight w:val="60"/>
          <w:tblHeader/>
        </w:trPr>
        <w:tc>
          <w:tcPr>
            <w:tcW w:w="1912" w:type="pct"/>
          </w:tcPr>
          <w:p w14:paraId="22C71466" w14:textId="77777777" w:rsidR="00CA2AD9" w:rsidRPr="00CA2AD9" w:rsidRDefault="00CA2AD9" w:rsidP="00220DDE">
            <w:pPr>
              <w:pStyle w:val="Tabletext"/>
              <w:spacing w:line="240" w:lineRule="auto"/>
            </w:pPr>
            <w:r w:rsidRPr="00CA2AD9">
              <w:t>Input</w:t>
            </w:r>
          </w:p>
        </w:tc>
        <w:tc>
          <w:tcPr>
            <w:tcW w:w="1544" w:type="pct"/>
          </w:tcPr>
          <w:p w14:paraId="4A665DE7" w14:textId="77777777" w:rsidR="00CA2AD9" w:rsidRPr="00CA2AD9" w:rsidRDefault="00CA2AD9" w:rsidP="00220DDE">
            <w:pPr>
              <w:pStyle w:val="Tabletext"/>
              <w:spacing w:line="240" w:lineRule="auto"/>
            </w:pPr>
            <w:r w:rsidRPr="00CA2AD9">
              <w:t>New home</w:t>
            </w:r>
          </w:p>
        </w:tc>
        <w:tc>
          <w:tcPr>
            <w:tcW w:w="1544" w:type="pct"/>
          </w:tcPr>
          <w:p w14:paraId="542D4062" w14:textId="2C5E8CFD" w:rsidR="00CA2AD9" w:rsidRPr="00CA2AD9" w:rsidRDefault="00CA2AD9" w:rsidP="00220DDE">
            <w:pPr>
              <w:pStyle w:val="Tabletext"/>
              <w:spacing w:line="240" w:lineRule="auto"/>
            </w:pPr>
            <w:r w:rsidRPr="00CA2AD9">
              <w:t>Emissions Factor</w:t>
            </w:r>
            <w:r w:rsidR="00CA4414">
              <w:t xml:space="preserve"> </w:t>
            </w:r>
            <w:r w:rsidRPr="00CA2AD9">
              <w:t>2025</w:t>
            </w:r>
          </w:p>
        </w:tc>
      </w:tr>
      <w:tr w:rsidR="00CA2AD9" w:rsidRPr="00CA2AD9" w14:paraId="62AC1212" w14:textId="77777777" w:rsidTr="00CA175F">
        <w:trPr>
          <w:trHeight w:val="60"/>
        </w:trPr>
        <w:tc>
          <w:tcPr>
            <w:tcW w:w="1912" w:type="pct"/>
          </w:tcPr>
          <w:p w14:paraId="49898DBE" w14:textId="77777777" w:rsidR="00CA2AD9" w:rsidRPr="00CA2AD9" w:rsidRDefault="00CA2AD9" w:rsidP="00220DDE">
            <w:pPr>
              <w:pStyle w:val="Tabletext"/>
              <w:spacing w:line="276" w:lineRule="auto"/>
            </w:pPr>
            <w:r w:rsidRPr="00CA2AD9">
              <w:t>Dual Fuel – gas input</w:t>
            </w:r>
          </w:p>
        </w:tc>
        <w:tc>
          <w:tcPr>
            <w:tcW w:w="1544" w:type="pct"/>
          </w:tcPr>
          <w:p w14:paraId="3D0F7E60" w14:textId="77777777" w:rsidR="00CA2AD9" w:rsidRPr="00CA2AD9" w:rsidRDefault="00CA2AD9" w:rsidP="00220DDE">
            <w:pPr>
              <w:pStyle w:val="Tabletext"/>
              <w:spacing w:line="276" w:lineRule="auto"/>
            </w:pPr>
            <w:r w:rsidRPr="00CA2AD9">
              <w:t>32.4 GJ/yr</w:t>
            </w:r>
          </w:p>
        </w:tc>
        <w:tc>
          <w:tcPr>
            <w:tcW w:w="1544" w:type="pct"/>
          </w:tcPr>
          <w:p w14:paraId="1670063D" w14:textId="77777777" w:rsidR="00CA2AD9" w:rsidRPr="00CA2AD9" w:rsidRDefault="00CA2AD9" w:rsidP="00220DDE">
            <w:pPr>
              <w:pStyle w:val="Tabletext"/>
              <w:spacing w:line="276" w:lineRule="auto"/>
            </w:pPr>
            <w:r w:rsidRPr="00CA2AD9">
              <w:t>0.056 tC0</w:t>
            </w:r>
            <w:r w:rsidRPr="00CA2AD9">
              <w:rPr>
                <w:vertAlign w:val="subscript"/>
                <w:lang w:val="en-US"/>
              </w:rPr>
              <w:t>2</w:t>
            </w:r>
            <w:r w:rsidRPr="00CA2AD9">
              <w:t>/GJ</w:t>
            </w:r>
          </w:p>
        </w:tc>
      </w:tr>
      <w:tr w:rsidR="00CA2AD9" w:rsidRPr="00CA2AD9" w14:paraId="7F3804E4" w14:textId="77777777" w:rsidTr="00CA175F">
        <w:trPr>
          <w:trHeight w:val="60"/>
        </w:trPr>
        <w:tc>
          <w:tcPr>
            <w:tcW w:w="1912" w:type="pct"/>
          </w:tcPr>
          <w:p w14:paraId="7E3E3A6A" w14:textId="18F9EA68" w:rsidR="00CA2AD9" w:rsidRPr="00CA2AD9" w:rsidRDefault="00CA2AD9" w:rsidP="00220DDE">
            <w:pPr>
              <w:pStyle w:val="Tabletext"/>
              <w:spacing w:line="276" w:lineRule="auto"/>
            </w:pPr>
            <w:r w:rsidRPr="00CA2AD9">
              <w:t>Dual Fuel – electricity</w:t>
            </w:r>
            <w:r w:rsidR="00CA4414">
              <w:t xml:space="preserve"> </w:t>
            </w:r>
            <w:r w:rsidRPr="00CA2AD9">
              <w:t xml:space="preserve">input </w:t>
            </w:r>
          </w:p>
        </w:tc>
        <w:tc>
          <w:tcPr>
            <w:tcW w:w="1544" w:type="pct"/>
          </w:tcPr>
          <w:p w14:paraId="3453FAB5" w14:textId="77777777" w:rsidR="00CA2AD9" w:rsidRPr="00CA2AD9" w:rsidRDefault="00CA2AD9" w:rsidP="00220DDE">
            <w:pPr>
              <w:pStyle w:val="Tabletext"/>
              <w:spacing w:line="276" w:lineRule="auto"/>
            </w:pPr>
            <w:r w:rsidRPr="00CA2AD9">
              <w:t>3.5 MWh/yr</w:t>
            </w:r>
          </w:p>
        </w:tc>
        <w:tc>
          <w:tcPr>
            <w:tcW w:w="1544" w:type="pct"/>
          </w:tcPr>
          <w:p w14:paraId="14C5B185" w14:textId="77777777" w:rsidR="00CA2AD9" w:rsidRPr="00CA2AD9" w:rsidRDefault="00CA2AD9" w:rsidP="00220DDE">
            <w:pPr>
              <w:pStyle w:val="Tabletext"/>
              <w:spacing w:line="276" w:lineRule="auto"/>
            </w:pPr>
            <w:r w:rsidRPr="00CA2AD9">
              <w:t>0.812 tC0</w:t>
            </w:r>
            <w:r w:rsidRPr="00CA2AD9">
              <w:rPr>
                <w:vertAlign w:val="subscript"/>
                <w:lang w:val="en-US"/>
              </w:rPr>
              <w:t>2</w:t>
            </w:r>
            <w:r w:rsidRPr="00CA2AD9">
              <w:t>/MWh</w:t>
            </w:r>
          </w:p>
        </w:tc>
      </w:tr>
      <w:tr w:rsidR="00CA2AD9" w:rsidRPr="00CA2AD9" w14:paraId="5690872C" w14:textId="77777777" w:rsidTr="00CA175F">
        <w:trPr>
          <w:trHeight w:val="60"/>
        </w:trPr>
        <w:tc>
          <w:tcPr>
            <w:tcW w:w="1912" w:type="pct"/>
          </w:tcPr>
          <w:p w14:paraId="2320AD45" w14:textId="77777777" w:rsidR="00CA2AD9" w:rsidRPr="00CA2AD9" w:rsidRDefault="00CA2AD9" w:rsidP="00220DDE">
            <w:pPr>
              <w:pStyle w:val="Tabletext"/>
              <w:spacing w:line="276" w:lineRule="auto"/>
            </w:pPr>
            <w:r w:rsidRPr="00CA2AD9">
              <w:t xml:space="preserve">All-electric home input </w:t>
            </w:r>
          </w:p>
        </w:tc>
        <w:tc>
          <w:tcPr>
            <w:tcW w:w="1544" w:type="pct"/>
          </w:tcPr>
          <w:p w14:paraId="37A3EF15" w14:textId="77777777" w:rsidR="00CA2AD9" w:rsidRPr="00CA2AD9" w:rsidRDefault="00CA2AD9" w:rsidP="00220DDE">
            <w:pPr>
              <w:pStyle w:val="Tabletext"/>
              <w:spacing w:line="276" w:lineRule="auto"/>
            </w:pPr>
            <w:r w:rsidRPr="00CA2AD9">
              <w:t>5.4 MWh/yr</w:t>
            </w:r>
          </w:p>
        </w:tc>
        <w:tc>
          <w:tcPr>
            <w:tcW w:w="1544" w:type="pct"/>
          </w:tcPr>
          <w:p w14:paraId="2717C941" w14:textId="77777777" w:rsidR="00CA2AD9" w:rsidRPr="00CA2AD9" w:rsidRDefault="00CA2AD9" w:rsidP="00220DDE">
            <w:pPr>
              <w:pStyle w:val="Tabletext"/>
              <w:spacing w:line="276" w:lineRule="auto"/>
            </w:pPr>
            <w:r w:rsidRPr="00CA2AD9">
              <w:t>0.812 tC0</w:t>
            </w:r>
            <w:r w:rsidRPr="00CA2AD9">
              <w:rPr>
                <w:vertAlign w:val="subscript"/>
                <w:lang w:val="en-US"/>
              </w:rPr>
              <w:t>2</w:t>
            </w:r>
            <w:r w:rsidRPr="00CA2AD9">
              <w:t>/MWh</w:t>
            </w:r>
          </w:p>
        </w:tc>
      </w:tr>
    </w:tbl>
    <w:p w14:paraId="790DAEA1" w14:textId="77777777" w:rsidR="00CA2AD9" w:rsidRPr="00CA2AD9" w:rsidRDefault="00CA2AD9" w:rsidP="00E22996">
      <w:pPr>
        <w:pStyle w:val="Heading1"/>
        <w:spacing w:before="480" w:after="120"/>
      </w:pPr>
      <w:r w:rsidRPr="00CA2AD9">
        <w:t>GHG emissions factors</w:t>
      </w:r>
    </w:p>
    <w:p w14:paraId="1CF161B5" w14:textId="30982553" w:rsidR="00CA2AD9" w:rsidRPr="00CA2AD9" w:rsidRDefault="00CA2AD9" w:rsidP="00CA175F">
      <w:pPr>
        <w:pStyle w:val="ListBullet"/>
      </w:pPr>
      <w:r w:rsidRPr="00CA2AD9">
        <w:t xml:space="preserve">Scope 2 electricity emissions based on AEMO 2024 Step Change scenario and scope 3 from DCCEEW </w:t>
      </w:r>
      <w:r w:rsidR="00CA175F">
        <w:t>(</w:t>
      </w:r>
      <w:r w:rsidR="00CA175F" w:rsidRPr="00220DDE">
        <w:rPr>
          <w:b/>
          <w:bCs/>
        </w:rPr>
        <w:t>Source:</w:t>
      </w:r>
      <w:r w:rsidR="00CA175F">
        <w:t xml:space="preserve"> </w:t>
      </w:r>
      <w:hyperlink r:id="rId12" w:history="1">
        <w:r w:rsidR="00CA175F" w:rsidRPr="00CA175F">
          <w:rPr>
            <w:rStyle w:val="Hyperlink"/>
            <w:lang w:val="en-AU"/>
          </w:rPr>
          <w:t>Australian National Greenhouse Accounts Factors (dcceew.gov.au)</w:t>
        </w:r>
      </w:hyperlink>
      <w:r w:rsidR="00CA175F" w:rsidRPr="00CA175F">
        <w:t xml:space="preserve"> Table 1</w:t>
      </w:r>
      <w:r w:rsidR="00CA175F">
        <w:t>)</w:t>
      </w:r>
    </w:p>
    <w:p w14:paraId="7D25964A" w14:textId="4DB60CAB" w:rsidR="00880EAE" w:rsidRDefault="00CA2AD9" w:rsidP="00880EAE">
      <w:pPr>
        <w:pStyle w:val="ListBullet"/>
        <w:spacing w:after="360"/>
      </w:pPr>
      <w:r w:rsidRPr="00CA2AD9">
        <w:lastRenderedPageBreak/>
        <w:t xml:space="preserve">Scope 1 and 3 gas emissions from DCCEEW </w:t>
      </w:r>
      <w:r w:rsidR="00CA175F">
        <w:t>(</w:t>
      </w:r>
      <w:r w:rsidR="00CA175F" w:rsidRPr="00220DDE">
        <w:rPr>
          <w:b/>
          <w:bCs/>
        </w:rPr>
        <w:t>Source:</w:t>
      </w:r>
      <w:r w:rsidR="00CA175F">
        <w:t xml:space="preserve"> </w:t>
      </w:r>
      <w:hyperlink r:id="rId13" w:history="1">
        <w:r w:rsidR="00CA175F" w:rsidRPr="00CA175F">
          <w:rPr>
            <w:rStyle w:val="Hyperlink"/>
            <w:lang w:val="en-AU"/>
          </w:rPr>
          <w:t>Australian National Greenhouse Accounts Factors (dcceew.gov.au)</w:t>
        </w:r>
      </w:hyperlink>
      <w:r w:rsidR="00CA175F" w:rsidRPr="00CA175F">
        <w:t xml:space="preserve"> Table 4 and Table 5. Table 5 notes the following “Scope 3 emission factors do not include fugitive emission leakage but do include the combustion associated with low pressure natural gas distribution pipeline networks.”</w:t>
      </w:r>
      <w:r w:rsidR="00CA175F">
        <w:t>)</w:t>
      </w:r>
      <w:bookmarkStart w:id="0" w:name="_Toc184285036"/>
    </w:p>
    <w:p w14:paraId="0E2661F2" w14:textId="2E8B352E" w:rsidR="00880EAE" w:rsidRPr="00CA4414" w:rsidRDefault="00E22996" w:rsidP="00CA4414">
      <w:pPr>
        <w:pStyle w:val="BodyText"/>
        <w:rPr>
          <w:b/>
          <w:bCs/>
        </w:rPr>
      </w:pPr>
      <w:hyperlink r:id="rId14" w:tooltip="Hyperlink to the Energy Victoria website" w:history="1">
        <w:r w:rsidRPr="00E22996">
          <w:rPr>
            <w:rStyle w:val="Hyperlink"/>
            <w:b/>
            <w:bCs/>
          </w:rPr>
          <w:t>energy.vic.gov.au</w:t>
        </w:r>
      </w:hyperlink>
      <w:r w:rsidR="00880EAE">
        <w:br w:type="page"/>
      </w:r>
    </w:p>
    <w:p w14:paraId="07E360EA" w14:textId="5C10DE20" w:rsidR="00222FF2" w:rsidRPr="00CA175F" w:rsidRDefault="00222FF2" w:rsidP="00880EAE">
      <w:pPr>
        <w:pStyle w:val="Heading1"/>
        <w:spacing w:after="240"/>
        <w:rPr>
          <w:sz w:val="48"/>
        </w:rPr>
      </w:pPr>
      <w:r w:rsidRPr="00AD02AB">
        <w:lastRenderedPageBreak/>
        <w:t>Publication information</w:t>
      </w:r>
      <w:bookmarkEnd w:id="0"/>
    </w:p>
    <w:p w14:paraId="390996EC" w14:textId="3A726EAD" w:rsidR="00222FF2" w:rsidRPr="00880EAE" w:rsidRDefault="00222FF2" w:rsidP="00880EAE">
      <w:pPr>
        <w:pStyle w:val="Heading2"/>
        <w:spacing w:after="120" w:line="276" w:lineRule="auto"/>
        <w:rPr>
          <w:sz w:val="28"/>
          <w:szCs w:val="28"/>
        </w:rPr>
      </w:pPr>
      <w:r w:rsidRPr="00880EAE">
        <w:rPr>
          <w:sz w:val="28"/>
          <w:szCs w:val="28"/>
        </w:rPr>
        <w:t>Acknowledgement</w:t>
      </w:r>
      <w:r w:rsidR="00CA175F" w:rsidRPr="00880EAE">
        <w:rPr>
          <w:sz w:val="28"/>
          <w:szCs w:val="28"/>
        </w:rPr>
        <w:t xml:space="preserve"> of </w:t>
      </w:r>
      <w:r w:rsidR="00CA175F" w:rsidRPr="00880EAE">
        <w:rPr>
          <w:sz w:val="28"/>
          <w:szCs w:val="28"/>
          <w:lang w:val="en-AU"/>
        </w:rPr>
        <w:t>Traditional Owners</w:t>
      </w:r>
    </w:p>
    <w:p w14:paraId="3FEFB221" w14:textId="0469C522" w:rsidR="00222FF2" w:rsidRPr="00CA175F" w:rsidRDefault="00CA175F" w:rsidP="00880EAE">
      <w:pPr>
        <w:pStyle w:val="BodyText"/>
        <w:spacing w:after="120"/>
      </w:pPr>
      <w:r w:rsidRPr="00CA175F">
        <w:t>We acknowledge Victorian Traditional Owners and their Elders past and present as the original custodians of Victoria’s land and waters and commit to genuinely partnering with</w:t>
      </w:r>
      <w:r w:rsidR="00CA4414">
        <w:t xml:space="preserve"> </w:t>
      </w:r>
      <w:r w:rsidRPr="00CA175F">
        <w:t>them and Victoria’s Aboriginal community to progress their aspirations</w:t>
      </w:r>
      <w:r w:rsidR="00222FF2" w:rsidRPr="006D3BAD">
        <w:t>.</w:t>
      </w:r>
    </w:p>
    <w:p w14:paraId="69916005" w14:textId="77777777" w:rsidR="00222FF2" w:rsidRPr="00880EAE" w:rsidRDefault="00222FF2" w:rsidP="00880EAE">
      <w:pPr>
        <w:pStyle w:val="Heading2"/>
        <w:spacing w:after="120" w:line="276" w:lineRule="auto"/>
        <w:rPr>
          <w:sz w:val="28"/>
          <w:szCs w:val="28"/>
        </w:rPr>
      </w:pPr>
      <w:r w:rsidRPr="00880EAE">
        <w:rPr>
          <w:sz w:val="28"/>
          <w:szCs w:val="28"/>
        </w:rPr>
        <w:t>Copyright</w:t>
      </w:r>
    </w:p>
    <w:p w14:paraId="091D9D53" w14:textId="2822D556" w:rsidR="00222FF2" w:rsidRDefault="00222FF2" w:rsidP="00880EAE">
      <w:pPr>
        <w:pStyle w:val="BodyText"/>
        <w:spacing w:after="120"/>
        <w:ind w:right="-285"/>
      </w:pPr>
      <w:r w:rsidRPr="00F666C5">
        <w:rPr>
          <w:lang w:val="en-US"/>
        </w:rPr>
        <w:t xml:space="preserve">© The State of Victoria Department of Energy, Environment and Climate Action, </w:t>
      </w:r>
      <w:r w:rsidR="000026B6">
        <w:rPr>
          <w:lang w:val="en-US"/>
        </w:rPr>
        <w:br/>
      </w:r>
      <w:r w:rsidR="00220DDE">
        <w:rPr>
          <w:lang w:val="en-US"/>
        </w:rPr>
        <w:t>December</w:t>
      </w:r>
      <w:r w:rsidRPr="00F666C5">
        <w:rPr>
          <w:lang w:val="en-US"/>
        </w:rPr>
        <w:t xml:space="preserve"> 2024</w:t>
      </w:r>
      <w:r w:rsidRPr="006D3BAD">
        <w:t>.</w:t>
      </w:r>
    </w:p>
    <w:p w14:paraId="010B2BD2" w14:textId="77777777" w:rsidR="00A12B75" w:rsidRDefault="00A12B75" w:rsidP="00A12B75">
      <w:pPr>
        <w:pStyle w:val="BodyText"/>
        <w:spacing w:after="120"/>
        <w:ind w:right="-285"/>
        <w:rPr>
          <w:b/>
          <w:bCs/>
          <w:lang w:val="en-AU"/>
        </w:rPr>
      </w:pPr>
      <w:r w:rsidRPr="00A12B75">
        <w:rPr>
          <w:b/>
          <w:bCs/>
          <w:lang w:val="en-AU"/>
        </w:rPr>
        <w:t xml:space="preserve">ISBN </w:t>
      </w:r>
      <w:r w:rsidRPr="00E5699B">
        <w:rPr>
          <w:lang w:val="en-AU"/>
        </w:rPr>
        <w:t>978-1-76176-034-1</w:t>
      </w:r>
      <w:r w:rsidRPr="00A12B75">
        <w:rPr>
          <w:b/>
          <w:bCs/>
          <w:lang w:val="en-AU"/>
        </w:rPr>
        <w:t xml:space="preserve"> (pdf/online)</w:t>
      </w:r>
    </w:p>
    <w:p w14:paraId="762B754A" w14:textId="01FC703C" w:rsidR="00A12B75" w:rsidRPr="00A12B75" w:rsidRDefault="00A12B75" w:rsidP="00A12B75">
      <w:pPr>
        <w:pStyle w:val="BodyText"/>
        <w:spacing w:after="120"/>
        <w:ind w:right="-285"/>
        <w:rPr>
          <w:lang w:val="en-AU"/>
        </w:rPr>
      </w:pPr>
      <w:r w:rsidRPr="00A12B75">
        <w:rPr>
          <w:b/>
          <w:bCs/>
          <w:lang w:val="en-AU"/>
        </w:rPr>
        <w:t xml:space="preserve">ISBN </w:t>
      </w:r>
      <w:r w:rsidRPr="00E5699B">
        <w:rPr>
          <w:lang w:val="en-AU"/>
        </w:rPr>
        <w:t>978-1-76176-035-8</w:t>
      </w:r>
      <w:r w:rsidRPr="00A12B75">
        <w:rPr>
          <w:b/>
          <w:bCs/>
          <w:lang w:val="en-AU"/>
        </w:rPr>
        <w:t xml:space="preserve"> (print)</w:t>
      </w:r>
    </w:p>
    <w:p w14:paraId="50293625" w14:textId="77777777" w:rsidR="00222FF2" w:rsidRPr="00880EAE" w:rsidRDefault="00222FF2" w:rsidP="00880EAE">
      <w:pPr>
        <w:pStyle w:val="Heading2"/>
        <w:spacing w:after="120" w:line="276" w:lineRule="auto"/>
        <w:rPr>
          <w:sz w:val="28"/>
          <w:szCs w:val="28"/>
        </w:rPr>
      </w:pPr>
      <w:r w:rsidRPr="00880EAE">
        <w:rPr>
          <w:sz w:val="28"/>
          <w:szCs w:val="28"/>
        </w:rPr>
        <w:t>Creative Commons</w:t>
      </w:r>
    </w:p>
    <w:p w14:paraId="580EFDBC" w14:textId="1C284F5D"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15" w:tooltip="Hyperlink to Creative Commons website" w:history="1">
        <w:r w:rsidRPr="00F666C5">
          <w:rPr>
            <w:rStyle w:val="Hyperlink"/>
            <w:lang w:val="en-US"/>
          </w:rPr>
          <w:t>Creative</w:t>
        </w:r>
        <w:r w:rsidR="00CA4414">
          <w:rPr>
            <w:rStyle w:val="Hyperlink"/>
            <w:lang w:val="en-US"/>
          </w:rPr>
          <w:t xml:space="preserve"> </w:t>
        </w:r>
        <w:r w:rsidRPr="00F666C5">
          <w:rPr>
            <w:rStyle w:val="Hyperlink"/>
            <w:lang w:val="en-US"/>
          </w:rPr>
          <w:t>Commons website</w:t>
        </w:r>
      </w:hyperlink>
      <w:r w:rsidRPr="00F666C5">
        <w:rPr>
          <w:lang w:val="en-US"/>
        </w:rPr>
        <w:t xml:space="preserve"> (</w:t>
      </w:r>
      <w:hyperlink r:id="rId16" w:tooltip="Hyperlink to Creative Commons website" w:history="1">
        <w:r w:rsidRPr="00F666C5">
          <w:rPr>
            <w:rStyle w:val="Hyperlink"/>
            <w:lang w:val="en-US"/>
          </w:rPr>
          <w:t>http://creativecommons.org/licenses/by/4.0/</w:t>
        </w:r>
      </w:hyperlink>
      <w:r w:rsidRPr="00F666C5">
        <w:rPr>
          <w:lang w:val="en-US"/>
        </w:rPr>
        <w:t>).</w:t>
      </w:r>
    </w:p>
    <w:p w14:paraId="5228FC66" w14:textId="39E5F7DF" w:rsidR="00222FF2" w:rsidRPr="00F666C5" w:rsidRDefault="00222FF2" w:rsidP="00880EAE">
      <w:pPr>
        <w:pStyle w:val="BodyText"/>
        <w:spacing w:after="120"/>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w:t>
      </w:r>
      <w:r w:rsidR="00CA4414">
        <w:rPr>
          <w:lang w:val="en-US"/>
        </w:rPr>
        <w:t xml:space="preserve"> </w:t>
      </w:r>
      <w:r w:rsidRPr="00F666C5">
        <w:rPr>
          <w:lang w:val="en-US"/>
        </w:rPr>
        <w:t>Victorian Coat of Arms, and the Victorian Government and Department logos.</w:t>
      </w:r>
    </w:p>
    <w:p w14:paraId="7169B32C" w14:textId="77777777" w:rsidR="00222FF2" w:rsidRPr="00880EAE" w:rsidRDefault="00222FF2" w:rsidP="00880EAE">
      <w:pPr>
        <w:pStyle w:val="Heading2"/>
        <w:spacing w:after="120" w:line="276" w:lineRule="auto"/>
        <w:rPr>
          <w:sz w:val="28"/>
          <w:szCs w:val="28"/>
        </w:rPr>
      </w:pPr>
      <w:r w:rsidRPr="00880EAE">
        <w:rPr>
          <w:sz w:val="28"/>
          <w:szCs w:val="28"/>
        </w:rPr>
        <w:t>Disclaimer</w:t>
      </w:r>
    </w:p>
    <w:p w14:paraId="7F0B8795" w14:textId="77777777" w:rsidR="00222FF2" w:rsidRPr="005A5FCD" w:rsidRDefault="00222FF2" w:rsidP="00880EAE">
      <w:pPr>
        <w:pStyle w:val="BodyText"/>
        <w:spacing w:after="120"/>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guarantee that the publication is without flaw of any kind or is wholly appropriate for your particular purposes and therefore disclaims all liability for any error, loss or other consequence which</w:t>
      </w:r>
      <w:r>
        <w:t xml:space="preserve"> </w:t>
      </w:r>
      <w:r w:rsidRPr="005A5FCD">
        <w:t>may arise from you relying on any information in this publication</w:t>
      </w:r>
      <w:r>
        <w:t>.</w:t>
      </w:r>
    </w:p>
    <w:p w14:paraId="785D4ED8" w14:textId="77777777" w:rsidR="00222FF2" w:rsidRPr="00880EAE" w:rsidRDefault="00222FF2" w:rsidP="00880EAE">
      <w:pPr>
        <w:pStyle w:val="Heading2"/>
        <w:spacing w:after="120" w:line="276" w:lineRule="auto"/>
        <w:rPr>
          <w:sz w:val="28"/>
          <w:szCs w:val="28"/>
        </w:rPr>
      </w:pPr>
      <w:r w:rsidRPr="00880EAE">
        <w:rPr>
          <w:sz w:val="28"/>
          <w:szCs w:val="28"/>
        </w:rPr>
        <w:lastRenderedPageBreak/>
        <w:t>Accessibility</w:t>
      </w:r>
    </w:p>
    <w:p w14:paraId="2EA6AE14" w14:textId="3AFC75C2" w:rsidR="00222FF2" w:rsidRPr="00CB4B87" w:rsidRDefault="00222FF2" w:rsidP="00880EAE">
      <w:pPr>
        <w:pStyle w:val="BodyText"/>
        <w:spacing w:after="120"/>
      </w:pPr>
      <w:r>
        <w:t xml:space="preserve">To receive this document in an alternative format, phone the Customer Service Centre on 136 186, email </w:t>
      </w:r>
      <w:hyperlink r:id="rId17" w:tooltip="Send an email to customer service" w:history="1">
        <w:r w:rsidRPr="0078282A">
          <w:rPr>
            <w:rStyle w:val="Hyperlink"/>
          </w:rPr>
          <w:t>customer.service@delwp.vic.gov.au</w:t>
        </w:r>
      </w:hyperlink>
      <w:r>
        <w:t>, or contact National Relay Service on 133 677. Available at DEECA website (</w:t>
      </w:r>
      <w:hyperlink r:id="rId18" w:tooltip="Hyperlink to the DEECA website" w:history="1">
        <w:r w:rsidRPr="0078282A">
          <w:rPr>
            <w:rStyle w:val="Hyperlink"/>
          </w:rPr>
          <w:t>www.deeca.vic.gov.au</w:t>
        </w:r>
      </w:hyperlink>
      <w:r>
        <w:t>).</w:t>
      </w:r>
    </w:p>
    <w:p w14:paraId="4B71079D" w14:textId="77777777" w:rsidR="00F767CD" w:rsidRPr="00F767CD" w:rsidRDefault="00222FF2" w:rsidP="00880EAE">
      <w:pPr>
        <w:pStyle w:val="BodyText"/>
        <w:spacing w:before="120"/>
        <w:rPr>
          <w:b/>
          <w:bCs/>
        </w:rPr>
      </w:pPr>
      <w:r w:rsidRPr="00F767CD">
        <w:rPr>
          <w:b/>
          <w:bCs/>
        </w:rPr>
        <w:t>End of document.</w:t>
      </w:r>
    </w:p>
    <w:sectPr w:rsidR="00F767CD" w:rsidRPr="00F767CD" w:rsidSect="00880EAE">
      <w:footerReference w:type="even" r:id="rId19"/>
      <w:footerReference w:type="default" r:id="rId20"/>
      <w:pgSz w:w="11906" w:h="16838"/>
      <w:pgMar w:top="907"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00A93" w14:textId="77777777" w:rsidR="00CC3BDA" w:rsidRDefault="00CC3BDA" w:rsidP="00F2730B">
      <w:pPr>
        <w:spacing w:after="0" w:line="240" w:lineRule="auto"/>
      </w:pPr>
      <w:r>
        <w:separator/>
      </w:r>
    </w:p>
  </w:endnote>
  <w:endnote w:type="continuationSeparator" w:id="0">
    <w:p w14:paraId="05832DBF" w14:textId="77777777" w:rsidR="00CC3BDA" w:rsidRDefault="00CC3BDA"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panose1 w:val="00000000000000000000"/>
    <w:charset w:val="00"/>
    <w:family w:val="roman"/>
    <w:notTrueType/>
    <w:pitch w:val="default"/>
  </w:font>
  <w:font w:name="Arial (Headings)">
    <w:altName w:val="Arial"/>
    <w:charset w:val="00"/>
    <w:family w:val="roman"/>
    <w:pitch w:val="default"/>
  </w:font>
  <w:font w:name="Minion Pro">
    <w:altName w:val="Cambria"/>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23597967"/>
      <w:docPartObj>
        <w:docPartGallery w:val="Page Numbers (Bottom of Page)"/>
        <w:docPartUnique/>
      </w:docPartObj>
    </w:sdtPr>
    <w:sdtEndPr>
      <w:rPr>
        <w:rStyle w:val="PageNumber"/>
      </w:rPr>
    </w:sdtEndPr>
    <w:sdtContent>
      <w:p w14:paraId="2AEA107D" w14:textId="105072F5" w:rsidR="00880EAE" w:rsidRDefault="00880EAE" w:rsidP="00184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50B8A" w14:textId="77777777" w:rsidR="00880EAE" w:rsidRDefault="00880EAE" w:rsidP="00880E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1868484055"/>
      <w:docPartObj>
        <w:docPartGallery w:val="Page Numbers (Bottom of Page)"/>
        <w:docPartUnique/>
      </w:docPartObj>
    </w:sdtPr>
    <w:sdtEndPr>
      <w:rPr>
        <w:rStyle w:val="PageNumber"/>
      </w:rPr>
    </w:sdtEndPr>
    <w:sdtContent>
      <w:p w14:paraId="43CE201D" w14:textId="7830242C" w:rsidR="00880EAE" w:rsidRPr="00880EAE" w:rsidRDefault="00880EAE" w:rsidP="001844F4">
        <w:pPr>
          <w:pStyle w:val="Footer"/>
          <w:framePr w:wrap="none" w:vAnchor="text" w:hAnchor="margin" w:xAlign="right" w:y="1"/>
          <w:rPr>
            <w:rStyle w:val="PageNumber"/>
            <w:sz w:val="20"/>
            <w:szCs w:val="20"/>
          </w:rPr>
        </w:pPr>
        <w:r w:rsidRPr="00880EAE">
          <w:rPr>
            <w:rStyle w:val="PageNumber"/>
            <w:sz w:val="20"/>
            <w:szCs w:val="20"/>
          </w:rPr>
          <w:fldChar w:fldCharType="begin"/>
        </w:r>
        <w:r w:rsidRPr="00880EAE">
          <w:rPr>
            <w:rStyle w:val="PageNumber"/>
            <w:sz w:val="20"/>
            <w:szCs w:val="20"/>
          </w:rPr>
          <w:instrText xml:space="preserve"> PAGE </w:instrText>
        </w:r>
        <w:r w:rsidRPr="00880EAE">
          <w:rPr>
            <w:rStyle w:val="PageNumber"/>
            <w:sz w:val="20"/>
            <w:szCs w:val="20"/>
          </w:rPr>
          <w:fldChar w:fldCharType="separate"/>
        </w:r>
        <w:r w:rsidRPr="00880EAE">
          <w:rPr>
            <w:rStyle w:val="PageNumber"/>
            <w:noProof/>
            <w:sz w:val="20"/>
            <w:szCs w:val="20"/>
          </w:rPr>
          <w:t>1</w:t>
        </w:r>
        <w:r w:rsidRPr="00880EAE">
          <w:rPr>
            <w:rStyle w:val="PageNumber"/>
            <w:sz w:val="20"/>
            <w:szCs w:val="20"/>
          </w:rPr>
          <w:fldChar w:fldCharType="end"/>
        </w:r>
      </w:p>
    </w:sdtContent>
  </w:sdt>
  <w:p w14:paraId="2C47D643" w14:textId="5A451F1F" w:rsidR="00880EAE" w:rsidRPr="00880EAE" w:rsidRDefault="00880EAE" w:rsidP="00880EAE">
    <w:pPr>
      <w:pStyle w:val="Footer"/>
      <w:ind w:right="360"/>
      <w:rPr>
        <w:sz w:val="20"/>
        <w:szCs w:val="20"/>
        <w:lang w:val="en-GB"/>
      </w:rPr>
    </w:pPr>
    <w:r w:rsidRPr="00DE524B">
      <w:rPr>
        <w:sz w:val="20"/>
        <w:szCs w:val="20"/>
        <w:lang w:val="en-GB"/>
      </w:rPr>
      <w:t>Victorian all-electric home emissions</w:t>
    </w:r>
    <w:r w:rsidR="00CA4414">
      <w:rPr>
        <w:sz w:val="20"/>
        <w:szCs w:val="20"/>
        <w:lang w:val="en-GB"/>
      </w:rPr>
      <w:t xml:space="preserve"> </w:t>
    </w:r>
    <w:r w:rsidRPr="00DE524B">
      <w:rPr>
        <w:sz w:val="20"/>
        <w:szCs w:val="20"/>
        <w:lang w:val="en-GB"/>
      </w:rPr>
      <w:t>forecast</w:t>
    </w:r>
    <w:r w:rsidRPr="00880EAE">
      <w:rPr>
        <w:sz w:val="20"/>
        <w:szCs w:val="20"/>
        <w:lang w:val="en-GB"/>
      </w:rPr>
      <w:t xml:space="preserve">: </w:t>
    </w:r>
    <w:r w:rsidRPr="00DE524B">
      <w:rPr>
        <w:sz w:val="20"/>
        <w:szCs w:val="20"/>
        <w:lang w:val="en-US"/>
      </w:rPr>
      <w:t>All-Electric and Dual Fuel – December 2024</w:t>
    </w:r>
  </w:p>
  <w:p w14:paraId="7840FAD7" w14:textId="77777777" w:rsidR="00B165A7" w:rsidRPr="00880EAE" w:rsidRDefault="00B165A7" w:rsidP="00B165A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8049A" w14:textId="77777777" w:rsidR="00CC3BDA" w:rsidRDefault="00CC3BDA" w:rsidP="00F2730B">
      <w:pPr>
        <w:spacing w:after="0" w:line="240" w:lineRule="auto"/>
      </w:pPr>
      <w:r>
        <w:separator/>
      </w:r>
    </w:p>
  </w:footnote>
  <w:footnote w:type="continuationSeparator" w:id="0">
    <w:p w14:paraId="0204C61F" w14:textId="77777777" w:rsidR="00CC3BDA" w:rsidRDefault="00CC3BDA"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1"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2"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2"/>
  </w:num>
  <w:num w:numId="3" w16cid:durableId="1813522522">
    <w:abstractNumId w:val="3"/>
  </w:num>
  <w:num w:numId="4" w16cid:durableId="533276510">
    <w:abstractNumId w:val="40"/>
  </w:num>
  <w:num w:numId="5" w16cid:durableId="771362055">
    <w:abstractNumId w:val="2"/>
  </w:num>
  <w:num w:numId="6" w16cid:durableId="3823149">
    <w:abstractNumId w:val="27"/>
  </w:num>
  <w:num w:numId="7" w16cid:durableId="338390637">
    <w:abstractNumId w:val="5"/>
  </w:num>
  <w:num w:numId="8" w16cid:durableId="182984412">
    <w:abstractNumId w:val="32"/>
  </w:num>
  <w:num w:numId="9" w16cid:durableId="853954488">
    <w:abstractNumId w:val="25"/>
  </w:num>
  <w:num w:numId="10" w16cid:durableId="307325374">
    <w:abstractNumId w:val="10"/>
  </w:num>
  <w:num w:numId="11" w16cid:durableId="1207567416">
    <w:abstractNumId w:val="16"/>
  </w:num>
  <w:num w:numId="12" w16cid:durableId="1714499310">
    <w:abstractNumId w:val="15"/>
  </w:num>
  <w:num w:numId="13" w16cid:durableId="1557817223">
    <w:abstractNumId w:val="29"/>
  </w:num>
  <w:num w:numId="14" w16cid:durableId="766468131">
    <w:abstractNumId w:val="7"/>
  </w:num>
  <w:num w:numId="15" w16cid:durableId="401634644">
    <w:abstractNumId w:val="4"/>
  </w:num>
  <w:num w:numId="16" w16cid:durableId="2004504209">
    <w:abstractNumId w:val="20"/>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3"/>
  </w:num>
  <w:num w:numId="19" w16cid:durableId="318195612">
    <w:abstractNumId w:val="0"/>
  </w:num>
  <w:num w:numId="20" w16cid:durableId="172572898">
    <w:abstractNumId w:val="26"/>
  </w:num>
  <w:num w:numId="21" w16cid:durableId="1306818322">
    <w:abstractNumId w:val="1"/>
  </w:num>
  <w:num w:numId="22" w16cid:durableId="1536767415">
    <w:abstractNumId w:val="33"/>
  </w:num>
  <w:num w:numId="23" w16cid:durableId="54209663">
    <w:abstractNumId w:val="6"/>
  </w:num>
  <w:num w:numId="24" w16cid:durableId="1347441872">
    <w:abstractNumId w:val="36"/>
  </w:num>
  <w:num w:numId="25" w16cid:durableId="1336883623">
    <w:abstractNumId w:val="31"/>
  </w:num>
  <w:num w:numId="26" w16cid:durableId="1859196455">
    <w:abstractNumId w:val="9"/>
  </w:num>
  <w:num w:numId="27" w16cid:durableId="1643851276">
    <w:abstractNumId w:val="21"/>
  </w:num>
  <w:num w:numId="28" w16cid:durableId="1329362202">
    <w:abstractNumId w:val="19"/>
  </w:num>
  <w:num w:numId="29" w16cid:durableId="1795561713">
    <w:abstractNumId w:val="33"/>
  </w:num>
  <w:num w:numId="30" w16cid:durableId="71048478">
    <w:abstractNumId w:val="33"/>
  </w:num>
  <w:num w:numId="31" w16cid:durableId="755857827">
    <w:abstractNumId w:val="24"/>
  </w:num>
  <w:num w:numId="32" w16cid:durableId="1933396817">
    <w:abstractNumId w:val="33"/>
  </w:num>
  <w:num w:numId="33" w16cid:durableId="1457986831">
    <w:abstractNumId w:val="33"/>
  </w:num>
  <w:num w:numId="34" w16cid:durableId="1703019878">
    <w:abstractNumId w:val="33"/>
  </w:num>
  <w:num w:numId="35" w16cid:durableId="1865440867">
    <w:abstractNumId w:val="33"/>
  </w:num>
  <w:num w:numId="36" w16cid:durableId="829516848">
    <w:abstractNumId w:val="33"/>
  </w:num>
  <w:num w:numId="37" w16cid:durableId="2076001543">
    <w:abstractNumId w:val="35"/>
  </w:num>
  <w:num w:numId="38" w16cid:durableId="1204173423">
    <w:abstractNumId w:val="30"/>
  </w:num>
  <w:num w:numId="39" w16cid:durableId="1448893088">
    <w:abstractNumId w:val="41"/>
  </w:num>
  <w:num w:numId="40" w16cid:durableId="1900021242">
    <w:abstractNumId w:val="38"/>
  </w:num>
  <w:num w:numId="41" w16cid:durableId="995105162">
    <w:abstractNumId w:val="37"/>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2"/>
  </w:num>
  <w:num w:numId="47" w16cid:durableId="1818298069">
    <w:abstractNumId w:val="14"/>
  </w:num>
  <w:num w:numId="48" w16cid:durableId="2061048727">
    <w:abstractNumId w:val="12"/>
  </w:num>
  <w:num w:numId="49" w16cid:durableId="1849246280">
    <w:abstractNumId w:val="11"/>
  </w:num>
  <w:num w:numId="50" w16cid:durableId="785197264">
    <w:abstractNumId w:val="34"/>
  </w:num>
  <w:num w:numId="51" w16cid:durableId="1299335420">
    <w:abstractNumId w:val="18"/>
  </w:num>
  <w:num w:numId="52" w16cid:durableId="1754938255">
    <w:abstractNumId w:val="20"/>
  </w:num>
  <w:num w:numId="53" w16cid:durableId="1013340051">
    <w:abstractNumId w:val="39"/>
  </w:num>
  <w:num w:numId="54" w16cid:durableId="88830118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D8"/>
    <w:rsid w:val="00001E7A"/>
    <w:rsid w:val="000026B6"/>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0DDE"/>
    <w:rsid w:val="00222FF2"/>
    <w:rsid w:val="00231129"/>
    <w:rsid w:val="002336CC"/>
    <w:rsid w:val="00233B8B"/>
    <w:rsid w:val="00236EB6"/>
    <w:rsid w:val="00241796"/>
    <w:rsid w:val="00241E12"/>
    <w:rsid w:val="00244E10"/>
    <w:rsid w:val="0024556C"/>
    <w:rsid w:val="002460FA"/>
    <w:rsid w:val="00246623"/>
    <w:rsid w:val="00250190"/>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563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3499"/>
    <w:rsid w:val="002C41F0"/>
    <w:rsid w:val="002C64D3"/>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20D8"/>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1E6B"/>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65F7C"/>
    <w:rsid w:val="00573734"/>
    <w:rsid w:val="005740D5"/>
    <w:rsid w:val="0057561A"/>
    <w:rsid w:val="00576223"/>
    <w:rsid w:val="00577C9B"/>
    <w:rsid w:val="00584B1F"/>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1E50"/>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439A"/>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41"/>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27DA5"/>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0EAE"/>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9A9"/>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2B75"/>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47A27"/>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1F00"/>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6A0D"/>
    <w:rsid w:val="00C3751A"/>
    <w:rsid w:val="00C379D6"/>
    <w:rsid w:val="00C412FF"/>
    <w:rsid w:val="00C41C42"/>
    <w:rsid w:val="00C41F25"/>
    <w:rsid w:val="00C41F5D"/>
    <w:rsid w:val="00C43336"/>
    <w:rsid w:val="00C44560"/>
    <w:rsid w:val="00C44F82"/>
    <w:rsid w:val="00C45CF0"/>
    <w:rsid w:val="00C47BD5"/>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175F"/>
    <w:rsid w:val="00CA2AD9"/>
    <w:rsid w:val="00CA2E3E"/>
    <w:rsid w:val="00CA3282"/>
    <w:rsid w:val="00CA33D3"/>
    <w:rsid w:val="00CA4414"/>
    <w:rsid w:val="00CA71CC"/>
    <w:rsid w:val="00CB2252"/>
    <w:rsid w:val="00CB2A99"/>
    <w:rsid w:val="00CB3B62"/>
    <w:rsid w:val="00CB4B87"/>
    <w:rsid w:val="00CB7C85"/>
    <w:rsid w:val="00CC3BDA"/>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2996"/>
    <w:rsid w:val="00E2494E"/>
    <w:rsid w:val="00E25D0B"/>
    <w:rsid w:val="00E27B9E"/>
    <w:rsid w:val="00E33504"/>
    <w:rsid w:val="00E33DED"/>
    <w:rsid w:val="00E34982"/>
    <w:rsid w:val="00E3623C"/>
    <w:rsid w:val="00E37BF1"/>
    <w:rsid w:val="00E43E76"/>
    <w:rsid w:val="00E44349"/>
    <w:rsid w:val="00E544D1"/>
    <w:rsid w:val="00E5699B"/>
    <w:rsid w:val="00E602B9"/>
    <w:rsid w:val="00E6081B"/>
    <w:rsid w:val="00E6112B"/>
    <w:rsid w:val="00E65843"/>
    <w:rsid w:val="00E70B37"/>
    <w:rsid w:val="00E72D41"/>
    <w:rsid w:val="00E73A68"/>
    <w:rsid w:val="00E742A1"/>
    <w:rsid w:val="00E7462C"/>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2840"/>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76C14"/>
  <w14:defaultImageDpi w14:val="0"/>
  <w15:docId w15:val="{F551377A-8955-8F4C-BB5D-0EBFEFB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220DDE"/>
    <w:pPr>
      <w:keepNext/>
      <w:keepLines/>
      <w:spacing w:after="360" w:line="700" w:lineRule="exact"/>
      <w:outlineLvl w:val="0"/>
    </w:pPr>
    <w:rPr>
      <w:rFonts w:asciiTheme="majorHAnsi" w:eastAsiaTheme="majorEastAsia" w:hAnsiTheme="majorHAnsi" w:cs="Times New Roman (Headings CS)"/>
      <w:b/>
      <w:bCs/>
      <w:sz w:val="36"/>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CA2AD9"/>
    <w:pPr>
      <w:spacing w:after="240" w:line="8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CA2AD9"/>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CA2AD9"/>
    <w:pPr>
      <w:numPr>
        <w:ilvl w:val="1"/>
      </w:numPr>
      <w:spacing w:before="240" w:after="480" w:line="360" w:lineRule="auto"/>
    </w:pPr>
    <w:rPr>
      <w:b/>
      <w:sz w:val="44"/>
      <w:szCs w:val="44"/>
      <w:lang w:val="en-US"/>
    </w:rPr>
  </w:style>
  <w:style w:type="character" w:customStyle="1" w:styleId="SubtitleChar">
    <w:name w:val="Subtitle Char"/>
    <w:basedOn w:val="DefaultParagraphFont"/>
    <w:link w:val="Subtitle"/>
    <w:uiPriority w:val="11"/>
    <w:rsid w:val="00CA2AD9"/>
    <w:rPr>
      <w:b/>
      <w:sz w:val="44"/>
      <w:szCs w:val="44"/>
      <w:lang w:val="en-US"/>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220DDE"/>
    <w:rPr>
      <w:rFonts w:asciiTheme="majorHAnsi" w:eastAsiaTheme="majorEastAsia" w:hAnsiTheme="majorHAnsi" w:cs="Times New Roman (Headings CS)"/>
      <w:b/>
      <w:bCs/>
      <w:sz w:val="36"/>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A4312D"/>
    <w:pPr>
      <w:spacing w:before="120" w:after="120" w:line="360" w:lineRule="auto"/>
    </w:pPr>
    <w:rPr>
      <w:b/>
      <w:iCs/>
      <w:color w:val="000000" w:themeColor="text1"/>
      <w:sz w:val="22"/>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CA175F"/>
    <w:rPr>
      <w:color w:val="605E5C"/>
      <w:shd w:val="clear" w:color="auto" w:fill="E1DFDD"/>
    </w:rPr>
  </w:style>
  <w:style w:type="paragraph" w:customStyle="1" w:styleId="BasicParagraph">
    <w:name w:val="[Basic Paragraph]"/>
    <w:basedOn w:val="NoParagraphStyle"/>
    <w:uiPriority w:val="99"/>
    <w:rsid w:val="00E22996"/>
    <w:pPr>
      <w:widowControl/>
    </w:pPr>
    <w:rPr>
      <w:rFonts w:ascii="Minion Pro" w:hAnsi="Minion Pro" w:cs="Minion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8331907">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193895116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cceew.gov.au/sites/default/files/documents/national-greenhouse-accounts-factors-2022.pdf" TargetMode="External"/><Relationship Id="rId18" Type="http://schemas.openxmlformats.org/officeDocument/2006/relationships/hyperlink" Target="file:///C:\Users\johnallen\Desktop\DECCA%20Work\2024\AUGUST\13%20August%202024\www.deeca.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cceew.gov.au/sites/default/files/documents/national-greenhouse-accounts-factors-2022.pdf" TargetMode="External"/><Relationship Id="rId17" Type="http://schemas.openxmlformats.org/officeDocument/2006/relationships/hyperlink" Target="file:///C:\Users\johnallen\Desktop\DECCA%20Work\2024\AUGUST\13%20August%202024\customer.service@delwp.vic.gov.au" TargetMode="Externa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nergy.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667</Words>
  <Characters>4792</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Victorian all-electric home emissions forecast: All-Electric and Dual Fuel – December 2024</vt:lpstr>
    </vt:vector>
  </TitlesOfParts>
  <Manager/>
  <Company/>
  <LinksUpToDate>false</LinksUpToDate>
  <CharactersWithSpaces>5449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all-electric home emissions forecast: All-Electric and Dual Fuel – December 2024</dc:title>
  <dc:subject/>
  <dc:creator>State of Victoria Department of Energy, Environment and Climate Action</dc:creator>
  <cp:keywords/>
  <dc:description>© The State of Victoria Department of Energy, Environment and Climate Action, December 2024.</dc:description>
  <cp:lastModifiedBy>Bri F Cartlidge (DEECA)</cp:lastModifiedBy>
  <cp:revision>2</cp:revision>
  <dcterms:created xsi:type="dcterms:W3CDTF">2025-04-09T02:22:00Z</dcterms:created>
  <dcterms:modified xsi:type="dcterms:W3CDTF">2025-04-09T02:22:00Z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