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428" w:rsidRDefault="006B7428" w:rsidP="001A4BCA">
      <w:pPr>
        <w:pStyle w:val="introtext"/>
      </w:pPr>
    </w:p>
    <w:p w:rsidR="00C659E3" w:rsidRDefault="00264E3D" w:rsidP="001A4BCA">
      <w:pPr>
        <w:pStyle w:val="introtext"/>
        <w:sectPr w:rsidR="00C659E3" w:rsidSect="00C659E3">
          <w:headerReference w:type="default" r:id="rId9"/>
          <w:footerReference w:type="default" r:id="rId10"/>
          <w:headerReference w:type="first" r:id="rId11"/>
          <w:footerReference w:type="first" r:id="rId12"/>
          <w:pgSz w:w="11906" w:h="16838"/>
          <w:pgMar w:top="1701" w:right="1440" w:bottom="1440" w:left="1440" w:header="1361" w:footer="567" w:gutter="0"/>
          <w:cols w:space="708"/>
          <w:titlePg/>
          <w:docGrid w:linePitch="360"/>
        </w:sectPr>
      </w:pPr>
      <w:r>
        <w:t xml:space="preserve">The Department of Economic Development, Jobs, Transport and Resources is seeking your input on a proposed new </w:t>
      </w:r>
      <w:r w:rsidR="001E4EB9">
        <w:t xml:space="preserve">method for determining energy savings for large businesses called </w:t>
      </w:r>
      <w:r w:rsidR="00743F98">
        <w:t xml:space="preserve">the </w:t>
      </w:r>
      <w:r w:rsidR="001E4EB9">
        <w:t>M</w:t>
      </w:r>
      <w:r>
        <w:t xml:space="preserve">easurement and </w:t>
      </w:r>
      <w:r w:rsidR="001E4EB9">
        <w:t>V</w:t>
      </w:r>
      <w:r>
        <w:t>erification (M&amp;V)</w:t>
      </w:r>
      <w:r w:rsidR="00743F98">
        <w:t xml:space="preserve"> method</w:t>
      </w:r>
      <w:r>
        <w:t xml:space="preserve">. </w:t>
      </w:r>
    </w:p>
    <w:p w:rsidR="00D76005" w:rsidRPr="00C659E3" w:rsidRDefault="00342D47" w:rsidP="00C659E3">
      <w:pPr>
        <w:pStyle w:val="heading1blue"/>
      </w:pPr>
      <w:r>
        <w:lastRenderedPageBreak/>
        <w:t>The VEET scheme</w:t>
      </w:r>
    </w:p>
    <w:p w:rsidR="002D33B9" w:rsidRDefault="002D33B9" w:rsidP="00D76005">
      <w:pPr>
        <w:pStyle w:val="bodycopy"/>
      </w:pPr>
      <w:r>
        <w:t>The VEET scheme is a market-based scheme designed to make energy efficiency improvements more affordable, contribute to the reduction of greenhouse gases, and encourage investment, employment and innovation in industries that supply energy efficiency goods and services.</w:t>
      </w:r>
    </w:p>
    <w:p w:rsidR="00342D47" w:rsidRDefault="00342D47" w:rsidP="00D76005">
      <w:pPr>
        <w:pStyle w:val="bodycopy"/>
      </w:pPr>
      <w:r>
        <w:t>Under the scheme, accredited businesses can create certificates for undertaking activities prescribed in the VEET Regulations. Each certificate is equivalent to one tonne of greenhouse gas reduced or avoided.</w:t>
      </w:r>
    </w:p>
    <w:p w:rsidR="00DA74F9" w:rsidRDefault="002D33B9" w:rsidP="00D76005">
      <w:pPr>
        <w:pStyle w:val="bodycopy"/>
      </w:pPr>
      <w:r>
        <w:t xml:space="preserve">The Victorian Government is strengthening the VEET scheme. </w:t>
      </w:r>
      <w:r w:rsidR="00342D47">
        <w:t xml:space="preserve">As part of this, there is a need to create greater opportunities for businesses </w:t>
      </w:r>
      <w:r w:rsidR="00CE0066">
        <w:t xml:space="preserve">and other consumers </w:t>
      </w:r>
      <w:r w:rsidR="00342D47">
        <w:t xml:space="preserve">to benefit from the scheme. </w:t>
      </w:r>
    </w:p>
    <w:p w:rsidR="00DA74F9" w:rsidRPr="00AE678C" w:rsidRDefault="00DA74F9" w:rsidP="00DA74F9">
      <w:pPr>
        <w:pStyle w:val="bodycopy"/>
        <w:rPr>
          <w:color w:val="064EA8"/>
          <w:sz w:val="24"/>
        </w:rPr>
      </w:pPr>
      <w:r w:rsidRPr="00AE678C">
        <w:rPr>
          <w:color w:val="064EA8"/>
          <w:sz w:val="24"/>
        </w:rPr>
        <w:t>Project Based Activities</w:t>
      </w:r>
    </w:p>
    <w:p w:rsidR="00DA74F9" w:rsidRDefault="00DA74F9" w:rsidP="00DA74F9">
      <w:pPr>
        <w:pStyle w:val="bodycopy"/>
      </w:pPr>
      <w:r>
        <w:t xml:space="preserve">Until now, the available methods used for determining the energy savings for activities have been </w:t>
      </w:r>
      <w:r w:rsidR="00D63A4E">
        <w:t>‘</w:t>
      </w:r>
      <w:r>
        <w:t>deemed</w:t>
      </w:r>
      <w:r w:rsidR="004C0A6F">
        <w:t xml:space="preserve"> </w:t>
      </w:r>
      <w:r>
        <w:t>methods</w:t>
      </w:r>
      <w:r w:rsidR="00D63A4E">
        <w:t>’</w:t>
      </w:r>
      <w:r>
        <w:t xml:space="preserve">. This means that the determination of the energy savings of any given activity has been based on reasonable averages for such things as the normal efficiency of a certain product and the operating hours for which it is used. </w:t>
      </w:r>
    </w:p>
    <w:p w:rsidR="00DA74F9" w:rsidRDefault="00DA74F9" w:rsidP="00DA74F9">
      <w:pPr>
        <w:pStyle w:val="bodycopy"/>
      </w:pPr>
      <w:r>
        <w:t>However, some situations need a more detailed and customised approach to determining energy savings. For this reason three new measurement methods are being proposed, known as Project Based Activities (PBAs).</w:t>
      </w:r>
    </w:p>
    <w:p w:rsidR="00DA74F9" w:rsidRDefault="00DA74F9" w:rsidP="00DA74F9">
      <w:pPr>
        <w:pStyle w:val="bodycopy"/>
      </w:pPr>
      <w:r>
        <w:lastRenderedPageBreak/>
        <w:t xml:space="preserve">These are activities where the number of certificates that can be claimed is specific to a given project. They will often involve the direct measurement of energy consumption and are designed to credit a wide range of technologies. The </w:t>
      </w:r>
      <w:r w:rsidR="00D63A4E">
        <w:t>d</w:t>
      </w:r>
      <w:r>
        <w:t xml:space="preserve">epartment is seeking your feedback about each of these proposed new methods. This document explains one of these methods, known as </w:t>
      </w:r>
      <w:r w:rsidR="00ED3D10">
        <w:t xml:space="preserve">Measurement and Verification, or </w:t>
      </w:r>
      <w:r w:rsidR="00743F98">
        <w:t xml:space="preserve">the </w:t>
      </w:r>
      <w:r w:rsidR="00ED3D10">
        <w:t>M&amp;V</w:t>
      </w:r>
      <w:r w:rsidR="00743F98">
        <w:t xml:space="preserve"> method</w:t>
      </w:r>
      <w:r>
        <w:t>.</w:t>
      </w:r>
    </w:p>
    <w:p w:rsidR="00DA74F9" w:rsidRPr="00FE0EBD" w:rsidRDefault="00DA74F9" w:rsidP="00DA74F9">
      <w:pPr>
        <w:pStyle w:val="bodycopy"/>
        <w:rPr>
          <w:color w:val="064EA8"/>
          <w:sz w:val="24"/>
        </w:rPr>
      </w:pPr>
      <w:r w:rsidRPr="00FE0EBD">
        <w:rPr>
          <w:color w:val="064EA8"/>
          <w:sz w:val="24"/>
        </w:rPr>
        <w:t>Reading this document</w:t>
      </w:r>
    </w:p>
    <w:p w:rsidR="00DA74F9" w:rsidRDefault="00DA74F9" w:rsidP="00DA74F9">
      <w:pPr>
        <w:pStyle w:val="bodycopy"/>
      </w:pPr>
      <w:r>
        <w:t xml:space="preserve">This document is intended to be read in conjunction with the proposed amendments to the VEET Regulations to do with the </w:t>
      </w:r>
      <w:r w:rsidR="00743F98">
        <w:t xml:space="preserve">M&amp;V method. </w:t>
      </w:r>
      <w:r>
        <w:t xml:space="preserve">These will be added as new Schedule </w:t>
      </w:r>
      <w:r w:rsidRPr="00DA74F9">
        <w:t>3</w:t>
      </w:r>
      <w:r>
        <w:t xml:space="preserve">7. Please refer to the proposed amendments to the Regulations before providing any feedback. These can be found online at </w:t>
      </w:r>
      <w:hyperlink r:id="rId13" w:history="1">
        <w:r w:rsidRPr="00FD261A">
          <w:rPr>
            <w:rStyle w:val="Hyperlink"/>
          </w:rPr>
          <w:t>www.energyandresources.vic.gov.au/esi</w:t>
        </w:r>
      </w:hyperlink>
    </w:p>
    <w:p w:rsidR="00315404" w:rsidRPr="00C659E3" w:rsidRDefault="00ED3D10" w:rsidP="00315404">
      <w:pPr>
        <w:pStyle w:val="heading1blue"/>
      </w:pPr>
      <w:r>
        <w:t xml:space="preserve">The </w:t>
      </w:r>
      <w:r w:rsidR="00061B5B">
        <w:t>M</w:t>
      </w:r>
      <w:r w:rsidR="002930C3">
        <w:t>&amp;V method</w:t>
      </w:r>
    </w:p>
    <w:p w:rsidR="00D55620" w:rsidRDefault="006C55C1" w:rsidP="00D76005">
      <w:pPr>
        <w:pStyle w:val="bodycopy"/>
      </w:pPr>
      <w:r w:rsidRPr="006C55C1">
        <w:t>The M&amp;V method</w:t>
      </w:r>
      <w:r w:rsidR="00342D47">
        <w:t xml:space="preserve"> is a flexible method for incentivising large upgrades in businesses. It</w:t>
      </w:r>
      <w:r>
        <w:t xml:space="preserve"> lets businesses claim incentives by calculating the energy saved from a specific upgrade </w:t>
      </w:r>
      <w:r w:rsidRPr="006C55C1">
        <w:t>us</w:t>
      </w:r>
      <w:r>
        <w:t>ing industry-standard</w:t>
      </w:r>
      <w:r w:rsidRPr="006C55C1">
        <w:t xml:space="preserve"> measurement and verification techniques.</w:t>
      </w:r>
    </w:p>
    <w:p w:rsidR="00D55620" w:rsidRDefault="00D55620" w:rsidP="00D76005">
      <w:pPr>
        <w:pStyle w:val="bodycopy"/>
      </w:pPr>
      <w:r>
        <w:t xml:space="preserve">M&amp;V is the process of using measurement to reliably quantify the savings at a premises from an energy efficiency upgrade. Because accuracy and uncertainty are also quantified, the M&amp;V method rewards </w:t>
      </w:r>
      <w:r w:rsidR="00CE0066">
        <w:t>accuracy</w:t>
      </w:r>
      <w:r>
        <w:t xml:space="preserve"> and likewise awards fewer </w:t>
      </w:r>
      <w:r w:rsidR="009A6587">
        <w:t>certificates</w:t>
      </w:r>
      <w:r>
        <w:t xml:space="preserve"> when accuracy</w:t>
      </w:r>
      <w:r w:rsidR="00342D47">
        <w:t xml:space="preserve"> is</w:t>
      </w:r>
      <w:r>
        <w:t xml:space="preserve"> trade</w:t>
      </w:r>
      <w:r w:rsidR="00342D47">
        <w:t xml:space="preserve">d </w:t>
      </w:r>
      <w:r>
        <w:t>off</w:t>
      </w:r>
      <w:r w:rsidR="00342D47">
        <w:t xml:space="preserve"> against cost</w:t>
      </w:r>
      <w:r w:rsidR="00CE0066">
        <w:t xml:space="preserve"> or </w:t>
      </w:r>
      <w:r w:rsidR="00CE0066">
        <w:lastRenderedPageBreak/>
        <w:t>simplicity</w:t>
      </w:r>
      <w:r>
        <w:t>. This</w:t>
      </w:r>
      <w:r w:rsidR="00342D47">
        <w:t xml:space="preserve"> feature</w:t>
      </w:r>
      <w:r>
        <w:t xml:space="preserve"> balances scheme risk </w:t>
      </w:r>
      <w:r w:rsidR="00CE0066">
        <w:t>with</w:t>
      </w:r>
      <w:r>
        <w:t xml:space="preserve"> method flexibility.</w:t>
      </w:r>
    </w:p>
    <w:p w:rsidR="006C55C1" w:rsidRDefault="00D55620" w:rsidP="00D76005">
      <w:pPr>
        <w:pStyle w:val="bodycopy"/>
      </w:pPr>
      <w:r>
        <w:t>The M&amp;V method allows b</w:t>
      </w:r>
      <w:r w:rsidR="006C55C1">
        <w:t xml:space="preserve">usinesses </w:t>
      </w:r>
      <w:r>
        <w:t>to</w:t>
      </w:r>
      <w:r w:rsidR="006C55C1" w:rsidRPr="006C55C1">
        <w:t xml:space="preserve"> </w:t>
      </w:r>
      <w:r w:rsidR="00DA74F9">
        <w:t xml:space="preserve">create certificates for energy savings before they take place (known as </w:t>
      </w:r>
      <w:r w:rsidR="00B77DC1" w:rsidRPr="00912E39">
        <w:rPr>
          <w:b/>
          <w:i/>
        </w:rPr>
        <w:t>forward-creat</w:t>
      </w:r>
      <w:r w:rsidR="00DA74F9" w:rsidRPr="00912E39">
        <w:rPr>
          <w:b/>
          <w:i/>
        </w:rPr>
        <w:t>ion</w:t>
      </w:r>
      <w:r w:rsidR="00DA74F9" w:rsidRPr="00FB1D46">
        <w:t>)</w:t>
      </w:r>
      <w:r w:rsidR="00DA74F9">
        <w:t xml:space="preserve"> for</w:t>
      </w:r>
      <w:r w:rsidR="006C55C1">
        <w:t xml:space="preserve"> </w:t>
      </w:r>
      <w:r w:rsidR="006C55C1" w:rsidRPr="006C55C1">
        <w:t xml:space="preserve">up to </w:t>
      </w:r>
      <w:r w:rsidR="00DA74F9">
        <w:t>ten</w:t>
      </w:r>
      <w:r w:rsidR="00DA74F9" w:rsidRPr="006C55C1">
        <w:t xml:space="preserve"> </w:t>
      </w:r>
      <w:r w:rsidR="006C55C1" w:rsidRPr="006C55C1">
        <w:t xml:space="preserve">years of </w:t>
      </w:r>
      <w:r w:rsidR="009A6587">
        <w:t>certificates</w:t>
      </w:r>
      <w:r w:rsidR="00B77DC1">
        <w:t xml:space="preserve"> up front</w:t>
      </w:r>
      <w:r w:rsidR="006C55C1" w:rsidRPr="006C55C1">
        <w:t xml:space="preserve"> and/or </w:t>
      </w:r>
      <w:r w:rsidR="006C55C1">
        <w:t>claim</w:t>
      </w:r>
      <w:r w:rsidR="006C55C1" w:rsidRPr="006C55C1">
        <w:t xml:space="preserve"> them annually.</w:t>
      </w:r>
    </w:p>
    <w:p w:rsidR="00061B5B" w:rsidRDefault="00061B5B" w:rsidP="00061B5B">
      <w:pPr>
        <w:pStyle w:val="heading2black"/>
      </w:pPr>
      <w:r>
        <w:t xml:space="preserve">How </w:t>
      </w:r>
      <w:r w:rsidR="00ED3D10">
        <w:t xml:space="preserve">the M&amp;V </w:t>
      </w:r>
      <w:r w:rsidR="00D74159">
        <w:t xml:space="preserve">method </w:t>
      </w:r>
      <w:r>
        <w:t>works</w:t>
      </w:r>
    </w:p>
    <w:p w:rsidR="009C00F6" w:rsidRDefault="00B77DC1" w:rsidP="00D76005">
      <w:pPr>
        <w:pStyle w:val="bodycopy"/>
      </w:pPr>
      <w:r>
        <w:t xml:space="preserve">The method requires participants to create a </w:t>
      </w:r>
      <w:r w:rsidRPr="00342D47">
        <w:rPr>
          <w:b/>
          <w:i/>
        </w:rPr>
        <w:t>baseline energy model</w:t>
      </w:r>
      <w:r>
        <w:t xml:space="preserve">, which characterises their energy use prior to the upgrade, and compare this with their energy consumption after the upgrade in order to calculate net savings. If certificates are to be forward-created, participants must also make an </w:t>
      </w:r>
      <w:r w:rsidRPr="00342D47">
        <w:rPr>
          <w:b/>
          <w:i/>
        </w:rPr>
        <w:t>operating energy model</w:t>
      </w:r>
      <w:r>
        <w:t xml:space="preserve"> that predicts their typical energy consumption after the upgrade.</w:t>
      </w:r>
    </w:p>
    <w:p w:rsidR="00061B5B" w:rsidRPr="00912E39" w:rsidRDefault="00FB1D46" w:rsidP="00D76005">
      <w:pPr>
        <w:pStyle w:val="bodycopy"/>
        <w:rPr>
          <w:i/>
        </w:rPr>
      </w:pPr>
      <w:r w:rsidRPr="00912E39">
        <w:rPr>
          <w:i/>
        </w:rPr>
        <w:t>Please note: t</w:t>
      </w:r>
      <w:r w:rsidR="009C00F6" w:rsidRPr="00912E39">
        <w:rPr>
          <w:i/>
        </w:rPr>
        <w:t xml:space="preserve">he need to measure baseline performance means </w:t>
      </w:r>
      <w:r w:rsidRPr="00912E39">
        <w:rPr>
          <w:i/>
        </w:rPr>
        <w:t xml:space="preserve">that </w:t>
      </w:r>
      <w:r w:rsidR="009C00F6" w:rsidRPr="00912E39">
        <w:rPr>
          <w:i/>
        </w:rPr>
        <w:t xml:space="preserve">projects require input from an M&amp;V practitioner </w:t>
      </w:r>
      <w:r w:rsidR="001673B3">
        <w:rPr>
          <w:i/>
        </w:rPr>
        <w:t>before</w:t>
      </w:r>
      <w:r w:rsidR="009C00F6" w:rsidRPr="00912E39">
        <w:rPr>
          <w:i/>
        </w:rPr>
        <w:t xml:space="preserve"> making the upgrade.</w:t>
      </w:r>
      <w:r w:rsidR="00B77DC1" w:rsidRPr="00912E39">
        <w:rPr>
          <w:i/>
        </w:rPr>
        <w:t xml:space="preserve"> </w:t>
      </w:r>
    </w:p>
    <w:p w:rsidR="00061B5B" w:rsidRDefault="00061B5B" w:rsidP="00061B5B">
      <w:pPr>
        <w:pStyle w:val="heading2black"/>
      </w:pPr>
      <w:r>
        <w:t>Alignment with other schemes</w:t>
      </w:r>
    </w:p>
    <w:p w:rsidR="00364190" w:rsidRDefault="00B77DC1" w:rsidP="00D76005">
      <w:pPr>
        <w:pStyle w:val="bodycopy"/>
      </w:pPr>
      <w:r>
        <w:t xml:space="preserve">The M&amp;V method is similar to the Project Impact Assessment with Measurement and Verification (PIAM&amp;V) method from the </w:t>
      </w:r>
      <w:r w:rsidR="00FB1D46">
        <w:t xml:space="preserve">New South Wales </w:t>
      </w:r>
      <w:r>
        <w:t>Energy Savings Scheme (ESS), and the Industrial Energy and Fuel Efficiency method from the Commonwealth Emissions Reduction Fund (ERF).</w:t>
      </w:r>
    </w:p>
    <w:p w:rsidR="00364190" w:rsidRDefault="00364190" w:rsidP="00364190">
      <w:pPr>
        <w:pStyle w:val="bodycopy"/>
      </w:pPr>
      <w:r>
        <w:t xml:space="preserve">Some </w:t>
      </w:r>
      <w:r w:rsidR="004C0A6F">
        <w:t xml:space="preserve">differences </w:t>
      </w:r>
      <w:r w:rsidR="00ED3D10">
        <w:t xml:space="preserve">from these other schemes have been </w:t>
      </w:r>
      <w:r w:rsidR="004C0A6F">
        <w:t xml:space="preserve">included </w:t>
      </w:r>
      <w:r w:rsidR="00342D47">
        <w:t>in</w:t>
      </w:r>
      <w:r>
        <w:t xml:space="preserve"> order to fit the</w:t>
      </w:r>
      <w:r w:rsidR="00342D47">
        <w:t xml:space="preserve"> existing</w:t>
      </w:r>
      <w:r>
        <w:t xml:space="preserve"> legislative framework of VEET and to suit Victorian conditions and priorities. Key differences</w:t>
      </w:r>
      <w:r w:rsidR="00484831">
        <w:t xml:space="preserve"> compared with PIAM&amp;V</w:t>
      </w:r>
      <w:r>
        <w:t xml:space="preserve"> include</w:t>
      </w:r>
      <w:r w:rsidR="00FB1D46">
        <w:t xml:space="preserve"> the fact that</w:t>
      </w:r>
      <w:r>
        <w:t xml:space="preserve">: </w:t>
      </w:r>
    </w:p>
    <w:p w:rsidR="00364190" w:rsidRDefault="001673B3" w:rsidP="00364190">
      <w:pPr>
        <w:pStyle w:val="bodycopy"/>
        <w:numPr>
          <w:ilvl w:val="0"/>
          <w:numId w:val="4"/>
        </w:numPr>
      </w:pPr>
      <w:r>
        <w:t>b</w:t>
      </w:r>
      <w:r w:rsidR="00342D47">
        <w:t>aseline measurements may be taken after the project is implemented, provided</w:t>
      </w:r>
      <w:r w:rsidR="00364190">
        <w:t xml:space="preserve"> the </w:t>
      </w:r>
      <w:r w:rsidR="00342D47">
        <w:t>upgrade</w:t>
      </w:r>
      <w:r w:rsidR="00364190">
        <w:t xml:space="preserve"> can be disabled satisfactorily</w:t>
      </w:r>
    </w:p>
    <w:p w:rsidR="00364190" w:rsidRDefault="001673B3" w:rsidP="00364190">
      <w:pPr>
        <w:pStyle w:val="bodycopy"/>
        <w:numPr>
          <w:ilvl w:val="0"/>
          <w:numId w:val="4"/>
        </w:numPr>
      </w:pPr>
      <w:r>
        <w:t>b</w:t>
      </w:r>
      <w:r w:rsidR="00364190">
        <w:t xml:space="preserve">ehind-the-meter energy savings from renewables and cogeneration </w:t>
      </w:r>
      <w:r w:rsidR="00CE0066">
        <w:t>may be credited</w:t>
      </w:r>
    </w:p>
    <w:p w:rsidR="00364190" w:rsidRDefault="001673B3" w:rsidP="00364190">
      <w:pPr>
        <w:pStyle w:val="bodycopy"/>
        <w:numPr>
          <w:ilvl w:val="0"/>
          <w:numId w:val="4"/>
        </w:numPr>
      </w:pPr>
      <w:r>
        <w:t>m</w:t>
      </w:r>
      <w:r w:rsidR="00364190">
        <w:t xml:space="preserve">ulti-site sampling </w:t>
      </w:r>
      <w:r w:rsidR="00342D47">
        <w:t>and</w:t>
      </w:r>
      <w:r w:rsidR="00364190">
        <w:t xml:space="preserve"> simulat</w:t>
      </w:r>
      <w:r w:rsidR="00CE0066">
        <w:t>ed baseline</w:t>
      </w:r>
      <w:r w:rsidR="00364190">
        <w:t xml:space="preserve"> models</w:t>
      </w:r>
      <w:r w:rsidR="00CE0066">
        <w:t xml:space="preserve"> are omitted and</w:t>
      </w:r>
      <w:r w:rsidR="00342D47">
        <w:t xml:space="preserve"> will be considered for inclusion at a later date</w:t>
      </w:r>
    </w:p>
    <w:p w:rsidR="00364190" w:rsidRDefault="001673B3" w:rsidP="00364190">
      <w:pPr>
        <w:pStyle w:val="bodycopy"/>
        <w:numPr>
          <w:ilvl w:val="0"/>
          <w:numId w:val="4"/>
        </w:numPr>
      </w:pPr>
      <w:r>
        <w:t>i</w:t>
      </w:r>
      <w:r w:rsidR="00342D47">
        <w:t xml:space="preserve">nteractive energy savings </w:t>
      </w:r>
      <w:r w:rsidR="00FB1D46">
        <w:t xml:space="preserve">are </w:t>
      </w:r>
      <w:r w:rsidR="00342D47">
        <w:t>limited to 10% of the</w:t>
      </w:r>
      <w:r w:rsidR="00B247D7">
        <w:t xml:space="preserve"> main</w:t>
      </w:r>
      <w:r w:rsidR="00342D47">
        <w:t xml:space="preserve"> savings</w:t>
      </w:r>
    </w:p>
    <w:p w:rsidR="00252149" w:rsidRDefault="001673B3" w:rsidP="00D76005">
      <w:pPr>
        <w:pStyle w:val="bodycopy"/>
        <w:numPr>
          <w:ilvl w:val="0"/>
          <w:numId w:val="4"/>
        </w:numPr>
      </w:pPr>
      <w:r>
        <w:t>n</w:t>
      </w:r>
      <w:r w:rsidR="00CE0066">
        <w:t xml:space="preserve">egative </w:t>
      </w:r>
      <w:r w:rsidR="00484831">
        <w:t>savings must be reported in order to continue annual creation of certificates</w:t>
      </w:r>
      <w:r w:rsidR="0080585B">
        <w:t>.</w:t>
      </w:r>
    </w:p>
    <w:p w:rsidR="00D76005" w:rsidRDefault="00D76005" w:rsidP="00252149">
      <w:pPr>
        <w:pStyle w:val="bodycopy"/>
      </w:pPr>
      <w:r>
        <w:t xml:space="preserve"> </w:t>
      </w:r>
    </w:p>
    <w:p w:rsidR="00252149" w:rsidRDefault="00252149" w:rsidP="00252149">
      <w:pPr>
        <w:pStyle w:val="bodycop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375"/>
      </w:tblGrid>
      <w:tr w:rsidR="00252149" w:rsidTr="00E23EB6">
        <w:tc>
          <w:tcPr>
            <w:tcW w:w="4375" w:type="dxa"/>
            <w:shd w:val="clear" w:color="auto" w:fill="D9D9D9" w:themeFill="background1" w:themeFillShade="D9"/>
          </w:tcPr>
          <w:p w:rsidR="00252149" w:rsidRPr="00ED2AB2" w:rsidRDefault="00252149" w:rsidP="00252149">
            <w:pPr>
              <w:spacing w:before="60" w:after="60"/>
              <w:rPr>
                <w:rFonts w:ascii="Tahoma" w:eastAsiaTheme="minorHAnsi" w:hAnsi="Tahoma" w:cs="Tahoma"/>
                <w:b/>
                <w:color w:val="auto"/>
                <w:szCs w:val="20"/>
                <w:lang w:eastAsia="en-US"/>
              </w:rPr>
            </w:pPr>
            <w:r w:rsidRPr="00ED2AB2">
              <w:rPr>
                <w:rFonts w:ascii="Tahoma" w:eastAsiaTheme="minorHAnsi" w:hAnsi="Tahoma" w:cs="Tahoma"/>
                <w:b/>
                <w:color w:val="auto"/>
                <w:szCs w:val="20"/>
                <w:lang w:eastAsia="en-US"/>
              </w:rPr>
              <w:lastRenderedPageBreak/>
              <w:t>Question:</w:t>
            </w:r>
          </w:p>
          <w:p w:rsidR="00252149" w:rsidRPr="007E3294" w:rsidRDefault="00252149" w:rsidP="00252149">
            <w:pPr>
              <w:pStyle w:val="bodycopy"/>
              <w:spacing w:before="60" w:after="60"/>
              <w:rPr>
                <w:rFonts w:eastAsiaTheme="minorHAnsi"/>
                <w:lang w:eastAsia="en-US"/>
              </w:rPr>
            </w:pPr>
            <w:r w:rsidRPr="00ED2AB2">
              <w:rPr>
                <w:rFonts w:ascii="Tahoma" w:eastAsiaTheme="minorHAnsi" w:hAnsi="Tahoma" w:cs="Tahoma"/>
                <w:color w:val="auto"/>
                <w:lang w:eastAsia="en-US"/>
              </w:rPr>
              <w:t xml:space="preserve">The proposed approach </w:t>
            </w:r>
            <w:r>
              <w:rPr>
                <w:rFonts w:ascii="Tahoma" w:eastAsiaTheme="minorHAnsi" w:hAnsi="Tahoma" w:cs="Tahoma"/>
                <w:color w:val="auto"/>
                <w:lang w:eastAsia="en-US"/>
              </w:rPr>
              <w:t>is different to the PIAM&amp;V method in the</w:t>
            </w:r>
            <w:r w:rsidRPr="00ED2AB2">
              <w:rPr>
                <w:rFonts w:ascii="Tahoma" w:eastAsiaTheme="minorHAnsi" w:hAnsi="Tahoma" w:cs="Tahoma"/>
                <w:color w:val="auto"/>
                <w:lang w:eastAsia="en-US"/>
              </w:rPr>
              <w:t xml:space="preserve"> NSW </w:t>
            </w:r>
            <w:r>
              <w:rPr>
                <w:rFonts w:ascii="Tahoma" w:eastAsiaTheme="minorHAnsi" w:hAnsi="Tahoma" w:cs="Tahoma"/>
                <w:color w:val="auto"/>
                <w:lang w:eastAsia="en-US"/>
              </w:rPr>
              <w:t>ESS. I</w:t>
            </w:r>
            <w:r w:rsidRPr="00ED2AB2">
              <w:rPr>
                <w:rFonts w:ascii="Tahoma" w:eastAsiaTheme="minorHAnsi" w:hAnsi="Tahoma" w:cs="Tahoma"/>
                <w:color w:val="auto"/>
                <w:lang w:eastAsia="en-US"/>
              </w:rPr>
              <w:t>s</w:t>
            </w:r>
            <w:r>
              <w:rPr>
                <w:rFonts w:ascii="Tahoma" w:eastAsiaTheme="minorHAnsi" w:hAnsi="Tahoma" w:cs="Tahoma"/>
                <w:color w:val="auto"/>
                <w:lang w:eastAsia="en-US"/>
              </w:rPr>
              <w:t xml:space="preserve"> this preferable</w:t>
            </w:r>
            <w:r w:rsidRPr="00ED2AB2">
              <w:rPr>
                <w:rFonts w:ascii="Tahoma" w:eastAsiaTheme="minorHAnsi" w:hAnsi="Tahoma" w:cs="Tahoma"/>
                <w:color w:val="auto"/>
                <w:lang w:eastAsia="en-US"/>
              </w:rPr>
              <w:t>?</w:t>
            </w:r>
          </w:p>
        </w:tc>
      </w:tr>
    </w:tbl>
    <w:p w:rsidR="00061B5B" w:rsidRPr="00C659E3" w:rsidRDefault="00910E43" w:rsidP="00061B5B">
      <w:pPr>
        <w:pStyle w:val="heading1blue"/>
      </w:pPr>
      <w:r>
        <w:t>Eligibility for participation using M&amp;V</w:t>
      </w:r>
    </w:p>
    <w:p w:rsidR="00912C01" w:rsidRDefault="00912C01" w:rsidP="00912C01">
      <w:pPr>
        <w:pStyle w:val="heading2black"/>
      </w:pPr>
      <w:r>
        <w:t>Types of projects</w:t>
      </w:r>
    </w:p>
    <w:p w:rsidR="00F16C04" w:rsidRDefault="00F16C04" w:rsidP="00061B5B">
      <w:pPr>
        <w:pStyle w:val="bodycopy"/>
      </w:pPr>
      <w:r>
        <w:t>It is envisaged that the M&amp;V method will be most suitable for upgrades at sites with high energy consumption</w:t>
      </w:r>
      <w:r w:rsidR="00D74159">
        <w:t>,</w:t>
      </w:r>
      <w:r>
        <w:t xml:space="preserve"> such as</w:t>
      </w:r>
      <w:r w:rsidR="0080585B">
        <w:t xml:space="preserve"> large</w:t>
      </w:r>
      <w:r>
        <w:t xml:space="preserve"> industry. The method is </w:t>
      </w:r>
      <w:r w:rsidR="0080585B">
        <w:t xml:space="preserve">largely </w:t>
      </w:r>
      <w:r>
        <w:t>technology</w:t>
      </w:r>
      <w:r w:rsidR="00CE0066">
        <w:t xml:space="preserve"> neutral</w:t>
      </w:r>
      <w:r w:rsidR="00ED3D10">
        <w:t>.</w:t>
      </w:r>
      <w:r w:rsidR="00ED3D10">
        <w:br/>
        <w:t>T</w:t>
      </w:r>
      <w:r w:rsidR="0080585B">
        <w:t>he main requirement is</w:t>
      </w:r>
      <w:r>
        <w:t xml:space="preserve"> that participants are able to complete the calculation process </w:t>
      </w:r>
      <w:r w:rsidR="00CE0066">
        <w:t>to a sufficient degree of quality</w:t>
      </w:r>
      <w:r>
        <w:t xml:space="preserve">. It </w:t>
      </w:r>
      <w:r w:rsidR="0080585B">
        <w:t xml:space="preserve">recognises greenhouse gas savings from </w:t>
      </w:r>
      <w:r>
        <w:t>electricity</w:t>
      </w:r>
      <w:r w:rsidR="00CE0066">
        <w:t xml:space="preserve"> upgrades</w:t>
      </w:r>
      <w:r w:rsidR="0080585B">
        <w:t xml:space="preserve">, </w:t>
      </w:r>
      <w:r>
        <w:t>gas</w:t>
      </w:r>
      <w:r w:rsidR="00CE0066">
        <w:t xml:space="preserve"> upgrades</w:t>
      </w:r>
      <w:r>
        <w:t xml:space="preserve"> </w:t>
      </w:r>
      <w:r w:rsidR="00CE0066">
        <w:t>and combined upgrades</w:t>
      </w:r>
      <w:r>
        <w:t>.</w:t>
      </w:r>
    </w:p>
    <w:p w:rsidR="0080585B" w:rsidRDefault="00910E43" w:rsidP="0080585B">
      <w:pPr>
        <w:pStyle w:val="heading2black"/>
      </w:pPr>
      <w:r>
        <w:t>Ineligible projects</w:t>
      </w:r>
    </w:p>
    <w:p w:rsidR="00F16C04" w:rsidRDefault="00F16C04" w:rsidP="00061B5B">
      <w:pPr>
        <w:pStyle w:val="bodycopy"/>
      </w:pPr>
      <w:r>
        <w:t>There are some types of projects that are ineligible. These include:</w:t>
      </w:r>
    </w:p>
    <w:p w:rsidR="00F16C04" w:rsidRDefault="001673B3" w:rsidP="00F16C04">
      <w:pPr>
        <w:pStyle w:val="bodycopy"/>
        <w:numPr>
          <w:ilvl w:val="0"/>
          <w:numId w:val="3"/>
        </w:numPr>
      </w:pPr>
      <w:r>
        <w:t>u</w:t>
      </w:r>
      <w:r w:rsidR="0080585B">
        <w:t>pgrades</w:t>
      </w:r>
      <w:r w:rsidR="00F16C04">
        <w:t xml:space="preserve"> required by legislation </w:t>
      </w:r>
      <w:r w:rsidR="00FB1D46">
        <w:br/>
        <w:t>(e.g.</w:t>
      </w:r>
      <w:r w:rsidR="00F16C04">
        <w:t xml:space="preserve"> </w:t>
      </w:r>
      <w:r w:rsidR="00CE0066">
        <w:t>where</w:t>
      </w:r>
      <w:r w:rsidR="00F16C04">
        <w:t xml:space="preserve"> </w:t>
      </w:r>
      <w:r w:rsidR="0080585B">
        <w:t>a project</w:t>
      </w:r>
      <w:r w:rsidR="00F16C04">
        <w:t xml:space="preserve"> triggers</w:t>
      </w:r>
      <w:r w:rsidR="0080585B">
        <w:t xml:space="preserve"> Section J of</w:t>
      </w:r>
      <w:r w:rsidR="00F16C04">
        <w:t xml:space="preserve"> the Nati</w:t>
      </w:r>
      <w:r w:rsidR="00CE0066">
        <w:t>onal Construction Code</w:t>
      </w:r>
      <w:r w:rsidR="00FB1D46">
        <w:t>)</w:t>
      </w:r>
    </w:p>
    <w:p w:rsidR="00F16C04" w:rsidRDefault="001673B3" w:rsidP="00F16C04">
      <w:pPr>
        <w:pStyle w:val="bodycopy"/>
        <w:numPr>
          <w:ilvl w:val="0"/>
          <w:numId w:val="3"/>
        </w:numPr>
      </w:pPr>
      <w:r>
        <w:t>p</w:t>
      </w:r>
      <w:r w:rsidR="00F16C04">
        <w:t>rojects that ha</w:t>
      </w:r>
      <w:r w:rsidR="0010116E">
        <w:t>v</w:t>
      </w:r>
      <w:r w:rsidR="00FB1D46">
        <w:t>e</w:t>
      </w:r>
      <w:r w:rsidR="00F16C04">
        <w:t xml:space="preserve"> already been implemented at the time </w:t>
      </w:r>
      <w:r w:rsidR="00FB1D46">
        <w:t xml:space="preserve">that the project plan is </w:t>
      </w:r>
      <w:r w:rsidR="00CE0066">
        <w:t>submitt</w:t>
      </w:r>
      <w:r w:rsidR="00FB1D46">
        <w:t>ed</w:t>
      </w:r>
      <w:r w:rsidR="00CE0066">
        <w:t xml:space="preserve"> </w:t>
      </w:r>
    </w:p>
    <w:p w:rsidR="002E7CA0" w:rsidRDefault="001673B3" w:rsidP="002E7CA0">
      <w:pPr>
        <w:pStyle w:val="bodycopy"/>
        <w:numPr>
          <w:ilvl w:val="0"/>
          <w:numId w:val="3"/>
        </w:numPr>
      </w:pPr>
      <w:r>
        <w:t>n</w:t>
      </w:r>
      <w:r w:rsidR="002E7CA0">
        <w:t>ew installations (e.g. greenfield projects) where a baseline cannot be measured</w:t>
      </w:r>
    </w:p>
    <w:p w:rsidR="00F16C04" w:rsidRDefault="001673B3" w:rsidP="00F16C04">
      <w:pPr>
        <w:pStyle w:val="bodycopy"/>
        <w:numPr>
          <w:ilvl w:val="0"/>
          <w:numId w:val="3"/>
        </w:numPr>
      </w:pPr>
      <w:r>
        <w:t>p</w:t>
      </w:r>
      <w:r w:rsidR="00F16C04">
        <w:t>rojects that claim Renewable Energy Certificates (except for solar water heating</w:t>
      </w:r>
      <w:r w:rsidR="00F16C04">
        <w:rPr>
          <w:rStyle w:val="FootnoteReference"/>
        </w:rPr>
        <w:footnoteReference w:id="1"/>
      </w:r>
      <w:r w:rsidR="00CE0066">
        <w:t>)</w:t>
      </w:r>
    </w:p>
    <w:p w:rsidR="00F16C04" w:rsidRDefault="001673B3" w:rsidP="00F16C04">
      <w:pPr>
        <w:pStyle w:val="bodycopy"/>
        <w:numPr>
          <w:ilvl w:val="0"/>
          <w:numId w:val="3"/>
        </w:numPr>
      </w:pPr>
      <w:r>
        <w:t>p</w:t>
      </w:r>
      <w:r w:rsidR="00F16C04">
        <w:t xml:space="preserve">rojects </w:t>
      </w:r>
      <w:r w:rsidR="0080585B">
        <w:t>located across more than one</w:t>
      </w:r>
      <w:r w:rsidR="00F16C04">
        <w:t xml:space="preserve"> </w:t>
      </w:r>
      <w:r w:rsidR="0080585B">
        <w:t>premises</w:t>
      </w:r>
      <w:r w:rsidR="00F16C04">
        <w:t>.</w:t>
      </w:r>
    </w:p>
    <w:p w:rsidR="0080585B" w:rsidRDefault="00CE0066" w:rsidP="0080585B">
      <w:pPr>
        <w:pStyle w:val="heading2black"/>
      </w:pPr>
      <w:r>
        <w:t>Product</w:t>
      </w:r>
      <w:r w:rsidR="0080585B">
        <w:t xml:space="preserve"> requirements</w:t>
      </w:r>
    </w:p>
    <w:p w:rsidR="0080585B" w:rsidRDefault="00CE0066" w:rsidP="0080585B">
      <w:pPr>
        <w:pStyle w:val="bodycopy"/>
      </w:pPr>
      <w:r>
        <w:t>If a new product being installed is of a type and size applicable to another VEET activity, it</w:t>
      </w:r>
      <w:r w:rsidR="00DF6449">
        <w:t xml:space="preserve"> must be</w:t>
      </w:r>
      <w:r>
        <w:t xml:space="preserve"> listed</w:t>
      </w:r>
      <w:r w:rsidR="00DF6449">
        <w:t xml:space="preserve"> on the product register</w:t>
      </w:r>
      <w:r>
        <w:t xml:space="preserve"> maintained by the Essential Services Commission (ESC)</w:t>
      </w:r>
      <w:r w:rsidR="00DF6449">
        <w:t>. For example, if an upgrade of office area lighting is carried out</w:t>
      </w:r>
      <w:r w:rsidR="001B2AD4">
        <w:t xml:space="preserve"> as part of an M&amp;V project</w:t>
      </w:r>
      <w:r w:rsidR="00DF6449">
        <w:t xml:space="preserve">, the </w:t>
      </w:r>
      <w:r w:rsidR="001B2AD4">
        <w:t>lights</w:t>
      </w:r>
      <w:r w:rsidR="00DF6449">
        <w:t xml:space="preserve"> used must be registered for use in Schedule 34</w:t>
      </w:r>
      <w:r w:rsidR="001B2AD4">
        <w:t xml:space="preserve"> of the VEET Regulations</w:t>
      </w:r>
      <w:r w:rsidR="00DF6449">
        <w:t>.</w:t>
      </w:r>
    </w:p>
    <w:p w:rsidR="00DF6449" w:rsidRDefault="00DF6449" w:rsidP="0080585B">
      <w:pPr>
        <w:pStyle w:val="bodycopy"/>
      </w:pPr>
      <w:r>
        <w:t>Likewise, if a product is removed and that type and size of product is normally required to be decommissioned under another VEET activity, the same decommissioning requirements would apply.</w:t>
      </w:r>
      <w:r w:rsidR="001B2AD4">
        <w:t xml:space="preserve"> </w:t>
      </w:r>
      <w:r w:rsidR="00081ED5">
        <w:t xml:space="preserve">It is not necessary to </w:t>
      </w:r>
      <w:r w:rsidR="00081ED5">
        <w:lastRenderedPageBreak/>
        <w:t xml:space="preserve">demonstrate decommissioning of other </w:t>
      </w:r>
      <w:r w:rsidR="001B2AD4">
        <w:t xml:space="preserve">products </w:t>
      </w:r>
      <w:r w:rsidR="00E468D5">
        <w:t>removed</w:t>
      </w:r>
      <w:r w:rsidR="001B2AD4">
        <w:t>.</w:t>
      </w:r>
    </w:p>
    <w:p w:rsidR="00DF6449" w:rsidRDefault="00DF6449" w:rsidP="0080585B">
      <w:pPr>
        <w:pStyle w:val="bodycopy"/>
      </w:pPr>
      <w:r>
        <w:t>These requirements ensure consistency and fairness with other VEET activities.</w:t>
      </w:r>
    </w:p>
    <w:p w:rsidR="00061B5B" w:rsidRPr="00C659E3" w:rsidRDefault="00910E43" w:rsidP="00061B5B">
      <w:pPr>
        <w:pStyle w:val="heading1blue"/>
      </w:pPr>
      <w:r>
        <w:t>How to follow</w:t>
      </w:r>
      <w:r w:rsidR="00B247D7">
        <w:t xml:space="preserve"> the M&amp;V method</w:t>
      </w:r>
    </w:p>
    <w:p w:rsidR="00B247D7" w:rsidRDefault="00CA08B4" w:rsidP="00D27E79">
      <w:pPr>
        <w:pStyle w:val="heading2black"/>
      </w:pPr>
      <w:r>
        <w:t>Project plan</w:t>
      </w:r>
    </w:p>
    <w:p w:rsidR="00B247D7" w:rsidRDefault="00B247D7" w:rsidP="00B247D7">
      <w:pPr>
        <w:pStyle w:val="bodycopy"/>
      </w:pPr>
      <w:r>
        <w:t xml:space="preserve">Participating businesses are required to submit a </w:t>
      </w:r>
      <w:r w:rsidRPr="00D8505D">
        <w:rPr>
          <w:b/>
          <w:i/>
        </w:rPr>
        <w:t>project plan</w:t>
      </w:r>
      <w:r>
        <w:t xml:space="preserve"> </w:t>
      </w:r>
      <w:r w:rsidR="002E7CA0">
        <w:t xml:space="preserve">to the ESC </w:t>
      </w:r>
      <w:r w:rsidR="00DB0DEC">
        <w:t>before</w:t>
      </w:r>
      <w:r>
        <w:t xml:space="preserve"> implementing (installing) the project. </w:t>
      </w:r>
      <w:r w:rsidR="00FB1D46">
        <w:br/>
      </w:r>
      <w:r>
        <w:t xml:space="preserve">The project plan </w:t>
      </w:r>
      <w:r w:rsidR="005627EA">
        <w:t>must</w:t>
      </w:r>
      <w:r>
        <w:t xml:space="preserve"> include:</w:t>
      </w:r>
    </w:p>
    <w:p w:rsidR="00B247D7" w:rsidRDefault="00DB0DEC" w:rsidP="00B247D7">
      <w:pPr>
        <w:pStyle w:val="bodycopy"/>
        <w:numPr>
          <w:ilvl w:val="0"/>
          <w:numId w:val="3"/>
        </w:numPr>
      </w:pPr>
      <w:r>
        <w:t>t</w:t>
      </w:r>
      <w:r w:rsidR="005627EA">
        <w:t>he address of the premises where the project will be undertaken</w:t>
      </w:r>
    </w:p>
    <w:p w:rsidR="005627EA" w:rsidRDefault="00DB0DEC" w:rsidP="00B247D7">
      <w:pPr>
        <w:pStyle w:val="bodycopy"/>
        <w:numPr>
          <w:ilvl w:val="0"/>
          <w:numId w:val="3"/>
        </w:numPr>
      </w:pPr>
      <w:r>
        <w:t>t</w:t>
      </w:r>
      <w:r w:rsidR="005627EA">
        <w:t>he purpose of the project</w:t>
      </w:r>
    </w:p>
    <w:p w:rsidR="005627EA" w:rsidRDefault="00DB0DEC" w:rsidP="00B247D7">
      <w:pPr>
        <w:pStyle w:val="bodycopy"/>
        <w:numPr>
          <w:ilvl w:val="0"/>
          <w:numId w:val="3"/>
        </w:numPr>
      </w:pPr>
      <w:r>
        <w:t>t</w:t>
      </w:r>
      <w:r w:rsidR="005627EA">
        <w:t>he service or services affected by the project</w:t>
      </w:r>
    </w:p>
    <w:p w:rsidR="005627EA" w:rsidRDefault="00DB0DEC" w:rsidP="00B247D7">
      <w:pPr>
        <w:pStyle w:val="bodycopy"/>
        <w:numPr>
          <w:ilvl w:val="0"/>
          <w:numId w:val="3"/>
        </w:numPr>
      </w:pPr>
      <w:r>
        <w:t>a</w:t>
      </w:r>
      <w:r w:rsidR="005627EA">
        <w:t xml:space="preserve"> risk management plan for the specific project</w:t>
      </w:r>
      <w:r>
        <w:t>.</w:t>
      </w:r>
    </w:p>
    <w:p w:rsidR="00B247D7" w:rsidRDefault="005627EA" w:rsidP="00B247D7">
      <w:pPr>
        <w:pStyle w:val="bodycopy"/>
      </w:pPr>
      <w:r>
        <w:t>The ESC may not approve a plan if they are not satisfied that the project is reasonably likely to r</w:t>
      </w:r>
      <w:r w:rsidR="00CA08B4">
        <w:t xml:space="preserve">educe greenhouse gas emissions. </w:t>
      </w:r>
      <w:r>
        <w:t>This ensures that disingenuous projects do not gain approval.</w:t>
      </w:r>
    </w:p>
    <w:p w:rsidR="00CA08B4" w:rsidRDefault="00CA08B4" w:rsidP="00CA08B4">
      <w:pPr>
        <w:pStyle w:val="heading2black"/>
      </w:pPr>
      <w:r>
        <w:t>Project variation</w:t>
      </w:r>
    </w:p>
    <w:p w:rsidR="00CA08B4" w:rsidRDefault="00CA08B4" w:rsidP="00CA08B4">
      <w:pPr>
        <w:pStyle w:val="bodycopy"/>
      </w:pPr>
      <w:r>
        <w:t xml:space="preserve">A project plan may be altered </w:t>
      </w:r>
      <w:r w:rsidR="00DB0DEC">
        <w:t>before</w:t>
      </w:r>
      <w:r>
        <w:t xml:space="preserve"> certificate creation, provided that the address, purpose and affected services do not change.</w:t>
      </w:r>
    </w:p>
    <w:p w:rsidR="00D27E79" w:rsidRDefault="00D27E79" w:rsidP="005627EA">
      <w:pPr>
        <w:pStyle w:val="heading2black"/>
      </w:pPr>
      <w:r>
        <w:t xml:space="preserve">Baseline period </w:t>
      </w:r>
    </w:p>
    <w:p w:rsidR="00B8142E" w:rsidRDefault="0010116E" w:rsidP="00D8505D">
      <w:pPr>
        <w:pStyle w:val="bodycopy"/>
      </w:pPr>
      <w:r>
        <w:t>In order to create the baseline energy model</w:t>
      </w:r>
      <w:r w:rsidR="00ED3D10">
        <w:t>,</w:t>
      </w:r>
      <w:r>
        <w:t xml:space="preserve"> </w:t>
      </w:r>
      <w:r w:rsidR="00D8505D">
        <w:t xml:space="preserve">measurements are taken </w:t>
      </w:r>
      <w:r w:rsidR="00ED3D10">
        <w:t xml:space="preserve">during a period called </w:t>
      </w:r>
      <w:r w:rsidR="00743F98">
        <w:t xml:space="preserve">the </w:t>
      </w:r>
      <w:r w:rsidR="00ED3D10" w:rsidRPr="002E7CA0">
        <w:rPr>
          <w:b/>
          <w:i/>
        </w:rPr>
        <w:t>baseline period</w:t>
      </w:r>
      <w:r w:rsidR="00ED3D10" w:rsidDel="0010116E">
        <w:t xml:space="preserve"> </w:t>
      </w:r>
      <w:r w:rsidR="00ED3D10">
        <w:t xml:space="preserve">in order </w:t>
      </w:r>
      <w:r w:rsidR="00D8505D">
        <w:t xml:space="preserve">to represent energy use before the upgrade. </w:t>
      </w:r>
      <w:r w:rsidR="00B8142E">
        <w:t>The baseline energy model is used later</w:t>
      </w:r>
      <w:r w:rsidR="002E7CA0">
        <w:t xml:space="preserve"> in the process</w:t>
      </w:r>
      <w:r w:rsidR="00B8142E">
        <w:t xml:space="preserve"> to predict how much energy would have been consumed if the upgr</w:t>
      </w:r>
      <w:r w:rsidR="002E7CA0">
        <w:t>ade had never been carried out.</w:t>
      </w:r>
    </w:p>
    <w:p w:rsidR="00D27E79" w:rsidRDefault="00D8505D" w:rsidP="00D8505D">
      <w:pPr>
        <w:pStyle w:val="bodycopy"/>
      </w:pPr>
      <w:r>
        <w:t xml:space="preserve">The model could cover energy </w:t>
      </w:r>
      <w:r w:rsidR="002E7CA0">
        <w:t>consumption</w:t>
      </w:r>
      <w:r>
        <w:t xml:space="preserve"> over the whole site or within a defined </w:t>
      </w:r>
      <w:r w:rsidRPr="00D8505D">
        <w:rPr>
          <w:b/>
          <w:i/>
        </w:rPr>
        <w:t>measurement boundary</w:t>
      </w:r>
      <w:r>
        <w:t xml:space="preserve"> covering</w:t>
      </w:r>
      <w:r w:rsidR="002E7CA0">
        <w:t xml:space="preserve"> a</w:t>
      </w:r>
      <w:r>
        <w:t xml:space="preserve"> part of the site. The model could be a regression model that relates energy consumption </w:t>
      </w:r>
      <w:r w:rsidR="00D74159">
        <w:t>to</w:t>
      </w:r>
      <w:r>
        <w:t xml:space="preserve"> an independent variable such as hourly outside temperature or daily production volume</w:t>
      </w:r>
      <w:r w:rsidR="00ED3D10">
        <w:t>. Alternatively,</w:t>
      </w:r>
      <w:r>
        <w:t xml:space="preserve"> it could be an average model </w:t>
      </w:r>
      <w:r w:rsidR="002E7CA0">
        <w:t xml:space="preserve">for situations </w:t>
      </w:r>
      <w:r>
        <w:t>where there is minimal variation in energy use over time</w:t>
      </w:r>
      <w:r w:rsidR="002E7CA0">
        <w:t>, such as a fixed speed fan</w:t>
      </w:r>
      <w:r>
        <w:t>.</w:t>
      </w:r>
    </w:p>
    <w:p w:rsidR="00D8505D" w:rsidRDefault="00910E43" w:rsidP="00D8505D">
      <w:pPr>
        <w:pStyle w:val="bodycopy"/>
      </w:pPr>
      <w:r>
        <w:t xml:space="preserve">There is a requirement to </w:t>
      </w:r>
      <w:r w:rsidR="00D8505D">
        <w:t>collect sufficient measured data to create a satisfactory model. A longer baseline period would generally result in more data and</w:t>
      </w:r>
      <w:r w:rsidR="002E7CA0">
        <w:t xml:space="preserve"> </w:t>
      </w:r>
      <w:r w:rsidR="00D8505D">
        <w:t>a more accurate model</w:t>
      </w:r>
      <w:r w:rsidR="002E7CA0">
        <w:t>,</w:t>
      </w:r>
      <w:r w:rsidR="00D8505D">
        <w:t xml:space="preserve"> valid over a wider range of conditions.</w:t>
      </w:r>
    </w:p>
    <w:p w:rsidR="006F7DC9" w:rsidRDefault="006F7DC9" w:rsidP="00D8505D">
      <w:pPr>
        <w:pStyle w:val="bodycopy"/>
      </w:pPr>
      <w:r>
        <w:t xml:space="preserve">The baseline period occurs before the project is implemented. However, if the project can be </w:t>
      </w:r>
      <w:r w:rsidRPr="00ED3D10">
        <w:t>disabled, it</w:t>
      </w:r>
      <w:r>
        <w:t xml:space="preserve"> may be possible to collect baseline data after implementation. This will allow some projects to upgrade metering as part of the same works and then collect baseline data while the project is disabled. </w:t>
      </w:r>
    </w:p>
    <w:p w:rsidR="00061B5B" w:rsidRDefault="00D27E79" w:rsidP="00D27E79">
      <w:pPr>
        <w:pStyle w:val="heading2black"/>
      </w:pPr>
      <w:r>
        <w:t>Implementation</w:t>
      </w:r>
    </w:p>
    <w:p w:rsidR="006F7DC9" w:rsidRDefault="00D8505D" w:rsidP="00D76005">
      <w:pPr>
        <w:pStyle w:val="bodycopy"/>
      </w:pPr>
      <w:r>
        <w:t xml:space="preserve">Implementation </w:t>
      </w:r>
      <w:r w:rsidR="00910E43">
        <w:t xml:space="preserve">is defined as taking place </w:t>
      </w:r>
      <w:r>
        <w:t xml:space="preserve">when </w:t>
      </w:r>
      <w:r w:rsidR="006F7DC9">
        <w:t>the project itself is carried out</w:t>
      </w:r>
      <w:r w:rsidR="00603D74">
        <w:t>. A project</w:t>
      </w:r>
      <w:r w:rsidR="006F7DC9">
        <w:t xml:space="preserve"> could include:</w:t>
      </w:r>
    </w:p>
    <w:p w:rsidR="006F7DC9" w:rsidRDefault="00DB0DEC" w:rsidP="006F7DC9">
      <w:pPr>
        <w:pStyle w:val="bodycopy"/>
        <w:numPr>
          <w:ilvl w:val="0"/>
          <w:numId w:val="3"/>
        </w:numPr>
      </w:pPr>
      <w:r>
        <w:t>i</w:t>
      </w:r>
      <w:r w:rsidR="006F7DC9">
        <w:t>nstalling or removing an energy consuming product</w:t>
      </w:r>
    </w:p>
    <w:p w:rsidR="006F7DC9" w:rsidRDefault="00DB0DEC" w:rsidP="006F7DC9">
      <w:pPr>
        <w:pStyle w:val="bodycopy"/>
        <w:numPr>
          <w:ilvl w:val="0"/>
          <w:numId w:val="3"/>
        </w:numPr>
      </w:pPr>
      <w:r>
        <w:t>c</w:t>
      </w:r>
      <w:r w:rsidR="006F7DC9">
        <w:t>hanging the way an existing energy consuming product is used</w:t>
      </w:r>
    </w:p>
    <w:p w:rsidR="00D27E79" w:rsidRDefault="00DB0DEC" w:rsidP="006F7DC9">
      <w:pPr>
        <w:pStyle w:val="bodycopy"/>
        <w:numPr>
          <w:ilvl w:val="0"/>
          <w:numId w:val="3"/>
        </w:numPr>
      </w:pPr>
      <w:r>
        <w:t>i</w:t>
      </w:r>
      <w:r w:rsidR="006F7DC9">
        <w:t>nstalling or removing a product that affects the energy consumption of another product.</w:t>
      </w:r>
      <w:r w:rsidR="00D8505D">
        <w:t xml:space="preserve"> </w:t>
      </w:r>
    </w:p>
    <w:p w:rsidR="00D27E79" w:rsidRDefault="00D27E79" w:rsidP="00D27E79">
      <w:pPr>
        <w:pStyle w:val="heading2black"/>
      </w:pPr>
      <w:r>
        <w:t>Operating and reporting periods</w:t>
      </w:r>
    </w:p>
    <w:p w:rsidR="00D27E79" w:rsidRDefault="009A6587" w:rsidP="00D76005">
      <w:pPr>
        <w:pStyle w:val="bodycopy"/>
      </w:pPr>
      <w:r>
        <w:t xml:space="preserve">After implementation, data is collected to measure the resulting energy savings. </w:t>
      </w:r>
    </w:p>
    <w:p w:rsidR="009A6587" w:rsidRDefault="00910E43" w:rsidP="00D76005">
      <w:pPr>
        <w:pStyle w:val="bodycopy"/>
      </w:pPr>
      <w:r>
        <w:t xml:space="preserve">If you </w:t>
      </w:r>
      <w:r w:rsidR="009A6587">
        <w:t>intend to forward-create certificates</w:t>
      </w:r>
      <w:r>
        <w:t xml:space="preserve"> you</w:t>
      </w:r>
      <w:r w:rsidR="009A6587">
        <w:t xml:space="preserve"> need to create an operating energy model which characterises the energy consumption after the upgrade. Data is collected during the </w:t>
      </w:r>
      <w:r w:rsidR="009A6587" w:rsidRPr="002E7CA0">
        <w:rPr>
          <w:b/>
          <w:i/>
        </w:rPr>
        <w:t>operating period</w:t>
      </w:r>
      <w:r w:rsidR="009A6587">
        <w:t xml:space="preserve"> for this purpose. As with the baseline energy model, </w:t>
      </w:r>
      <w:r>
        <w:t xml:space="preserve">you </w:t>
      </w:r>
      <w:r w:rsidR="009A6587">
        <w:t>must collect sufficient data with which to create a satisfactory model, and the quality of the model can be improved by investing more into this process.</w:t>
      </w:r>
    </w:p>
    <w:p w:rsidR="009A6587" w:rsidRDefault="00910E43" w:rsidP="00D76005">
      <w:pPr>
        <w:pStyle w:val="bodycopy"/>
      </w:pPr>
      <w:r>
        <w:t>If you</w:t>
      </w:r>
      <w:r w:rsidR="009A6587">
        <w:t xml:space="preserve"> only wish to claim certificates annually based on actual energy consumption in a year following implementation</w:t>
      </w:r>
      <w:r>
        <w:t>, you</w:t>
      </w:r>
      <w:r w:rsidR="009A6587">
        <w:t xml:space="preserve"> don’t need to create an operating energy model</w:t>
      </w:r>
      <w:r>
        <w:t xml:space="preserve">; </w:t>
      </w:r>
      <w:r w:rsidR="00491D61">
        <w:t>simply</w:t>
      </w:r>
      <w:r w:rsidR="009A6587">
        <w:t xml:space="preserve"> measure the energy consumption</w:t>
      </w:r>
      <w:r w:rsidR="002A315C">
        <w:t xml:space="preserve"> during the </w:t>
      </w:r>
      <w:r w:rsidR="002A315C" w:rsidRPr="002A315C">
        <w:rPr>
          <w:b/>
          <w:i/>
        </w:rPr>
        <w:t>reporting period</w:t>
      </w:r>
      <w:r w:rsidR="00491D61">
        <w:t xml:space="preserve"> for comparison with the baseline</w:t>
      </w:r>
      <w:r w:rsidR="009A6587">
        <w:t>.</w:t>
      </w:r>
      <w:r w:rsidR="002A315C">
        <w:t xml:space="preserve"> The reporting period is </w:t>
      </w:r>
      <w:r w:rsidR="00DB0DEC">
        <w:t xml:space="preserve">12 </w:t>
      </w:r>
      <w:r w:rsidR="002A315C">
        <w:t>months long</w:t>
      </w:r>
      <w:r>
        <w:t xml:space="preserve"> and </w:t>
      </w:r>
      <w:r w:rsidR="002A315C">
        <w:t>commenc</w:t>
      </w:r>
      <w:r>
        <w:t>es</w:t>
      </w:r>
      <w:r w:rsidR="002A315C">
        <w:t xml:space="preserve"> after the implementation date or after a previous reporting period.</w:t>
      </w:r>
    </w:p>
    <w:p w:rsidR="009A6587" w:rsidRDefault="00ED3D10" w:rsidP="00D76005">
      <w:pPr>
        <w:pStyle w:val="bodycopy"/>
      </w:pPr>
      <w:r>
        <w:t xml:space="preserve">You </w:t>
      </w:r>
      <w:r w:rsidR="00491D61">
        <w:t xml:space="preserve">may use both forward and annual certificate creation </w:t>
      </w:r>
      <w:r w:rsidR="002A315C">
        <w:t>on</w:t>
      </w:r>
      <w:r w:rsidR="00491D61">
        <w:t xml:space="preserve"> a</w:t>
      </w:r>
      <w:r w:rsidR="002A315C">
        <w:t xml:space="preserve"> single</w:t>
      </w:r>
      <w:r w:rsidR="00491D61">
        <w:t xml:space="preserve"> project</w:t>
      </w:r>
      <w:r w:rsidR="009A6587">
        <w:t>.</w:t>
      </w:r>
      <w:r w:rsidR="002A315C">
        <w:t xml:space="preserve"> This option allows incentives to be accessed up front, and for further incentives to be claimed later if the upgrade performs better than predicted.</w:t>
      </w:r>
    </w:p>
    <w:p w:rsidR="00D40D24" w:rsidRDefault="00D40D24" w:rsidP="00D40D24">
      <w:pPr>
        <w:pStyle w:val="heading1blue"/>
      </w:pPr>
      <w:r>
        <w:t>Calculating savings</w:t>
      </w:r>
    </w:p>
    <w:p w:rsidR="002A315C" w:rsidRDefault="002A315C" w:rsidP="002A315C">
      <w:pPr>
        <w:pStyle w:val="heading2black"/>
      </w:pPr>
      <w:r>
        <w:t>Forward creation of certificates</w:t>
      </w:r>
    </w:p>
    <w:p w:rsidR="002A315C" w:rsidRPr="003D307E" w:rsidRDefault="00910E43" w:rsidP="002A315C">
      <w:pPr>
        <w:pStyle w:val="bodycopy"/>
      </w:pPr>
      <w:r>
        <w:t xml:space="preserve">The number of </w:t>
      </w:r>
      <w:r w:rsidR="002A315C">
        <w:t xml:space="preserve">certificates </w:t>
      </w:r>
      <w:r>
        <w:t xml:space="preserve">forward-created </w:t>
      </w:r>
      <w:r w:rsidR="002A315C">
        <w:t xml:space="preserve">is the difference between the baseline energy consumption and the operating energy consumption for a </w:t>
      </w:r>
      <w:r w:rsidR="002A315C" w:rsidRPr="003D307E">
        <w:rPr>
          <w:b/>
          <w:i/>
        </w:rPr>
        <w:t>normal year</w:t>
      </w:r>
      <w:r w:rsidR="002A315C">
        <w:t xml:space="preserve">. A normal year </w:t>
      </w:r>
      <w:r>
        <w:t xml:space="preserve">is defined as </w:t>
      </w:r>
      <w:r w:rsidR="002A315C">
        <w:t xml:space="preserve">a </w:t>
      </w:r>
      <w:r>
        <w:t xml:space="preserve">typical </w:t>
      </w:r>
      <w:r w:rsidR="002A315C">
        <w:t>year of operation from which to make the calculations; for example, an average year of production</w:t>
      </w:r>
      <w:r w:rsidR="009C00F6">
        <w:t>,</w:t>
      </w:r>
      <w:r w:rsidR="002A315C">
        <w:t xml:space="preserve"> or</w:t>
      </w:r>
      <w:r w:rsidR="009C00F6">
        <w:t xml:space="preserve"> a typical year of</w:t>
      </w:r>
      <w:r w:rsidR="002A315C">
        <w:t xml:space="preserve"> weather. </w:t>
      </w:r>
    </w:p>
    <w:p w:rsidR="002A315C" w:rsidRDefault="002A315C" w:rsidP="002A315C">
      <w:pPr>
        <w:pStyle w:val="bodycopy"/>
      </w:pPr>
      <w:r>
        <w:t xml:space="preserve">The savings are </w:t>
      </w:r>
      <w:r w:rsidR="00ED3D10">
        <w:t xml:space="preserve">then </w:t>
      </w:r>
      <w:r>
        <w:t>adjusted according to:</w:t>
      </w:r>
    </w:p>
    <w:p w:rsidR="002A315C" w:rsidRDefault="00DB0DEC" w:rsidP="002A315C">
      <w:pPr>
        <w:pStyle w:val="bodycopy"/>
        <w:numPr>
          <w:ilvl w:val="0"/>
          <w:numId w:val="3"/>
        </w:numPr>
      </w:pPr>
      <w:r>
        <w:t>t</w:t>
      </w:r>
      <w:r w:rsidR="002A315C">
        <w:t xml:space="preserve">he </w:t>
      </w:r>
      <w:r w:rsidR="002A315C" w:rsidRPr="003D307E">
        <w:rPr>
          <w:b/>
          <w:i/>
        </w:rPr>
        <w:t>accuracy factor</w:t>
      </w:r>
      <w:r w:rsidR="002A315C">
        <w:t>, which rewards more accurate models</w:t>
      </w:r>
    </w:p>
    <w:p w:rsidR="002A315C" w:rsidRDefault="00DB0DEC" w:rsidP="002A315C">
      <w:pPr>
        <w:pStyle w:val="bodycopy"/>
        <w:numPr>
          <w:ilvl w:val="0"/>
          <w:numId w:val="3"/>
        </w:numPr>
      </w:pPr>
      <w:r>
        <w:t>t</w:t>
      </w:r>
      <w:r w:rsidR="002A315C">
        <w:t xml:space="preserve">he </w:t>
      </w:r>
      <w:r w:rsidR="002A315C" w:rsidRPr="003D307E">
        <w:rPr>
          <w:b/>
          <w:i/>
        </w:rPr>
        <w:t>decay factor</w:t>
      </w:r>
      <w:r w:rsidR="002A315C">
        <w:t>, which represents how quickly the new product performance degrades over time.</w:t>
      </w:r>
    </w:p>
    <w:p w:rsidR="002A315C" w:rsidRDefault="002A315C" w:rsidP="002A315C">
      <w:pPr>
        <w:pStyle w:val="bodycopy"/>
      </w:pPr>
      <w:r>
        <w:t xml:space="preserve">Savings are calculated for up to </w:t>
      </w:r>
      <w:r w:rsidR="00910E43">
        <w:t xml:space="preserve">ten </w:t>
      </w:r>
      <w:r>
        <w:t>years, based on the lifetime of the project.</w:t>
      </w:r>
      <w:r w:rsidR="009C00F6">
        <w:t xml:space="preserve"> The lifetime of the project is determined either by the </w:t>
      </w:r>
      <w:r w:rsidR="00743F98">
        <w:t xml:space="preserve">default </w:t>
      </w:r>
      <w:r w:rsidR="009C00F6">
        <w:t>decay factor or another approved persistence model.</w:t>
      </w:r>
    </w:p>
    <w:p w:rsidR="002A315C" w:rsidRDefault="002A315C" w:rsidP="002A315C">
      <w:pPr>
        <w:pStyle w:val="heading2black"/>
      </w:pPr>
      <w:r>
        <w:t>Annual creation of certificates</w:t>
      </w:r>
    </w:p>
    <w:p w:rsidR="002A315C" w:rsidRDefault="002A315C" w:rsidP="002A315C">
      <w:pPr>
        <w:pStyle w:val="bodycopy"/>
      </w:pPr>
      <w:r>
        <w:t xml:space="preserve">Annual savings are calculated </w:t>
      </w:r>
      <w:r w:rsidR="00910E43">
        <w:t>by deducting the actual energy use measured over the year</w:t>
      </w:r>
      <w:r w:rsidR="00910E43" w:rsidDel="00910E43">
        <w:t xml:space="preserve"> </w:t>
      </w:r>
      <w:r w:rsidR="00910E43">
        <w:t xml:space="preserve">from </w:t>
      </w:r>
      <w:r>
        <w:t xml:space="preserve">the baseline energy use </w:t>
      </w:r>
      <w:r w:rsidR="00910E43">
        <w:t>for that year</w:t>
      </w:r>
      <w:r>
        <w:t>.</w:t>
      </w:r>
    </w:p>
    <w:p w:rsidR="002A315C" w:rsidRDefault="002A315C" w:rsidP="002A315C">
      <w:pPr>
        <w:pStyle w:val="bodycopy"/>
      </w:pPr>
      <w:r>
        <w:t xml:space="preserve">The savings are </w:t>
      </w:r>
      <w:r w:rsidR="00910E43">
        <w:t xml:space="preserve">then </w:t>
      </w:r>
      <w:r>
        <w:t>adjusted according to:</w:t>
      </w:r>
    </w:p>
    <w:p w:rsidR="002A315C" w:rsidRDefault="00E70D87" w:rsidP="002A315C">
      <w:pPr>
        <w:pStyle w:val="bodycopy"/>
        <w:numPr>
          <w:ilvl w:val="0"/>
          <w:numId w:val="3"/>
        </w:numPr>
      </w:pPr>
      <w:r>
        <w:rPr>
          <w:b/>
          <w:i/>
        </w:rPr>
        <w:t>c</w:t>
      </w:r>
      <w:r w:rsidR="002A315C" w:rsidRPr="009C00F6">
        <w:rPr>
          <w:b/>
          <w:i/>
        </w:rPr>
        <w:t>ounted savings</w:t>
      </w:r>
      <w:r w:rsidR="009C00F6">
        <w:t xml:space="preserve"> previously claimed through forward creation</w:t>
      </w:r>
    </w:p>
    <w:p w:rsidR="002A315C" w:rsidRDefault="00E70D87" w:rsidP="002A315C">
      <w:pPr>
        <w:pStyle w:val="bodycopy"/>
        <w:numPr>
          <w:ilvl w:val="0"/>
          <w:numId w:val="3"/>
        </w:numPr>
      </w:pPr>
      <w:r>
        <w:t>t</w:t>
      </w:r>
      <w:r w:rsidR="002A315C">
        <w:t>he accuracy factor</w:t>
      </w:r>
    </w:p>
    <w:p w:rsidR="002A315C" w:rsidRDefault="00E70D87" w:rsidP="002A315C">
      <w:pPr>
        <w:pStyle w:val="bodycopy"/>
        <w:numPr>
          <w:ilvl w:val="0"/>
          <w:numId w:val="3"/>
        </w:numPr>
      </w:pPr>
      <w:r>
        <w:rPr>
          <w:b/>
          <w:i/>
        </w:rPr>
        <w:t>p</w:t>
      </w:r>
      <w:r w:rsidR="002A315C" w:rsidRPr="00B8142E">
        <w:rPr>
          <w:b/>
          <w:i/>
        </w:rPr>
        <w:t>revious</w:t>
      </w:r>
      <w:r w:rsidR="002A315C">
        <w:t xml:space="preserve"> </w:t>
      </w:r>
      <w:r w:rsidR="002A315C" w:rsidRPr="00B8142E">
        <w:rPr>
          <w:b/>
          <w:i/>
        </w:rPr>
        <w:t>negative energy savings</w:t>
      </w:r>
      <w:r w:rsidR="002A315C">
        <w:t xml:space="preserve">, </w:t>
      </w:r>
      <w:r w:rsidR="00910E43">
        <w:t>if</w:t>
      </w:r>
      <w:r w:rsidR="002A315C">
        <w:t xml:space="preserve"> energy use increased in </w:t>
      </w:r>
      <w:r w:rsidR="009C00F6">
        <w:t>the previous year</w:t>
      </w:r>
      <w:r w:rsidR="002A315C">
        <w:t>.</w:t>
      </w:r>
    </w:p>
    <w:p w:rsidR="009A6587" w:rsidRDefault="009A6587" w:rsidP="00D27E79">
      <w:pPr>
        <w:pStyle w:val="heading2black"/>
      </w:pPr>
      <w:r>
        <w:t>Interactive energy savings</w:t>
      </w:r>
    </w:p>
    <w:p w:rsidR="001B231A" w:rsidRDefault="001B231A" w:rsidP="009A6587">
      <w:pPr>
        <w:pStyle w:val="bodycopy"/>
      </w:pPr>
      <w:r>
        <w:t xml:space="preserve">Some energy efficiency projects have flow-on benefits; for example, upgrading equipment inside an air-conditioned room </w:t>
      </w:r>
      <w:r w:rsidR="002A315C">
        <w:t>could</w:t>
      </w:r>
      <w:r>
        <w:t xml:space="preserve"> save both equipment energy and air conditioning energy</w:t>
      </w:r>
      <w:r w:rsidR="002A315C">
        <w:t xml:space="preserve"> because of a reduced heat load</w:t>
      </w:r>
      <w:r>
        <w:t xml:space="preserve">. </w:t>
      </w:r>
      <w:r w:rsidR="00910E43">
        <w:t xml:space="preserve">This is referred to as </w:t>
      </w:r>
      <w:r w:rsidR="00910E43" w:rsidRPr="00B8142E">
        <w:rPr>
          <w:b/>
          <w:i/>
        </w:rPr>
        <w:t>interactive energy savings</w:t>
      </w:r>
      <w:r w:rsidR="00910E43">
        <w:t>.</w:t>
      </w:r>
      <w:r w:rsidR="00CC6EBB">
        <w:t xml:space="preserve"> </w:t>
      </w:r>
      <w:r w:rsidR="00CC6EBB">
        <w:br/>
      </w:r>
      <w:r>
        <w:t xml:space="preserve">In some cases, it </w:t>
      </w:r>
      <w:r w:rsidR="00910E43">
        <w:t xml:space="preserve">may not be </w:t>
      </w:r>
      <w:r>
        <w:t>economical to measure these</w:t>
      </w:r>
      <w:r w:rsidR="00910E43" w:rsidRPr="00910E43">
        <w:t>.</w:t>
      </w:r>
    </w:p>
    <w:p w:rsidR="009A6587" w:rsidRPr="009A6587" w:rsidRDefault="001B231A" w:rsidP="009A6587">
      <w:pPr>
        <w:pStyle w:val="bodycopy"/>
      </w:pPr>
      <w:r>
        <w:t xml:space="preserve">The M&amp;V method allows </w:t>
      </w:r>
      <w:r w:rsidR="00CC6EBB">
        <w:t>the</w:t>
      </w:r>
      <w:r>
        <w:t xml:space="preserve"> justif</w:t>
      </w:r>
      <w:r w:rsidR="00CC6EBB">
        <w:t xml:space="preserve">ication </w:t>
      </w:r>
      <w:r w:rsidR="00ED3D10">
        <w:t>of interactive</w:t>
      </w:r>
      <w:r>
        <w:t xml:space="preserve"> energy savings using engineering calculations. </w:t>
      </w:r>
      <w:r w:rsidR="00666BCF">
        <w:t>The interactive energy savings able to be claimed would be limited to up to 10% of the main energy savings</w:t>
      </w:r>
      <w:r>
        <w:t>.</w:t>
      </w:r>
    </w:p>
    <w:p w:rsidR="00B8142E" w:rsidRDefault="002A315C" w:rsidP="00F93E0B">
      <w:pPr>
        <w:pStyle w:val="heading2black"/>
      </w:pPr>
      <w:r>
        <w:t>Accounting for all</w:t>
      </w:r>
      <w:r w:rsidR="00B8142E">
        <w:t xml:space="preserve"> savings</w:t>
      </w:r>
    </w:p>
    <w:p w:rsidR="00B8142E" w:rsidRDefault="002A315C" w:rsidP="00B8142E">
      <w:pPr>
        <w:pStyle w:val="bodycopy"/>
      </w:pPr>
      <w:r>
        <w:t>It is possible to subtract certificates</w:t>
      </w:r>
      <w:r w:rsidR="00CC6EBB">
        <w:t xml:space="preserve"> previously claimed. This might be done </w:t>
      </w:r>
      <w:r w:rsidR="00E468D5">
        <w:t>for</w:t>
      </w:r>
      <w:r w:rsidR="00B8142E">
        <w:t>:</w:t>
      </w:r>
    </w:p>
    <w:p w:rsidR="00B8142E" w:rsidRDefault="00E70D87" w:rsidP="00B8142E">
      <w:pPr>
        <w:pStyle w:val="bodycopy"/>
        <w:numPr>
          <w:ilvl w:val="0"/>
          <w:numId w:val="3"/>
        </w:numPr>
      </w:pPr>
      <w:r>
        <w:t>a</w:t>
      </w:r>
      <w:r w:rsidR="00CC6EBB">
        <w:t xml:space="preserve">ctivities using other </w:t>
      </w:r>
      <w:r w:rsidR="00B8142E">
        <w:t xml:space="preserve">VEET </w:t>
      </w:r>
      <w:r w:rsidR="00CC6EBB">
        <w:t xml:space="preserve">methods </w:t>
      </w:r>
      <w:r w:rsidR="00B8142E">
        <w:t xml:space="preserve">that have occurred within the measurement boundary since </w:t>
      </w:r>
      <w:r w:rsidR="002A315C">
        <w:t>the baseline period</w:t>
      </w:r>
    </w:p>
    <w:p w:rsidR="00B8142E" w:rsidRDefault="00E70D87" w:rsidP="00B8142E">
      <w:pPr>
        <w:pStyle w:val="bodycopy"/>
        <w:numPr>
          <w:ilvl w:val="0"/>
          <w:numId w:val="3"/>
        </w:numPr>
      </w:pPr>
      <w:r>
        <w:t>p</w:t>
      </w:r>
      <w:r w:rsidR="00B8142E">
        <w:t>rojects that forward create certificates more than once</w:t>
      </w:r>
    </w:p>
    <w:p w:rsidR="00D40D24" w:rsidRDefault="00E70D87" w:rsidP="00B8142E">
      <w:pPr>
        <w:pStyle w:val="bodycopy"/>
        <w:numPr>
          <w:ilvl w:val="0"/>
          <w:numId w:val="3"/>
        </w:numPr>
      </w:pPr>
      <w:r>
        <w:t>p</w:t>
      </w:r>
      <w:r w:rsidR="00D40D24">
        <w:t>rojects that annually create after forward creating certificates.</w:t>
      </w:r>
    </w:p>
    <w:p w:rsidR="002A315C" w:rsidRDefault="002A315C" w:rsidP="002A315C">
      <w:pPr>
        <w:pStyle w:val="bodycopy"/>
      </w:pPr>
      <w:r>
        <w:t xml:space="preserve">This option provides flexibility and improved cash flow for projects wishing to combine </w:t>
      </w:r>
      <w:r w:rsidR="00CC6EBB">
        <w:t>a</w:t>
      </w:r>
      <w:r w:rsidR="00CC6EBB" w:rsidRPr="00CC6EBB">
        <w:t xml:space="preserve">ctivities </w:t>
      </w:r>
      <w:r w:rsidR="00CC6EBB">
        <w:t>that use</w:t>
      </w:r>
      <w:r w:rsidR="00CC6EBB" w:rsidRPr="00CC6EBB">
        <w:t xml:space="preserve"> </w:t>
      </w:r>
      <w:r w:rsidR="00CC6EBB">
        <w:t xml:space="preserve">different </w:t>
      </w:r>
      <w:r w:rsidR="00CC6EBB" w:rsidRPr="00CC6EBB">
        <w:t>VEET methods</w:t>
      </w:r>
      <w:r w:rsidR="00CC6EBB">
        <w:t xml:space="preserve">. It also makes it possible to </w:t>
      </w:r>
      <w:r>
        <w:t>claim M&amp;V method certificates more than once.</w:t>
      </w:r>
    </w:p>
    <w:p w:rsidR="002A315C" w:rsidRDefault="002A315C" w:rsidP="002A315C">
      <w:pPr>
        <w:pStyle w:val="bodycopy"/>
      </w:pPr>
      <w:r>
        <w:t>If an M&amp;V project underperforms and increases its energy use in a given year, this must be accounted for in the next annual certificate creation.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375"/>
      </w:tblGrid>
      <w:tr w:rsidR="00252149" w:rsidTr="00E23EB6">
        <w:tc>
          <w:tcPr>
            <w:tcW w:w="4375" w:type="dxa"/>
            <w:shd w:val="clear" w:color="auto" w:fill="D9D9D9" w:themeFill="background1" w:themeFillShade="D9"/>
          </w:tcPr>
          <w:p w:rsidR="00252149" w:rsidRPr="00ED2AB2" w:rsidRDefault="00252149" w:rsidP="00252149">
            <w:pPr>
              <w:spacing w:before="60" w:after="60"/>
              <w:rPr>
                <w:rFonts w:ascii="Tahoma" w:eastAsiaTheme="minorHAnsi" w:hAnsi="Tahoma" w:cs="Tahoma"/>
                <w:b/>
                <w:color w:val="auto"/>
                <w:szCs w:val="20"/>
                <w:lang w:eastAsia="en-US"/>
              </w:rPr>
            </w:pPr>
            <w:r w:rsidRPr="00ED2AB2">
              <w:rPr>
                <w:rFonts w:ascii="Tahoma" w:eastAsiaTheme="minorHAnsi" w:hAnsi="Tahoma" w:cs="Tahoma"/>
                <w:b/>
                <w:color w:val="auto"/>
                <w:szCs w:val="20"/>
                <w:lang w:eastAsia="en-US"/>
              </w:rPr>
              <w:t>Question:</w:t>
            </w:r>
          </w:p>
          <w:p w:rsidR="00252149" w:rsidRPr="007E3294" w:rsidRDefault="00252149" w:rsidP="00252149">
            <w:pPr>
              <w:pStyle w:val="bodycopy"/>
              <w:spacing w:before="60" w:after="60"/>
              <w:rPr>
                <w:rFonts w:eastAsiaTheme="minorHAnsi"/>
                <w:lang w:eastAsia="en-US"/>
              </w:rPr>
            </w:pPr>
            <w:r>
              <w:rPr>
                <w:rFonts w:ascii="Tahoma" w:eastAsiaTheme="minorHAnsi" w:hAnsi="Tahoma" w:cs="Tahoma"/>
                <w:color w:val="auto"/>
                <w:lang w:eastAsia="en-US"/>
              </w:rPr>
              <w:t>Do you have any comments on this proposal</w:t>
            </w:r>
            <w:r w:rsidRPr="00ED2AB2">
              <w:rPr>
                <w:rFonts w:ascii="Tahoma" w:eastAsiaTheme="minorHAnsi" w:hAnsi="Tahoma" w:cs="Tahoma"/>
                <w:color w:val="auto"/>
                <w:lang w:eastAsia="en-US"/>
              </w:rPr>
              <w:t>?</w:t>
            </w:r>
          </w:p>
        </w:tc>
      </w:tr>
    </w:tbl>
    <w:p w:rsidR="00D40D24" w:rsidRDefault="00A3321B" w:rsidP="00F854F5">
      <w:pPr>
        <w:pStyle w:val="heading1blue"/>
      </w:pPr>
      <w:r>
        <w:t>Other issues</w:t>
      </w:r>
    </w:p>
    <w:p w:rsidR="00D7691A" w:rsidRDefault="00D7691A" w:rsidP="00D7691A">
      <w:pPr>
        <w:pStyle w:val="heading2black"/>
      </w:pPr>
      <w:r>
        <w:t>Third party a</w:t>
      </w:r>
      <w:r w:rsidRPr="009C00F6">
        <w:t>ssessors</w:t>
      </w:r>
    </w:p>
    <w:p w:rsidR="00D7691A" w:rsidRPr="00D7691A" w:rsidRDefault="00BB7E34" w:rsidP="00D7691A">
      <w:pPr>
        <w:pStyle w:val="bodycopy"/>
      </w:pPr>
      <w:r>
        <w:t xml:space="preserve">It is proposed that M&amp;V projects </w:t>
      </w:r>
      <w:r w:rsidR="00CC6EBB">
        <w:t xml:space="preserve">be </w:t>
      </w:r>
      <w:r>
        <w:t>assessed by third party technical specialists and that their recommendations inform decisions of the ESC.</w:t>
      </w:r>
    </w:p>
    <w:p w:rsidR="00F854F5" w:rsidRDefault="00F854F5" w:rsidP="00F854F5">
      <w:pPr>
        <w:pStyle w:val="heading2black"/>
      </w:pPr>
      <w:r>
        <w:t>Public register and double-counting</w:t>
      </w:r>
    </w:p>
    <w:p w:rsidR="00F854F5" w:rsidRDefault="00A3321B" w:rsidP="00D76005">
      <w:pPr>
        <w:pStyle w:val="bodycopy"/>
      </w:pPr>
      <w:r>
        <w:t xml:space="preserve">The draft method places </w:t>
      </w:r>
      <w:r w:rsidR="00ED3D10">
        <w:t xml:space="preserve">the </w:t>
      </w:r>
      <w:r>
        <w:t xml:space="preserve">onus on </w:t>
      </w:r>
      <w:r w:rsidR="00CC6EBB">
        <w:t>Accredited Persons (</w:t>
      </w:r>
      <w:r>
        <w:t>APs</w:t>
      </w:r>
      <w:r w:rsidR="00CC6EBB">
        <w:t>)</w:t>
      </w:r>
      <w:r>
        <w:t xml:space="preserve"> to be aware of</w:t>
      </w:r>
      <w:r w:rsidR="00CC6EBB">
        <w:t xml:space="preserve"> </w:t>
      </w:r>
      <w:r>
        <w:t>and account for multiple VEET activities taking place at the same site</w:t>
      </w:r>
      <w:r w:rsidR="00BB7E34">
        <w:t>, possibly by different APs</w:t>
      </w:r>
      <w:r>
        <w:t>. For example, a business could undertake an M&amp;V project at the same time as replacing refrigerated display cabinets</w:t>
      </w:r>
      <w:r w:rsidR="00BB7E34">
        <w:t xml:space="preserve"> </w:t>
      </w:r>
      <w:r>
        <w:t xml:space="preserve">under Schedule </w:t>
      </w:r>
      <w:r w:rsidR="00BB7E34">
        <w:t>32, provided that the certificates created under Schedule 32 are subtracted from the M&amp;V calculation.</w:t>
      </w:r>
    </w:p>
    <w:p w:rsidR="00BB7E34" w:rsidRDefault="00BB7E34" w:rsidP="00D76005">
      <w:pPr>
        <w:pStyle w:val="bodycopy"/>
      </w:pPr>
      <w:r>
        <w:t xml:space="preserve">To assist this process, </w:t>
      </w:r>
      <w:r w:rsidR="00CC6EBB">
        <w:t xml:space="preserve">it is possible that </w:t>
      </w:r>
      <w:r>
        <w:t xml:space="preserve">the ESC </w:t>
      </w:r>
      <w:r w:rsidR="00CC6EBB">
        <w:t xml:space="preserve">might </w:t>
      </w:r>
      <w:r>
        <w:t xml:space="preserve">maintain a public register of M&amp;V projects, </w:t>
      </w:r>
      <w:r w:rsidR="00CC6EBB">
        <w:t xml:space="preserve">to be </w:t>
      </w:r>
      <w:r>
        <w:t xml:space="preserve">listed </w:t>
      </w:r>
      <w:r w:rsidR="00CC6EBB">
        <w:t xml:space="preserve">from </w:t>
      </w:r>
      <w:r>
        <w:t xml:space="preserve">the project plan stage. However, there are concerns that this could compromise commercial confidentiality. </w:t>
      </w:r>
    </w:p>
    <w:p w:rsidR="00F854F5" w:rsidRDefault="00BB7E34" w:rsidP="00D76005">
      <w:pPr>
        <w:pStyle w:val="bodycopy"/>
      </w:pPr>
      <w:r>
        <w:t xml:space="preserve">The </w:t>
      </w:r>
      <w:r w:rsidR="00E70D87">
        <w:t>d</w:t>
      </w:r>
      <w:r>
        <w:t xml:space="preserve">epartment is interested </w:t>
      </w:r>
      <w:r w:rsidR="00D85D98">
        <w:t>i</w:t>
      </w:r>
      <w:r>
        <w:t>n your view of whether a public register should be maintained and</w:t>
      </w:r>
      <w:r w:rsidR="00CC6EBB">
        <w:t>, if so,</w:t>
      </w:r>
      <w:r>
        <w:t xml:space="preserve"> what information (e.g. project type, site address, name of AP, or other information) should be placed on </w:t>
      </w:r>
      <w:r w:rsidR="00CC6EBB">
        <w:t xml:space="preserve">such a </w:t>
      </w:r>
      <w:r>
        <w:t>register.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375"/>
      </w:tblGrid>
      <w:tr w:rsidR="00252149" w:rsidTr="00252149">
        <w:trPr>
          <w:trHeight w:val="142"/>
        </w:trPr>
        <w:tc>
          <w:tcPr>
            <w:tcW w:w="4375" w:type="dxa"/>
            <w:shd w:val="clear" w:color="auto" w:fill="D9D9D9" w:themeFill="background1" w:themeFillShade="D9"/>
          </w:tcPr>
          <w:p w:rsidR="00252149" w:rsidRPr="00ED2AB2" w:rsidRDefault="00252149" w:rsidP="00252149">
            <w:pPr>
              <w:spacing w:before="60" w:after="60"/>
              <w:rPr>
                <w:rFonts w:ascii="Tahoma" w:eastAsiaTheme="minorHAnsi" w:hAnsi="Tahoma" w:cs="Tahoma"/>
                <w:b/>
                <w:color w:val="auto"/>
                <w:szCs w:val="20"/>
                <w:lang w:eastAsia="en-US"/>
              </w:rPr>
            </w:pPr>
            <w:r w:rsidRPr="00ED2AB2">
              <w:rPr>
                <w:rFonts w:ascii="Tahoma" w:eastAsiaTheme="minorHAnsi" w:hAnsi="Tahoma" w:cs="Tahoma"/>
                <w:b/>
                <w:color w:val="auto"/>
                <w:szCs w:val="20"/>
                <w:lang w:eastAsia="en-US"/>
              </w:rPr>
              <w:t>Question:</w:t>
            </w:r>
          </w:p>
          <w:p w:rsidR="00252149" w:rsidRPr="007E3294" w:rsidRDefault="00252149" w:rsidP="00252149">
            <w:pPr>
              <w:pStyle w:val="bodycopy"/>
              <w:spacing w:before="60" w:after="60"/>
              <w:rPr>
                <w:rFonts w:eastAsiaTheme="minorHAnsi"/>
                <w:lang w:eastAsia="en-US"/>
              </w:rPr>
            </w:pPr>
            <w:r>
              <w:rPr>
                <w:rFonts w:ascii="Tahoma" w:eastAsiaTheme="minorHAnsi" w:hAnsi="Tahoma" w:cs="Tahoma"/>
                <w:color w:val="auto"/>
                <w:lang w:eastAsia="en-US"/>
              </w:rPr>
              <w:t>Are there any other issues that we have not considered</w:t>
            </w:r>
            <w:r w:rsidRPr="00ED2AB2">
              <w:rPr>
                <w:rFonts w:ascii="Tahoma" w:eastAsiaTheme="minorHAnsi" w:hAnsi="Tahoma" w:cs="Tahoma"/>
                <w:color w:val="auto"/>
                <w:lang w:eastAsia="en-US"/>
              </w:rPr>
              <w:t>?</w:t>
            </w:r>
          </w:p>
        </w:tc>
      </w:tr>
    </w:tbl>
    <w:p w:rsidR="00F31B69" w:rsidRDefault="00F31B69" w:rsidP="00F31B69">
      <w:pPr>
        <w:pStyle w:val="heading1blue"/>
      </w:pPr>
      <w:r>
        <w:t>Consultation day</w:t>
      </w:r>
    </w:p>
    <w:p w:rsidR="00B80943" w:rsidRDefault="00B80943" w:rsidP="00B80943">
      <w:pPr>
        <w:pStyle w:val="bodycopy"/>
      </w:pPr>
      <w:r w:rsidRPr="00ED3C06">
        <w:t xml:space="preserve">There will be a public consultation </w:t>
      </w:r>
      <w:r>
        <w:t>day for interested parties in June 2016.</w:t>
      </w:r>
    </w:p>
    <w:p w:rsidR="00B80943" w:rsidRDefault="00B80943" w:rsidP="00B80943">
      <w:pPr>
        <w:pStyle w:val="bodycopy"/>
      </w:pPr>
      <w:r>
        <w:t xml:space="preserve">Please see </w:t>
      </w:r>
      <w:r w:rsidRPr="00426E56">
        <w:t>the Department’s website</w:t>
      </w:r>
      <w:r>
        <w:t xml:space="preserve"> for further information including, time, date and location:</w:t>
      </w:r>
      <w:r>
        <w:br/>
      </w:r>
      <w:hyperlink r:id="rId14" w:history="1">
        <w:r w:rsidRPr="00FC19BC">
          <w:rPr>
            <w:rStyle w:val="Hyperlink"/>
          </w:rPr>
          <w:t>www.energyandresources.vic.gov.au/esi</w:t>
        </w:r>
      </w:hyperlink>
    </w:p>
    <w:p w:rsidR="00F31B69" w:rsidRPr="00C659E3" w:rsidRDefault="00F31B69" w:rsidP="00F31B69">
      <w:pPr>
        <w:pStyle w:val="heading1blue"/>
      </w:pPr>
      <w:r>
        <w:t>How to provide your comments</w:t>
      </w:r>
    </w:p>
    <w:p w:rsidR="00F31B69" w:rsidRDefault="00F31B69" w:rsidP="00F31B69">
      <w:r w:rsidRPr="004C1BFB">
        <w:t>Responses should clearly state the issue and, where relevant, make reference to specific sections of the draft Regulation</w:t>
      </w:r>
      <w:r w:rsidR="00D85D98">
        <w:t>s</w:t>
      </w:r>
      <w:r w:rsidRPr="004C1BFB">
        <w:t>.</w:t>
      </w:r>
    </w:p>
    <w:p w:rsidR="00F31B69" w:rsidRDefault="00F31B69" w:rsidP="00F31B69">
      <w:pPr>
        <w:pStyle w:val="heading2black"/>
      </w:pPr>
      <w:r>
        <w:t>Submitting by email</w:t>
      </w:r>
    </w:p>
    <w:p w:rsidR="00F31B69" w:rsidRDefault="00F31B69" w:rsidP="00F31B69">
      <w:r>
        <w:t xml:space="preserve">Submissions may be emailed to </w:t>
      </w:r>
      <w:hyperlink r:id="rId15" w:history="1">
        <w:r w:rsidRPr="00FD261A">
          <w:rPr>
            <w:rStyle w:val="Hyperlink"/>
          </w:rPr>
          <w:t>energysaver.incentive@ecodev.vic.gov.au</w:t>
        </w:r>
      </w:hyperlink>
      <w:r>
        <w:t xml:space="preserve">. </w:t>
      </w:r>
      <w:r>
        <w:br/>
      </w:r>
    </w:p>
    <w:p w:rsidR="00F31B69" w:rsidRDefault="00F31B69" w:rsidP="00F31B69">
      <w:r>
        <w:t xml:space="preserve">Please use the subject: </w:t>
      </w:r>
      <w:r>
        <w:br/>
      </w:r>
      <w:r w:rsidRPr="00AE678C">
        <w:rPr>
          <w:i/>
        </w:rPr>
        <w:t>VEET</w:t>
      </w:r>
      <w:r w:rsidR="00B46B96">
        <w:rPr>
          <w:i/>
        </w:rPr>
        <w:t>:</w:t>
      </w:r>
      <w:r>
        <w:rPr>
          <w:i/>
        </w:rPr>
        <w:t xml:space="preserve"> M</w:t>
      </w:r>
      <w:r w:rsidR="00B46B96">
        <w:rPr>
          <w:i/>
        </w:rPr>
        <w:t>easurement and Verification</w:t>
      </w:r>
    </w:p>
    <w:p w:rsidR="00F31B69" w:rsidRDefault="00F31B69" w:rsidP="00F31B69">
      <w:pPr>
        <w:pStyle w:val="heading2black"/>
      </w:pPr>
      <w:r>
        <w:t>Submitting by post</w:t>
      </w:r>
    </w:p>
    <w:p w:rsidR="00F31B69" w:rsidRDefault="00F31B69" w:rsidP="00F31B69">
      <w:pPr>
        <w:pStyle w:val="heading1blue"/>
        <w:spacing w:before="0"/>
        <w:rPr>
          <w:color w:val="53565A"/>
          <w:sz w:val="20"/>
        </w:rPr>
      </w:pPr>
      <w:r>
        <w:rPr>
          <w:color w:val="53565A"/>
          <w:sz w:val="20"/>
        </w:rPr>
        <w:t>R</w:t>
      </w:r>
      <w:r w:rsidRPr="004C1BFB">
        <w:rPr>
          <w:color w:val="53565A"/>
          <w:sz w:val="20"/>
        </w:rPr>
        <w:t xml:space="preserve">esponses may </w:t>
      </w:r>
      <w:r>
        <w:rPr>
          <w:color w:val="53565A"/>
          <w:sz w:val="20"/>
        </w:rPr>
        <w:t xml:space="preserve">also </w:t>
      </w:r>
      <w:r w:rsidRPr="004C1BFB">
        <w:rPr>
          <w:color w:val="53565A"/>
          <w:sz w:val="20"/>
        </w:rPr>
        <w:t>be provided in writing to:</w:t>
      </w:r>
    </w:p>
    <w:p w:rsidR="00F31B69" w:rsidRDefault="00B46B96" w:rsidP="00F31B69">
      <w:pPr>
        <w:spacing w:after="120"/>
      </w:pPr>
      <w:r w:rsidRPr="00AE678C">
        <w:rPr>
          <w:i/>
        </w:rPr>
        <w:t>VEET</w:t>
      </w:r>
      <w:r>
        <w:rPr>
          <w:i/>
        </w:rPr>
        <w:t>: Measurement and Verification</w:t>
      </w:r>
      <w:r w:rsidR="00F31B69">
        <w:rPr>
          <w:i/>
        </w:rPr>
        <w:br/>
      </w:r>
      <w:r w:rsidR="00F31B69" w:rsidRPr="004C1BFB">
        <w:t>Energy Policy and Programs</w:t>
      </w:r>
      <w:r w:rsidR="00F31B69">
        <w:br/>
      </w:r>
      <w:r w:rsidR="00F31B69" w:rsidRPr="004C1BFB">
        <w:t>Department of Economic Development, Jobs, Transport and Resources</w:t>
      </w:r>
      <w:r w:rsidR="00F31B69">
        <w:br/>
      </w:r>
      <w:r w:rsidR="00F31B69" w:rsidRPr="004C1BFB">
        <w:t>GPO Box 4509</w:t>
      </w:r>
      <w:r w:rsidR="00F31B69">
        <w:br/>
      </w:r>
      <w:r w:rsidR="00F31B69" w:rsidRPr="004C1BFB">
        <w:t>Melbourne VIC 3001</w:t>
      </w:r>
    </w:p>
    <w:p w:rsidR="00F31B69" w:rsidRDefault="00F31B69" w:rsidP="00F31B69">
      <w:pPr>
        <w:pStyle w:val="heading2black"/>
      </w:pPr>
      <w:r>
        <w:t>Closing date for submissions</w:t>
      </w:r>
    </w:p>
    <w:p w:rsidR="00F31B69" w:rsidRDefault="00F31B69" w:rsidP="00F31B69">
      <w:pPr>
        <w:pStyle w:val="bodycopy"/>
        <w:rPr>
          <w:rStyle w:val="Hyperlink"/>
          <w:rFonts w:cs="Times New Roman"/>
          <w:szCs w:val="24"/>
        </w:rPr>
      </w:pPr>
      <w:r w:rsidRPr="00B87025">
        <w:t xml:space="preserve">Please refer to </w:t>
      </w:r>
      <w:r>
        <w:t xml:space="preserve">the departmental </w:t>
      </w:r>
      <w:r w:rsidRPr="00B87025">
        <w:t>website for the closing date:</w:t>
      </w:r>
      <w:r>
        <w:br/>
      </w:r>
      <w:hyperlink r:id="rId16" w:history="1">
        <w:r w:rsidRPr="00AE678C">
          <w:rPr>
            <w:rStyle w:val="Hyperlink"/>
            <w:rFonts w:cs="Times New Roman"/>
            <w:szCs w:val="24"/>
          </w:rPr>
          <w:t>www.energyandresources.vic.gov.au/esi</w:t>
        </w:r>
      </w:hyperlink>
    </w:p>
    <w:p w:rsidR="002656B3" w:rsidRPr="00912E39" w:rsidRDefault="002656B3" w:rsidP="00912E39">
      <w:pPr>
        <w:pStyle w:val="heading2black"/>
      </w:pPr>
      <w:r w:rsidRPr="00912E39">
        <w:t>Confidentiality</w:t>
      </w:r>
    </w:p>
    <w:p w:rsidR="001344F4" w:rsidRPr="001F418F" w:rsidRDefault="001344F4" w:rsidP="001344F4">
      <w:pPr>
        <w:pStyle w:val="bodycopy"/>
        <w:rPr>
          <w:rStyle w:val="Hyperlink"/>
          <w:rFonts w:cs="Times New Roman"/>
          <w:szCs w:val="24"/>
        </w:rPr>
      </w:pPr>
      <w:r>
        <w:rPr>
          <w:rFonts w:ascii="Helvetica" w:hAnsi="Helvetica" w:cs="Helvetica"/>
          <w:color w:val="5F5F5F"/>
        </w:rPr>
        <w:t xml:space="preserve">Submissions may be published on the website. Please indicate if the submission, or sections within the submission, </w:t>
      </w:r>
      <w:r w:rsidR="00880FEF">
        <w:rPr>
          <w:rFonts w:ascii="Helvetica" w:hAnsi="Helvetica" w:cs="Helvetica"/>
          <w:color w:val="5F5F5F"/>
        </w:rPr>
        <w:t>is</w:t>
      </w:r>
      <w:r>
        <w:rPr>
          <w:rFonts w:ascii="Helvetica" w:hAnsi="Helvetica" w:cs="Helvetica"/>
          <w:color w:val="5F5F5F"/>
        </w:rPr>
        <w:t xml:space="preserve"> confidential or contain</w:t>
      </w:r>
      <w:r w:rsidR="00880FEF">
        <w:rPr>
          <w:rFonts w:ascii="Helvetica" w:hAnsi="Helvetica" w:cs="Helvetica"/>
          <w:color w:val="5F5F5F"/>
        </w:rPr>
        <w:t>s</w:t>
      </w:r>
      <w:r>
        <w:rPr>
          <w:rFonts w:ascii="Helvetica" w:hAnsi="Helvetica" w:cs="Helvetica"/>
          <w:color w:val="5F5F5F"/>
        </w:rPr>
        <w:t xml:space="preserve"> sensitive information that is not for publication. </w:t>
      </w:r>
    </w:p>
    <w:p w:rsidR="00F31B69" w:rsidRDefault="00F31B69" w:rsidP="00F31B69">
      <w:pPr>
        <w:pStyle w:val="heading1blue"/>
      </w:pPr>
      <w:r>
        <w:t>Authorisation</w:t>
      </w:r>
    </w:p>
    <w:p w:rsidR="00F31B69" w:rsidRDefault="00F31B69" w:rsidP="00F31B69">
      <w:pPr>
        <w:pStyle w:val="bodycopy"/>
      </w:pPr>
      <w:bookmarkStart w:id="0" w:name="_GoBack"/>
      <w:bookmarkEnd w:id="0"/>
      <w:r>
        <w:t>Department of Economic Development, Jobs, Transport and Resources</w:t>
      </w:r>
    </w:p>
    <w:p w:rsidR="00F31B69" w:rsidRDefault="00F31B69" w:rsidP="00F31B69">
      <w:pPr>
        <w:pStyle w:val="bodycopy"/>
      </w:pPr>
      <w:r>
        <w:t>1 Spring Street Melbourne Victoria 3000</w:t>
      </w:r>
    </w:p>
    <w:p w:rsidR="00F31B69" w:rsidRDefault="00F31B69" w:rsidP="00F31B69">
      <w:pPr>
        <w:pStyle w:val="bodycopy"/>
      </w:pPr>
      <w:r w:rsidRPr="00622A86">
        <w:t>Telephone (03) 9651 9999</w:t>
      </w:r>
    </w:p>
    <w:p w:rsidR="00F31B69" w:rsidRDefault="00F31B69" w:rsidP="00F31B69">
      <w:pPr>
        <w:pStyle w:val="bodycopy"/>
      </w:pPr>
      <w:r>
        <w:t xml:space="preserve">© Copyright State of Victoria, </w:t>
      </w:r>
    </w:p>
    <w:p w:rsidR="00F31B69" w:rsidRDefault="00F31B69" w:rsidP="00F31B69">
      <w:pPr>
        <w:pStyle w:val="bodycopy"/>
      </w:pPr>
      <w:r>
        <w:t>Department of Economic Development, Jobs, Transport and Resources 2016</w:t>
      </w:r>
    </w:p>
    <w:p w:rsidR="00F31B69" w:rsidRDefault="00F31B69" w:rsidP="00F31B69">
      <w:pPr>
        <w:pStyle w:val="bodycopy"/>
      </w:pPr>
      <w:r>
        <w:t>Except for any logos, emblems, trademarks, artwork and photography this document is made available under the terms of the Creative Commons Attribution 3.0 Australia license.</w:t>
      </w:r>
    </w:p>
    <w:p w:rsidR="00F31B69" w:rsidRDefault="00F31B69" w:rsidP="00F31B69">
      <w:pPr>
        <w:pStyle w:val="bodycopy"/>
      </w:pPr>
      <w:r>
        <w:t xml:space="preserve">This document is also available in an accessible format at </w:t>
      </w:r>
      <w:hyperlink r:id="rId17" w:history="1">
        <w:r w:rsidRPr="00FC26FF">
          <w:rPr>
            <w:rStyle w:val="Hyperlink"/>
          </w:rPr>
          <w:t>www.economicdevelopment.vic.gov.au</w:t>
        </w:r>
      </w:hyperlink>
      <w:r>
        <w:t xml:space="preserve"> </w:t>
      </w:r>
    </w:p>
    <w:p w:rsidR="00DA5B3D" w:rsidRDefault="00DA5B3D" w:rsidP="00DB0772">
      <w:pPr>
        <w:pStyle w:val="bodycopy"/>
      </w:pPr>
    </w:p>
    <w:p w:rsidR="000F6C1A" w:rsidRDefault="000F6C1A" w:rsidP="00DB0772">
      <w:pPr>
        <w:pStyle w:val="bodycopy"/>
      </w:pPr>
    </w:p>
    <w:p w:rsidR="009307B4" w:rsidRDefault="009307B4" w:rsidP="00DB0772">
      <w:pPr>
        <w:pStyle w:val="bodycopy"/>
      </w:pPr>
    </w:p>
    <w:p w:rsidR="009307B4" w:rsidRPr="00DA5B3D" w:rsidRDefault="009307B4" w:rsidP="00DB0772">
      <w:pPr>
        <w:pStyle w:val="bodycopy"/>
      </w:pPr>
    </w:p>
    <w:sectPr w:rsidR="009307B4" w:rsidRPr="00DA5B3D" w:rsidSect="009307B4">
      <w:type w:val="continuous"/>
      <w:pgSz w:w="11906" w:h="16838"/>
      <w:pgMar w:top="1701" w:right="1440" w:bottom="1440" w:left="1440" w:header="709" w:footer="567"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D6" w:rsidRDefault="00715BD6" w:rsidP="00D21116">
      <w:r>
        <w:separator/>
      </w:r>
    </w:p>
  </w:endnote>
  <w:endnote w:type="continuationSeparator" w:id="0">
    <w:p w:rsidR="00715BD6" w:rsidRDefault="00715BD6" w:rsidP="00D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61779"/>
      <w:docPartObj>
        <w:docPartGallery w:val="Page Numbers (Bottom of Page)"/>
        <w:docPartUnique/>
      </w:docPartObj>
    </w:sdtPr>
    <w:sdtEndPr/>
    <w:sdtContent>
      <w:sdt>
        <w:sdtPr>
          <w:id w:val="-1669238322"/>
          <w:docPartObj>
            <w:docPartGallery w:val="Page Numbers (Top of Page)"/>
            <w:docPartUnique/>
          </w:docPartObj>
        </w:sdtPr>
        <w:sdtEndPr/>
        <w:sdtContent>
          <w:p w:rsidR="00984B93" w:rsidRPr="00F62A4A" w:rsidRDefault="00542E17" w:rsidP="0026126A">
            <w:pPr>
              <w:pStyle w:val="Footer"/>
              <w:tabs>
                <w:tab w:val="clear" w:pos="9026"/>
                <w:tab w:val="right" w:pos="9072"/>
              </w:tabs>
            </w:pPr>
            <w:r w:rsidRPr="00542E17">
              <w:rPr>
                <w:color w:val="064EA8"/>
              </w:rPr>
              <w:t xml:space="preserve"> </w:t>
            </w:r>
            <w:r>
              <w:rPr>
                <w:color w:val="064EA8"/>
              </w:rPr>
              <w:t xml:space="preserve">Victorian Energy Efficiency Target (VEET) scheme </w:t>
            </w:r>
            <w:r w:rsidR="00FB1D46">
              <w:rPr>
                <w:color w:val="064EA8"/>
              </w:rPr>
              <w:t xml:space="preserve">– </w:t>
            </w:r>
            <w:r w:rsidR="00FB1D46" w:rsidRPr="00912E39">
              <w:rPr>
                <w:i/>
                <w:color w:val="064EA8"/>
              </w:rPr>
              <w:t>Measurement and Verification (M&amp;V)</w:t>
            </w:r>
            <w:r w:rsidR="00984B93">
              <w:tab/>
            </w:r>
            <w:r w:rsidR="00984B93">
              <w:tab/>
            </w:r>
            <w:r w:rsidR="00984B93">
              <w:rPr>
                <w:b/>
                <w:bCs/>
              </w:rPr>
              <w:fldChar w:fldCharType="begin"/>
            </w:r>
            <w:r w:rsidR="00984B93">
              <w:rPr>
                <w:b/>
                <w:bCs/>
              </w:rPr>
              <w:instrText xml:space="preserve"> PAGE </w:instrText>
            </w:r>
            <w:r w:rsidR="00984B93">
              <w:rPr>
                <w:b/>
                <w:bCs/>
              </w:rPr>
              <w:fldChar w:fldCharType="separate"/>
            </w:r>
            <w:r w:rsidR="004F163C">
              <w:rPr>
                <w:b/>
                <w:bCs/>
                <w:noProof/>
              </w:rPr>
              <w:t>5</w:t>
            </w:r>
            <w:r w:rsidR="00984B93">
              <w:rPr>
                <w:b/>
                <w:bCs/>
              </w:rPr>
              <w:fldChar w:fldCharType="end"/>
            </w:r>
            <w:r w:rsidR="00984B93">
              <w:t xml:space="preserve"> of </w:t>
            </w:r>
            <w:r w:rsidR="00984B93">
              <w:rPr>
                <w:b/>
                <w:bCs/>
              </w:rPr>
              <w:fldChar w:fldCharType="begin"/>
            </w:r>
            <w:r w:rsidR="00984B93">
              <w:rPr>
                <w:b/>
                <w:bCs/>
              </w:rPr>
              <w:instrText xml:space="preserve"> NUMPAGES  </w:instrText>
            </w:r>
            <w:r w:rsidR="00984B93">
              <w:rPr>
                <w:b/>
                <w:bCs/>
              </w:rPr>
              <w:fldChar w:fldCharType="separate"/>
            </w:r>
            <w:r w:rsidR="004F163C">
              <w:rPr>
                <w:b/>
                <w:bCs/>
                <w:noProof/>
              </w:rPr>
              <w:t>5</w:t>
            </w:r>
            <w:r w:rsidR="00984B93">
              <w:rPr>
                <w:b/>
                <w:bCs/>
              </w:rPr>
              <w:fldChar w:fldCharType="end"/>
            </w:r>
            <w:r w:rsidR="00984B93">
              <w:rPr>
                <w:b/>
                <w:bCs/>
              </w:rPr>
              <w:tab/>
            </w:r>
            <w:r w:rsidR="00984B93">
              <w:rPr>
                <w:b/>
                <w:bCs/>
              </w:rPr>
              <w:tab/>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93" w:rsidRDefault="00984B93" w:rsidP="00745D4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D6" w:rsidRDefault="00715BD6" w:rsidP="00D21116">
      <w:r>
        <w:separator/>
      </w:r>
    </w:p>
  </w:footnote>
  <w:footnote w:type="continuationSeparator" w:id="0">
    <w:p w:rsidR="00715BD6" w:rsidRDefault="00715BD6" w:rsidP="00D21116">
      <w:r>
        <w:continuationSeparator/>
      </w:r>
    </w:p>
  </w:footnote>
  <w:footnote w:id="1">
    <w:p w:rsidR="00984B93" w:rsidRDefault="00984B93">
      <w:pPr>
        <w:pStyle w:val="FootnoteText"/>
      </w:pPr>
      <w:r>
        <w:rPr>
          <w:rStyle w:val="FootnoteReference"/>
        </w:rPr>
        <w:footnoteRef/>
      </w:r>
      <w:r>
        <w:t xml:space="preserve"> </w:t>
      </w:r>
      <w:r w:rsidR="00CA08B4">
        <w:t>For</w:t>
      </w:r>
      <w:r>
        <w:t xml:space="preserve"> consistency with other VEET methods.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93" w:rsidRDefault="00984B93" w:rsidP="001F6527">
    <w:pPr>
      <w:pStyle w:val="infosheettitle"/>
    </w:pPr>
    <w:r>
      <w:rPr>
        <w:noProof/>
      </w:rPr>
      <w:drawing>
        <wp:anchor distT="0" distB="0" distL="114300" distR="114300" simplePos="0" relativeHeight="251661312" behindDoc="1" locked="0" layoutInCell="1" allowOverlap="1" wp14:anchorId="770D977B" wp14:editId="5F7932CE">
          <wp:simplePos x="0" y="0"/>
          <wp:positionH relativeFrom="page">
            <wp:posOffset>10795</wp:posOffset>
          </wp:positionH>
          <wp:positionV relativeFrom="page">
            <wp:posOffset>13022</wp:posOffset>
          </wp:positionV>
          <wp:extent cx="7560000" cy="720000"/>
          <wp:effectExtent l="0" t="0" r="0" b="0"/>
          <wp:wrapNone/>
          <wp:docPr id="2" name="Picture 2" descr="../Word%20Element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20Elements/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4B93" w:rsidRPr="00D21116" w:rsidRDefault="00984B93" w:rsidP="001F6527">
    <w:pPr>
      <w:pStyle w:val="infosheettit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93" w:rsidRDefault="00984B93" w:rsidP="001F6527">
    <w:pPr>
      <w:pStyle w:val="infosheettitle"/>
    </w:pPr>
    <w:r>
      <w:rPr>
        <w:noProof/>
      </w:rPr>
      <w:drawing>
        <wp:anchor distT="0" distB="0" distL="114300" distR="114300" simplePos="0" relativeHeight="251663360" behindDoc="1" locked="0" layoutInCell="1" allowOverlap="1" wp14:anchorId="479F030B" wp14:editId="3A44A0A7">
          <wp:simplePos x="0" y="0"/>
          <wp:positionH relativeFrom="page">
            <wp:posOffset>4445</wp:posOffset>
          </wp:positionH>
          <wp:positionV relativeFrom="page">
            <wp:posOffset>65405</wp:posOffset>
          </wp:positionV>
          <wp:extent cx="7560000" cy="10692000"/>
          <wp:effectExtent l="0" t="0" r="3175" b="0"/>
          <wp:wrapNone/>
          <wp:docPr id="1" name="Picture 1" descr="../Word%20Templates/Word%20Elements/Factsheet/9144%20DEDJTR%20Brand%20Vic%20factsheets%20template_Working%20fi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20Templates/Word%20Elements/Factsheet/9144%20DEDJTR%20Brand%20Vic%20factsheets%20template_Working%20file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4B93" w:rsidRDefault="00984B93" w:rsidP="001F6527">
    <w:pPr>
      <w:pStyle w:val="infosheettitle"/>
    </w:pPr>
    <w:r>
      <w:t>Victorian Energy Efficiency Target (VEET) scheme</w:t>
    </w:r>
  </w:p>
  <w:p w:rsidR="001E4EB9" w:rsidRDefault="001E4EB9" w:rsidP="001F6527">
    <w:pPr>
      <w:pStyle w:val="infosheetsubtitle"/>
    </w:pPr>
    <w:r>
      <w:t xml:space="preserve">New </w:t>
    </w:r>
    <w:r w:rsidR="00D55620">
      <w:t xml:space="preserve">Project Based </w:t>
    </w:r>
    <w:r>
      <w:t>Activity method:</w:t>
    </w:r>
  </w:p>
  <w:p w:rsidR="00984B93" w:rsidRPr="00912E39" w:rsidRDefault="00984B93" w:rsidP="001F6527">
    <w:pPr>
      <w:pStyle w:val="infosheetsubtitle"/>
      <w:rPr>
        <w:i/>
      </w:rPr>
    </w:pPr>
    <w:r w:rsidRPr="00912E39">
      <w:rPr>
        <w:i/>
      </w:rPr>
      <w:t>Measurement</w:t>
    </w:r>
    <w:r w:rsidR="00D55620" w:rsidRPr="00912E39">
      <w:rPr>
        <w:i/>
      </w:rPr>
      <w:t xml:space="preserve"> </w:t>
    </w:r>
    <w:r w:rsidR="001E4EB9">
      <w:rPr>
        <w:i/>
      </w:rPr>
      <w:t xml:space="preserve">and </w:t>
    </w:r>
    <w:r w:rsidR="00D55620" w:rsidRPr="00912E39">
      <w:rPr>
        <w:i/>
      </w:rPr>
      <w:t>Verification</w:t>
    </w:r>
    <w:r w:rsidR="001E4EB9">
      <w:rPr>
        <w:i/>
      </w:rPr>
      <w:t xml:space="preserve"> (M&amp;V)</w:t>
    </w:r>
  </w:p>
  <w:p w:rsidR="00984B93" w:rsidRDefault="00984B93" w:rsidP="001F6527">
    <w:pPr>
      <w:pStyle w:val="infosheetsub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CA474E6"/>
    <w:multiLevelType w:val="hybridMultilevel"/>
    <w:tmpl w:val="E594E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564269AD"/>
    <w:multiLevelType w:val="hybridMultilevel"/>
    <w:tmpl w:val="AD74E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7A722B64"/>
    <w:multiLevelType w:val="hybridMultilevel"/>
    <w:tmpl w:val="C4AA3AC0"/>
    <w:lvl w:ilvl="0" w:tplc="836C6188">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ula Alexiadis">
    <w15:presenceInfo w15:providerId="AD" w15:userId="S-1-5-21-4027214525-3069623560-2743527757-23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116"/>
    <w:rsid w:val="00055849"/>
    <w:rsid w:val="00061B5B"/>
    <w:rsid w:val="00081ED5"/>
    <w:rsid w:val="000C6715"/>
    <w:rsid w:val="000D009C"/>
    <w:rsid w:val="000E5362"/>
    <w:rsid w:val="000F6C1A"/>
    <w:rsid w:val="0010116E"/>
    <w:rsid w:val="001041F3"/>
    <w:rsid w:val="001344F4"/>
    <w:rsid w:val="001576FE"/>
    <w:rsid w:val="001673B3"/>
    <w:rsid w:val="0017653B"/>
    <w:rsid w:val="00194B40"/>
    <w:rsid w:val="001A4BCA"/>
    <w:rsid w:val="001B231A"/>
    <w:rsid w:val="001B2AD4"/>
    <w:rsid w:val="001C3026"/>
    <w:rsid w:val="001D0FCD"/>
    <w:rsid w:val="001D26CA"/>
    <w:rsid w:val="001E4EB9"/>
    <w:rsid w:val="001F6527"/>
    <w:rsid w:val="002109BE"/>
    <w:rsid w:val="00252149"/>
    <w:rsid w:val="0026126A"/>
    <w:rsid w:val="002619C4"/>
    <w:rsid w:val="0026215C"/>
    <w:rsid w:val="00264E3D"/>
    <w:rsid w:val="002656B3"/>
    <w:rsid w:val="002930C3"/>
    <w:rsid w:val="002A315C"/>
    <w:rsid w:val="002D33B9"/>
    <w:rsid w:val="002E7CA0"/>
    <w:rsid w:val="00315404"/>
    <w:rsid w:val="0031573F"/>
    <w:rsid w:val="0033283A"/>
    <w:rsid w:val="00342D47"/>
    <w:rsid w:val="003477C5"/>
    <w:rsid w:val="00364190"/>
    <w:rsid w:val="003743A1"/>
    <w:rsid w:val="003D307E"/>
    <w:rsid w:val="00441AB0"/>
    <w:rsid w:val="00452284"/>
    <w:rsid w:val="00467368"/>
    <w:rsid w:val="00484831"/>
    <w:rsid w:val="00486C45"/>
    <w:rsid w:val="00491D61"/>
    <w:rsid w:val="004C0A6F"/>
    <w:rsid w:val="004D497D"/>
    <w:rsid w:val="004F163C"/>
    <w:rsid w:val="00542E17"/>
    <w:rsid w:val="005627EA"/>
    <w:rsid w:val="005A6337"/>
    <w:rsid w:val="00603D74"/>
    <w:rsid w:val="00622A86"/>
    <w:rsid w:val="0063704E"/>
    <w:rsid w:val="00647F38"/>
    <w:rsid w:val="00666BCF"/>
    <w:rsid w:val="00674B7E"/>
    <w:rsid w:val="006A7617"/>
    <w:rsid w:val="006B7428"/>
    <w:rsid w:val="006C55C1"/>
    <w:rsid w:val="006E37BD"/>
    <w:rsid w:val="006F3B79"/>
    <w:rsid w:val="006F7DC9"/>
    <w:rsid w:val="007020F3"/>
    <w:rsid w:val="00715BD6"/>
    <w:rsid w:val="00743F98"/>
    <w:rsid w:val="00745D4D"/>
    <w:rsid w:val="007A212C"/>
    <w:rsid w:val="007A2A82"/>
    <w:rsid w:val="007A43EF"/>
    <w:rsid w:val="0080585B"/>
    <w:rsid w:val="00851558"/>
    <w:rsid w:val="00876A7F"/>
    <w:rsid w:val="00880FEF"/>
    <w:rsid w:val="00887D27"/>
    <w:rsid w:val="008F511C"/>
    <w:rsid w:val="00904AF3"/>
    <w:rsid w:val="00910E43"/>
    <w:rsid w:val="00912C01"/>
    <w:rsid w:val="00912E39"/>
    <w:rsid w:val="00914403"/>
    <w:rsid w:val="009307B4"/>
    <w:rsid w:val="00951FC4"/>
    <w:rsid w:val="00984B93"/>
    <w:rsid w:val="009A6587"/>
    <w:rsid w:val="009B5C6A"/>
    <w:rsid w:val="009C00F6"/>
    <w:rsid w:val="009C56B0"/>
    <w:rsid w:val="009E3451"/>
    <w:rsid w:val="00A15297"/>
    <w:rsid w:val="00A30666"/>
    <w:rsid w:val="00A3321B"/>
    <w:rsid w:val="00AC55D5"/>
    <w:rsid w:val="00B247D7"/>
    <w:rsid w:val="00B46B96"/>
    <w:rsid w:val="00B52B31"/>
    <w:rsid w:val="00B77DC1"/>
    <w:rsid w:val="00B80943"/>
    <w:rsid w:val="00B8142E"/>
    <w:rsid w:val="00B8415E"/>
    <w:rsid w:val="00BA2949"/>
    <w:rsid w:val="00BA4252"/>
    <w:rsid w:val="00BA5FDB"/>
    <w:rsid w:val="00BB52BA"/>
    <w:rsid w:val="00BB7E34"/>
    <w:rsid w:val="00BC4791"/>
    <w:rsid w:val="00C20997"/>
    <w:rsid w:val="00C53238"/>
    <w:rsid w:val="00C659E3"/>
    <w:rsid w:val="00C663E5"/>
    <w:rsid w:val="00C879A3"/>
    <w:rsid w:val="00CA08B4"/>
    <w:rsid w:val="00CC3379"/>
    <w:rsid w:val="00CC6EBB"/>
    <w:rsid w:val="00CD4E9D"/>
    <w:rsid w:val="00CE0066"/>
    <w:rsid w:val="00D00EDE"/>
    <w:rsid w:val="00D20003"/>
    <w:rsid w:val="00D21116"/>
    <w:rsid w:val="00D227D2"/>
    <w:rsid w:val="00D27E79"/>
    <w:rsid w:val="00D40D24"/>
    <w:rsid w:val="00D41044"/>
    <w:rsid w:val="00D423F8"/>
    <w:rsid w:val="00D55620"/>
    <w:rsid w:val="00D63A4E"/>
    <w:rsid w:val="00D74159"/>
    <w:rsid w:val="00D76005"/>
    <w:rsid w:val="00D7691A"/>
    <w:rsid w:val="00D8505D"/>
    <w:rsid w:val="00D85D98"/>
    <w:rsid w:val="00DA5B3D"/>
    <w:rsid w:val="00DA74F9"/>
    <w:rsid w:val="00DB0772"/>
    <w:rsid w:val="00DB0DEC"/>
    <w:rsid w:val="00DC0E0F"/>
    <w:rsid w:val="00DF6449"/>
    <w:rsid w:val="00E468D5"/>
    <w:rsid w:val="00E70D87"/>
    <w:rsid w:val="00ED3D10"/>
    <w:rsid w:val="00F16C04"/>
    <w:rsid w:val="00F31B69"/>
    <w:rsid w:val="00F62A4A"/>
    <w:rsid w:val="00F64309"/>
    <w:rsid w:val="00F854F5"/>
    <w:rsid w:val="00F93E0B"/>
    <w:rsid w:val="00FB1D46"/>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72"/>
    <w:rPr>
      <w:rFonts w:ascii="Arial" w:hAnsi="Arial"/>
      <w:color w:val="53565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qFormat/>
    <w:rsid w:val="00BA2949"/>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Normal"/>
    <w:next w:val="bodycopy"/>
    <w:qFormat/>
    <w:rsid w:val="00D41044"/>
    <w:pPr>
      <w:spacing w:before="300" w:after="360" w:line="320" w:lineRule="atLeast"/>
    </w:pPr>
    <w:rPr>
      <w:rFonts w:cs="Arial"/>
      <w:color w:val="064EA8"/>
      <w:spacing w:val="-10"/>
      <w:sz w:val="28"/>
      <w:szCs w:val="20"/>
    </w:rPr>
  </w:style>
  <w:style w:type="paragraph" w:customStyle="1" w:styleId="bodycopy">
    <w:name w:val="# body copy"/>
    <w:basedOn w:val="Normal"/>
    <w:qFormat/>
    <w:rsid w:val="00DB0772"/>
    <w:pPr>
      <w:spacing w:after="120"/>
    </w:pPr>
    <w:rPr>
      <w:rFonts w:cs="Arial"/>
      <w:szCs w:val="20"/>
    </w:rPr>
  </w:style>
  <w:style w:type="paragraph" w:customStyle="1" w:styleId="dotpoints">
    <w:name w:val="# dot points"/>
    <w:basedOn w:val="Normal"/>
    <w:link w:val="dotpointsChar"/>
    <w:qFormat/>
    <w:rsid w:val="00055849"/>
    <w:pPr>
      <w:keepLines/>
      <w:numPr>
        <w:numId w:val="1"/>
      </w:numPr>
      <w:spacing w:before="180" w:after="180" w:line="300" w:lineRule="auto"/>
      <w:ind w:left="357" w:hanging="357"/>
      <w:contextualSpacing/>
    </w:pPr>
    <w:rPr>
      <w:rFonts w:cs="Arial"/>
      <w:szCs w:val="20"/>
    </w:rPr>
  </w:style>
  <w:style w:type="character" w:customStyle="1" w:styleId="dotpointsChar">
    <w:name w:val="# dot points Char"/>
    <w:basedOn w:val="DefaultParagraphFont"/>
    <w:link w:val="dotpoints"/>
    <w:rsid w:val="00055849"/>
    <w:rPr>
      <w:rFonts w:ascii="Tahoma" w:hAnsi="Tahoma" w:cs="Arial"/>
      <w:color w:val="000000" w:themeColor="text1"/>
    </w:rPr>
  </w:style>
  <w:style w:type="paragraph" w:customStyle="1" w:styleId="heading2black">
    <w:name w:val="# heading 2 black"/>
    <w:basedOn w:val="Normal"/>
    <w:next w:val="bodycopy"/>
    <w:qFormat/>
    <w:rsid w:val="00C659E3"/>
    <w:pPr>
      <w:keepNext/>
      <w:spacing w:before="240" w:after="120"/>
    </w:pPr>
    <w:rPr>
      <w:rFonts w:cs="Arial"/>
      <w:b/>
      <w:color w:val="auto"/>
      <w:szCs w:val="20"/>
    </w:rPr>
  </w:style>
  <w:style w:type="paragraph" w:customStyle="1" w:styleId="instructions">
    <w:name w:val="instructions"/>
    <w:basedOn w:val="Normal"/>
    <w:link w:val="instructionsChar"/>
    <w:qFormat/>
    <w:rsid w:val="003743A1"/>
    <w:pPr>
      <w:spacing w:before="60" w:after="120"/>
    </w:pPr>
    <w:rPr>
      <w:color w:val="C0504D" w:themeColor="accent2"/>
      <w:sz w:val="18"/>
      <w:szCs w:val="20"/>
      <w:lang w:eastAsia="en-US"/>
    </w:rPr>
  </w:style>
  <w:style w:type="character" w:customStyle="1" w:styleId="instructionsChar">
    <w:name w:val="instructions Char"/>
    <w:basedOn w:val="DefaultParagraphFont"/>
    <w:link w:val="instructions"/>
    <w:rsid w:val="003743A1"/>
    <w:rPr>
      <w:rFonts w:ascii="Arial" w:hAnsi="Arial"/>
      <w:color w:val="C0504D" w:themeColor="accent2"/>
      <w:sz w:val="18"/>
      <w:lang w:eastAsia="en-US"/>
    </w:rPr>
  </w:style>
  <w:style w:type="paragraph" w:customStyle="1" w:styleId="heading1blue">
    <w:name w:val="# heading 1 blue"/>
    <w:basedOn w:val="Normal"/>
    <w:next w:val="bodycopy"/>
    <w:qFormat/>
    <w:rsid w:val="00C659E3"/>
    <w:pPr>
      <w:keepNext/>
      <w:spacing w:before="240" w:after="120"/>
    </w:pPr>
    <w:rPr>
      <w:rFonts w:cs="Arial"/>
      <w:color w:val="064EA8"/>
      <w:sz w:val="24"/>
      <w:szCs w:val="20"/>
    </w:rPr>
  </w:style>
  <w:style w:type="paragraph" w:customStyle="1" w:styleId="tablename">
    <w:name w:val="# table name"/>
    <w:basedOn w:val="Normal"/>
    <w:qFormat/>
    <w:rsid w:val="001F6527"/>
    <w:pPr>
      <w:keepNext/>
      <w:spacing w:before="240" w:after="120"/>
    </w:pPr>
    <w:rPr>
      <w:rFonts w:cs="Arial"/>
      <w:b/>
      <w:color w:val="064EA8"/>
      <w:sz w:val="18"/>
      <w:szCs w:val="18"/>
    </w:rPr>
  </w:style>
  <w:style w:type="table" w:styleId="TableGrid">
    <w:name w:val="Table Grid"/>
    <w:basedOn w:val="TableNormal"/>
    <w:uiPriority w:val="5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rFonts w:cs="Arial"/>
      <w:b/>
      <w:color w:val="FFFFFF"/>
      <w:sz w:val="18"/>
      <w:szCs w:val="20"/>
    </w:rPr>
  </w:style>
  <w:style w:type="paragraph" w:customStyle="1" w:styleId="tabletext">
    <w:name w:val="# table text"/>
    <w:basedOn w:val="Normal"/>
    <w:qFormat/>
    <w:rsid w:val="001F6527"/>
    <w:pPr>
      <w:spacing w:before="60" w:after="60"/>
    </w:pPr>
    <w:rPr>
      <w:rFonts w:cs="Arial"/>
      <w:sz w:val="18"/>
      <w:szCs w:val="18"/>
    </w:rPr>
  </w:style>
  <w:style w:type="paragraph" w:styleId="FootnoteText">
    <w:name w:val="footnote text"/>
    <w:basedOn w:val="Normal"/>
    <w:link w:val="FootnoteTextChar"/>
    <w:uiPriority w:val="99"/>
    <w:semiHidden/>
    <w:unhideWhenUsed/>
    <w:rsid w:val="00F16C04"/>
    <w:rPr>
      <w:szCs w:val="20"/>
    </w:rPr>
  </w:style>
  <w:style w:type="character" w:customStyle="1" w:styleId="FootnoteTextChar">
    <w:name w:val="Footnote Text Char"/>
    <w:basedOn w:val="DefaultParagraphFont"/>
    <w:link w:val="FootnoteText"/>
    <w:uiPriority w:val="99"/>
    <w:semiHidden/>
    <w:rsid w:val="00F16C04"/>
    <w:rPr>
      <w:rFonts w:ascii="Arial" w:hAnsi="Arial"/>
      <w:color w:val="53565A"/>
    </w:rPr>
  </w:style>
  <w:style w:type="character" w:styleId="FootnoteReference">
    <w:name w:val="footnote reference"/>
    <w:basedOn w:val="DefaultParagraphFont"/>
    <w:uiPriority w:val="99"/>
    <w:semiHidden/>
    <w:unhideWhenUsed/>
    <w:rsid w:val="00F16C04"/>
    <w:rPr>
      <w:vertAlign w:val="superscript"/>
    </w:rPr>
  </w:style>
  <w:style w:type="character" w:styleId="Hyperlink">
    <w:name w:val="Hyperlink"/>
    <w:basedOn w:val="DefaultParagraphFont"/>
    <w:uiPriority w:val="99"/>
    <w:unhideWhenUsed/>
    <w:rsid w:val="00CA08B4"/>
    <w:rPr>
      <w:color w:val="0000FF" w:themeColor="hyperlink"/>
      <w:u w:val="single"/>
    </w:rPr>
  </w:style>
  <w:style w:type="character" w:styleId="CommentReference">
    <w:name w:val="annotation reference"/>
    <w:basedOn w:val="DefaultParagraphFont"/>
    <w:uiPriority w:val="99"/>
    <w:semiHidden/>
    <w:unhideWhenUsed/>
    <w:rsid w:val="00CA08B4"/>
    <w:rPr>
      <w:sz w:val="16"/>
      <w:szCs w:val="16"/>
    </w:rPr>
  </w:style>
  <w:style w:type="paragraph" w:styleId="CommentText">
    <w:name w:val="annotation text"/>
    <w:basedOn w:val="Normal"/>
    <w:link w:val="CommentTextChar"/>
    <w:uiPriority w:val="99"/>
    <w:semiHidden/>
    <w:unhideWhenUsed/>
    <w:rsid w:val="00CA08B4"/>
    <w:rPr>
      <w:szCs w:val="20"/>
    </w:rPr>
  </w:style>
  <w:style w:type="character" w:customStyle="1" w:styleId="CommentTextChar">
    <w:name w:val="Comment Text Char"/>
    <w:basedOn w:val="DefaultParagraphFont"/>
    <w:link w:val="CommentText"/>
    <w:uiPriority w:val="99"/>
    <w:semiHidden/>
    <w:rsid w:val="00CA08B4"/>
    <w:rPr>
      <w:rFonts w:ascii="Arial" w:hAnsi="Arial"/>
      <w:color w:val="53565A"/>
    </w:rPr>
  </w:style>
  <w:style w:type="paragraph" w:styleId="CommentSubject">
    <w:name w:val="annotation subject"/>
    <w:basedOn w:val="CommentText"/>
    <w:next w:val="CommentText"/>
    <w:link w:val="CommentSubjectChar"/>
    <w:uiPriority w:val="99"/>
    <w:semiHidden/>
    <w:unhideWhenUsed/>
    <w:rsid w:val="00CA08B4"/>
    <w:rPr>
      <w:b/>
      <w:bCs/>
    </w:rPr>
  </w:style>
  <w:style w:type="character" w:customStyle="1" w:styleId="CommentSubjectChar">
    <w:name w:val="Comment Subject Char"/>
    <w:basedOn w:val="CommentTextChar"/>
    <w:link w:val="CommentSubject"/>
    <w:uiPriority w:val="99"/>
    <w:semiHidden/>
    <w:rsid w:val="00CA08B4"/>
    <w:rPr>
      <w:rFonts w:ascii="Arial" w:hAnsi="Arial"/>
      <w:b/>
      <w:bCs/>
      <w:color w:val="53565A"/>
    </w:rPr>
  </w:style>
  <w:style w:type="paragraph" w:styleId="Revision">
    <w:name w:val="Revision"/>
    <w:hidden/>
    <w:uiPriority w:val="99"/>
    <w:semiHidden/>
    <w:rsid w:val="004C0A6F"/>
    <w:rPr>
      <w:rFonts w:ascii="Arial" w:hAnsi="Arial"/>
      <w:color w:val="53565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72"/>
    <w:rPr>
      <w:rFonts w:ascii="Arial" w:hAnsi="Arial"/>
      <w:color w:val="53565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qFormat/>
    <w:rsid w:val="00BA2949"/>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Normal"/>
    <w:next w:val="bodycopy"/>
    <w:qFormat/>
    <w:rsid w:val="00D41044"/>
    <w:pPr>
      <w:spacing w:before="300" w:after="360" w:line="320" w:lineRule="atLeast"/>
    </w:pPr>
    <w:rPr>
      <w:rFonts w:cs="Arial"/>
      <w:color w:val="064EA8"/>
      <w:spacing w:val="-10"/>
      <w:sz w:val="28"/>
      <w:szCs w:val="20"/>
    </w:rPr>
  </w:style>
  <w:style w:type="paragraph" w:customStyle="1" w:styleId="bodycopy">
    <w:name w:val="# body copy"/>
    <w:basedOn w:val="Normal"/>
    <w:qFormat/>
    <w:rsid w:val="00DB0772"/>
    <w:pPr>
      <w:spacing w:after="120"/>
    </w:pPr>
    <w:rPr>
      <w:rFonts w:cs="Arial"/>
      <w:szCs w:val="20"/>
    </w:rPr>
  </w:style>
  <w:style w:type="paragraph" w:customStyle="1" w:styleId="dotpoints">
    <w:name w:val="# dot points"/>
    <w:basedOn w:val="Normal"/>
    <w:link w:val="dotpointsChar"/>
    <w:qFormat/>
    <w:rsid w:val="00055849"/>
    <w:pPr>
      <w:keepLines/>
      <w:numPr>
        <w:numId w:val="1"/>
      </w:numPr>
      <w:spacing w:before="180" w:after="180" w:line="300" w:lineRule="auto"/>
      <w:ind w:left="357" w:hanging="357"/>
      <w:contextualSpacing/>
    </w:pPr>
    <w:rPr>
      <w:rFonts w:cs="Arial"/>
      <w:szCs w:val="20"/>
    </w:rPr>
  </w:style>
  <w:style w:type="character" w:customStyle="1" w:styleId="dotpointsChar">
    <w:name w:val="# dot points Char"/>
    <w:basedOn w:val="DefaultParagraphFont"/>
    <w:link w:val="dotpoints"/>
    <w:rsid w:val="00055849"/>
    <w:rPr>
      <w:rFonts w:ascii="Tahoma" w:hAnsi="Tahoma" w:cs="Arial"/>
      <w:color w:val="000000" w:themeColor="text1"/>
    </w:rPr>
  </w:style>
  <w:style w:type="paragraph" w:customStyle="1" w:styleId="heading2black">
    <w:name w:val="# heading 2 black"/>
    <w:basedOn w:val="Normal"/>
    <w:next w:val="bodycopy"/>
    <w:qFormat/>
    <w:rsid w:val="00C659E3"/>
    <w:pPr>
      <w:keepNext/>
      <w:spacing w:before="240" w:after="120"/>
    </w:pPr>
    <w:rPr>
      <w:rFonts w:cs="Arial"/>
      <w:b/>
      <w:color w:val="auto"/>
      <w:szCs w:val="20"/>
    </w:rPr>
  </w:style>
  <w:style w:type="paragraph" w:customStyle="1" w:styleId="instructions">
    <w:name w:val="instructions"/>
    <w:basedOn w:val="Normal"/>
    <w:link w:val="instructionsChar"/>
    <w:qFormat/>
    <w:rsid w:val="003743A1"/>
    <w:pPr>
      <w:spacing w:before="60" w:after="120"/>
    </w:pPr>
    <w:rPr>
      <w:color w:val="C0504D" w:themeColor="accent2"/>
      <w:sz w:val="18"/>
      <w:szCs w:val="20"/>
      <w:lang w:eastAsia="en-US"/>
    </w:rPr>
  </w:style>
  <w:style w:type="character" w:customStyle="1" w:styleId="instructionsChar">
    <w:name w:val="instructions Char"/>
    <w:basedOn w:val="DefaultParagraphFont"/>
    <w:link w:val="instructions"/>
    <w:rsid w:val="003743A1"/>
    <w:rPr>
      <w:rFonts w:ascii="Arial" w:hAnsi="Arial"/>
      <w:color w:val="C0504D" w:themeColor="accent2"/>
      <w:sz w:val="18"/>
      <w:lang w:eastAsia="en-US"/>
    </w:rPr>
  </w:style>
  <w:style w:type="paragraph" w:customStyle="1" w:styleId="heading1blue">
    <w:name w:val="# heading 1 blue"/>
    <w:basedOn w:val="Normal"/>
    <w:next w:val="bodycopy"/>
    <w:qFormat/>
    <w:rsid w:val="00C659E3"/>
    <w:pPr>
      <w:keepNext/>
      <w:spacing w:before="240" w:after="120"/>
    </w:pPr>
    <w:rPr>
      <w:rFonts w:cs="Arial"/>
      <w:color w:val="064EA8"/>
      <w:sz w:val="24"/>
      <w:szCs w:val="20"/>
    </w:rPr>
  </w:style>
  <w:style w:type="paragraph" w:customStyle="1" w:styleId="tablename">
    <w:name w:val="# table name"/>
    <w:basedOn w:val="Normal"/>
    <w:qFormat/>
    <w:rsid w:val="001F6527"/>
    <w:pPr>
      <w:keepNext/>
      <w:spacing w:before="240" w:after="120"/>
    </w:pPr>
    <w:rPr>
      <w:rFonts w:cs="Arial"/>
      <w:b/>
      <w:color w:val="064EA8"/>
      <w:sz w:val="18"/>
      <w:szCs w:val="18"/>
    </w:rPr>
  </w:style>
  <w:style w:type="table" w:styleId="TableGrid">
    <w:name w:val="Table Grid"/>
    <w:basedOn w:val="TableNormal"/>
    <w:uiPriority w:val="5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rFonts w:cs="Arial"/>
      <w:b/>
      <w:color w:val="FFFFFF"/>
      <w:sz w:val="18"/>
      <w:szCs w:val="20"/>
    </w:rPr>
  </w:style>
  <w:style w:type="paragraph" w:customStyle="1" w:styleId="tabletext">
    <w:name w:val="# table text"/>
    <w:basedOn w:val="Normal"/>
    <w:qFormat/>
    <w:rsid w:val="001F6527"/>
    <w:pPr>
      <w:spacing w:before="60" w:after="60"/>
    </w:pPr>
    <w:rPr>
      <w:rFonts w:cs="Arial"/>
      <w:sz w:val="18"/>
      <w:szCs w:val="18"/>
    </w:rPr>
  </w:style>
  <w:style w:type="paragraph" w:styleId="FootnoteText">
    <w:name w:val="footnote text"/>
    <w:basedOn w:val="Normal"/>
    <w:link w:val="FootnoteTextChar"/>
    <w:uiPriority w:val="99"/>
    <w:semiHidden/>
    <w:unhideWhenUsed/>
    <w:rsid w:val="00F16C04"/>
    <w:rPr>
      <w:szCs w:val="20"/>
    </w:rPr>
  </w:style>
  <w:style w:type="character" w:customStyle="1" w:styleId="FootnoteTextChar">
    <w:name w:val="Footnote Text Char"/>
    <w:basedOn w:val="DefaultParagraphFont"/>
    <w:link w:val="FootnoteText"/>
    <w:uiPriority w:val="99"/>
    <w:semiHidden/>
    <w:rsid w:val="00F16C04"/>
    <w:rPr>
      <w:rFonts w:ascii="Arial" w:hAnsi="Arial"/>
      <w:color w:val="53565A"/>
    </w:rPr>
  </w:style>
  <w:style w:type="character" w:styleId="FootnoteReference">
    <w:name w:val="footnote reference"/>
    <w:basedOn w:val="DefaultParagraphFont"/>
    <w:uiPriority w:val="99"/>
    <w:semiHidden/>
    <w:unhideWhenUsed/>
    <w:rsid w:val="00F16C04"/>
    <w:rPr>
      <w:vertAlign w:val="superscript"/>
    </w:rPr>
  </w:style>
  <w:style w:type="character" w:styleId="Hyperlink">
    <w:name w:val="Hyperlink"/>
    <w:basedOn w:val="DefaultParagraphFont"/>
    <w:uiPriority w:val="99"/>
    <w:unhideWhenUsed/>
    <w:rsid w:val="00CA08B4"/>
    <w:rPr>
      <w:color w:val="0000FF" w:themeColor="hyperlink"/>
      <w:u w:val="single"/>
    </w:rPr>
  </w:style>
  <w:style w:type="character" w:styleId="CommentReference">
    <w:name w:val="annotation reference"/>
    <w:basedOn w:val="DefaultParagraphFont"/>
    <w:uiPriority w:val="99"/>
    <w:semiHidden/>
    <w:unhideWhenUsed/>
    <w:rsid w:val="00CA08B4"/>
    <w:rPr>
      <w:sz w:val="16"/>
      <w:szCs w:val="16"/>
    </w:rPr>
  </w:style>
  <w:style w:type="paragraph" w:styleId="CommentText">
    <w:name w:val="annotation text"/>
    <w:basedOn w:val="Normal"/>
    <w:link w:val="CommentTextChar"/>
    <w:uiPriority w:val="99"/>
    <w:semiHidden/>
    <w:unhideWhenUsed/>
    <w:rsid w:val="00CA08B4"/>
    <w:rPr>
      <w:szCs w:val="20"/>
    </w:rPr>
  </w:style>
  <w:style w:type="character" w:customStyle="1" w:styleId="CommentTextChar">
    <w:name w:val="Comment Text Char"/>
    <w:basedOn w:val="DefaultParagraphFont"/>
    <w:link w:val="CommentText"/>
    <w:uiPriority w:val="99"/>
    <w:semiHidden/>
    <w:rsid w:val="00CA08B4"/>
    <w:rPr>
      <w:rFonts w:ascii="Arial" w:hAnsi="Arial"/>
      <w:color w:val="53565A"/>
    </w:rPr>
  </w:style>
  <w:style w:type="paragraph" w:styleId="CommentSubject">
    <w:name w:val="annotation subject"/>
    <w:basedOn w:val="CommentText"/>
    <w:next w:val="CommentText"/>
    <w:link w:val="CommentSubjectChar"/>
    <w:uiPriority w:val="99"/>
    <w:semiHidden/>
    <w:unhideWhenUsed/>
    <w:rsid w:val="00CA08B4"/>
    <w:rPr>
      <w:b/>
      <w:bCs/>
    </w:rPr>
  </w:style>
  <w:style w:type="character" w:customStyle="1" w:styleId="CommentSubjectChar">
    <w:name w:val="Comment Subject Char"/>
    <w:basedOn w:val="CommentTextChar"/>
    <w:link w:val="CommentSubject"/>
    <w:uiPriority w:val="99"/>
    <w:semiHidden/>
    <w:rsid w:val="00CA08B4"/>
    <w:rPr>
      <w:rFonts w:ascii="Arial" w:hAnsi="Arial"/>
      <w:b/>
      <w:bCs/>
      <w:color w:val="53565A"/>
    </w:rPr>
  </w:style>
  <w:style w:type="paragraph" w:styleId="Revision">
    <w:name w:val="Revision"/>
    <w:hidden/>
    <w:uiPriority w:val="99"/>
    <w:semiHidden/>
    <w:rsid w:val="004C0A6F"/>
    <w:rPr>
      <w:rFonts w:ascii="Arial" w:hAnsi="Arial"/>
      <w:color w:val="53565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ergyandresources.vic.gov.au/esi"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conomicdevelopment.vic.gov.au" TargetMode="External"/><Relationship Id="rId2" Type="http://schemas.openxmlformats.org/officeDocument/2006/relationships/numbering" Target="numbering.xml"/><Relationship Id="rId16" Type="http://schemas.openxmlformats.org/officeDocument/2006/relationships/hyperlink" Target="http://www.energyandresources.vic.gov.au/e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energysaver.incentive@ecodev.vic.gov.a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nergyandresources.vic.gov.au/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98ECF-D127-4685-B128-828D0B75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2296</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Rooney</dc:creator>
  <cp:lastModifiedBy>Tejopala Rawls</cp:lastModifiedBy>
  <cp:revision>4</cp:revision>
  <cp:lastPrinted>2016-05-06T00:39:00Z</cp:lastPrinted>
  <dcterms:created xsi:type="dcterms:W3CDTF">2016-06-10T05:20:00Z</dcterms:created>
  <dcterms:modified xsi:type="dcterms:W3CDTF">2016-06-13T23:30:00Z</dcterms:modified>
</cp:coreProperties>
</file>