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word/styles.xml" ContentType="application/vnd.openxmlformats-officedocument.wordprocessingml.styl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83189A6" w14:textId="323167A3" w:rsidR="000C7148" w:rsidRPr="005A2EBA" w:rsidRDefault="00A90182" w:rsidP="0004155F">
      <w:pPr>
        <w:pStyle w:val="Title"/>
        <w:spacing w:after="600"/>
      </w:pPr>
      <w:r w:rsidRPr="005A2EBA">
        <w:t>Renewable Energy Investment </w:t>
      </w:r>
      <w:r w:rsidR="00876ECA" w:rsidRPr="005A2EBA">
        <w:t xml:space="preserve">Prospectus: </w:t>
      </w:r>
      <w:r w:rsidR="0004155F" w:rsidRPr="005A2EBA">
        <w:t>Utility-Scale Electricity Generation and Storage</w:t>
      </w:r>
    </w:p>
    <w:p w14:paraId="53780E31" w14:textId="67266D07" w:rsidR="007968FE" w:rsidRPr="005A2EBA" w:rsidRDefault="000C7148" w:rsidP="000C7148">
      <w:pPr>
        <w:pStyle w:val="Subtitle"/>
      </w:pPr>
      <w:r w:rsidRPr="005A2EBA">
        <w:t>October 2026</w:t>
      </w:r>
    </w:p>
    <w:p w14:paraId="3FC55AF9" w14:textId="77777777" w:rsidR="00A51AD4" w:rsidRPr="005A2EBA" w:rsidRDefault="00A51AD4" w:rsidP="00A90182">
      <w:pPr>
        <w:pStyle w:val="TOAHeading"/>
        <w:pageBreakBefore/>
        <w:outlineLvl w:val="0"/>
      </w:pPr>
      <w:r w:rsidRPr="005A2EBA">
        <w:lastRenderedPageBreak/>
        <w:t>Table of Contents</w:t>
      </w:r>
    </w:p>
    <w:p w14:paraId="091E4C4B" w14:textId="78D4AC1D" w:rsidR="003B5F16" w:rsidRPr="005A2EBA" w:rsidRDefault="00C81AC2">
      <w:pPr>
        <w:pStyle w:val="TOC1"/>
        <w:tabs>
          <w:tab w:val="right" w:leader="dot" w:pos="9628"/>
        </w:tabs>
        <w:rPr>
          <w:rFonts w:asciiTheme="minorHAnsi" w:hAnsiTheme="minorHAnsi" w:cstheme="minorBidi"/>
          <w:bCs w:val="0"/>
          <w:noProof/>
          <w:kern w:val="2"/>
          <w:lang w:eastAsia="en-GB"/>
          <w14:ligatures w14:val="standardContextual"/>
        </w:rPr>
      </w:pPr>
      <w:r w:rsidRPr="005A2EBA">
        <w:rPr>
          <w:rFonts w:cstheme="majorHAnsi"/>
          <w:bCs w:val="0"/>
          <w:sz w:val="28"/>
        </w:rPr>
        <w:fldChar w:fldCharType="begin"/>
      </w:r>
      <w:r w:rsidR="00F72213" w:rsidRPr="005A2EBA">
        <w:rPr>
          <w:rFonts w:cstheme="majorHAnsi"/>
          <w:b/>
          <w:bCs w:val="0"/>
          <w:sz w:val="28"/>
        </w:rPr>
        <w:instrText xml:space="preserve"> TOC \o "1-1" \h \z </w:instrText>
      </w:r>
      <w:r w:rsidRPr="005A2EBA">
        <w:rPr>
          <w:rFonts w:cstheme="majorHAnsi"/>
          <w:bCs w:val="0"/>
          <w:sz w:val="28"/>
        </w:rPr>
        <w:fldChar w:fldCharType="separate"/>
      </w:r>
      <w:hyperlink w:anchor="_Toc243488367" w:history="1">
        <w:r w:rsidR="003B5F16" w:rsidRPr="005A2EBA">
          <w:rPr>
            <w:rStyle w:val="Hyperlink"/>
            <w:noProof/>
          </w:rPr>
          <w:t>Traditional Owners at the centre for decision-making processes</w:t>
        </w:r>
        <w:r w:rsidR="003B5F16" w:rsidRPr="005A2EBA">
          <w:rPr>
            <w:noProof/>
            <w:webHidden/>
          </w:rPr>
          <w:tab/>
        </w:r>
        <w:r w:rsidR="003B5F16" w:rsidRPr="005A2EBA">
          <w:rPr>
            <w:noProof/>
            <w:webHidden/>
          </w:rPr>
          <w:fldChar w:fldCharType="begin"/>
        </w:r>
        <w:r w:rsidR="003B5F16" w:rsidRPr="005A2EBA">
          <w:rPr>
            <w:noProof/>
            <w:webHidden/>
          </w:rPr>
          <w:instrText xml:space="preserve"> PAGEREF _Toc243488367 \h </w:instrText>
        </w:r>
        <w:r w:rsidR="003B5F16" w:rsidRPr="005A2EBA">
          <w:rPr>
            <w:noProof/>
            <w:webHidden/>
          </w:rPr>
        </w:r>
        <w:r w:rsidR="003B5F16" w:rsidRPr="005A2EBA">
          <w:rPr>
            <w:noProof/>
            <w:webHidden/>
          </w:rPr>
          <w:fldChar w:fldCharType="separate"/>
        </w:r>
        <w:r w:rsidR="00DB4418">
          <w:rPr>
            <w:noProof/>
            <w:webHidden/>
          </w:rPr>
          <w:t>4</w:t>
        </w:r>
        <w:r w:rsidR="003B5F16" w:rsidRPr="005A2EBA">
          <w:rPr>
            <w:noProof/>
            <w:webHidden/>
          </w:rPr>
          <w:fldChar w:fldCharType="end"/>
        </w:r>
      </w:hyperlink>
    </w:p>
    <w:p w14:paraId="6A617C89" w14:textId="1511A5C6" w:rsidR="003B5F16" w:rsidRPr="005A2EBA" w:rsidRDefault="003B5F16">
      <w:pPr>
        <w:pStyle w:val="TOC1"/>
        <w:tabs>
          <w:tab w:val="right" w:leader="dot" w:pos="9628"/>
        </w:tabs>
        <w:rPr>
          <w:rFonts w:asciiTheme="minorHAnsi" w:hAnsiTheme="minorHAnsi" w:cstheme="minorBidi"/>
          <w:bCs w:val="0"/>
          <w:noProof/>
          <w:kern w:val="2"/>
          <w:lang w:eastAsia="en-GB"/>
          <w14:ligatures w14:val="standardContextual"/>
        </w:rPr>
      </w:pPr>
      <w:hyperlink w:anchor="_Toc243488368" w:history="1">
        <w:r w:rsidRPr="005A2EBA">
          <w:rPr>
            <w:rStyle w:val="Hyperlink"/>
            <w:noProof/>
          </w:rPr>
          <w:t>Welcome to Victoria’s renewable energy sector</w:t>
        </w:r>
        <w:r w:rsidRPr="005A2EBA">
          <w:rPr>
            <w:noProof/>
            <w:webHidden/>
          </w:rPr>
          <w:tab/>
        </w:r>
        <w:r w:rsidRPr="005A2EBA">
          <w:rPr>
            <w:noProof/>
            <w:webHidden/>
          </w:rPr>
          <w:fldChar w:fldCharType="begin"/>
        </w:r>
        <w:r w:rsidRPr="005A2EBA">
          <w:rPr>
            <w:noProof/>
            <w:webHidden/>
          </w:rPr>
          <w:instrText xml:space="preserve"> PAGEREF _Toc243488368 \h </w:instrText>
        </w:r>
        <w:r w:rsidRPr="005A2EBA">
          <w:rPr>
            <w:noProof/>
            <w:webHidden/>
          </w:rPr>
        </w:r>
        <w:r w:rsidRPr="005A2EBA">
          <w:rPr>
            <w:noProof/>
            <w:webHidden/>
          </w:rPr>
          <w:fldChar w:fldCharType="separate"/>
        </w:r>
        <w:r w:rsidR="00DB4418">
          <w:rPr>
            <w:noProof/>
            <w:webHidden/>
          </w:rPr>
          <w:t>5</w:t>
        </w:r>
        <w:r w:rsidRPr="005A2EBA">
          <w:rPr>
            <w:noProof/>
            <w:webHidden/>
          </w:rPr>
          <w:fldChar w:fldCharType="end"/>
        </w:r>
      </w:hyperlink>
    </w:p>
    <w:p w14:paraId="38F382D0" w14:textId="7D8C5DE8" w:rsidR="003B5F16" w:rsidRPr="005A2EBA" w:rsidRDefault="003B5F16">
      <w:pPr>
        <w:pStyle w:val="TOC1"/>
        <w:tabs>
          <w:tab w:val="right" w:leader="dot" w:pos="9628"/>
        </w:tabs>
        <w:rPr>
          <w:rFonts w:asciiTheme="minorHAnsi" w:hAnsiTheme="minorHAnsi" w:cstheme="minorBidi"/>
          <w:bCs w:val="0"/>
          <w:noProof/>
          <w:kern w:val="2"/>
          <w:lang w:eastAsia="en-GB"/>
          <w14:ligatures w14:val="standardContextual"/>
        </w:rPr>
      </w:pPr>
      <w:hyperlink w:anchor="_Toc243488369" w:history="1">
        <w:r w:rsidRPr="005A2EBA">
          <w:rPr>
            <w:rStyle w:val="Hyperlink"/>
            <w:noProof/>
          </w:rPr>
          <w:t>Invest in Victoria’s utility-scale electricity generation and storage sector</w:t>
        </w:r>
        <w:r w:rsidRPr="005A2EBA">
          <w:rPr>
            <w:noProof/>
            <w:webHidden/>
          </w:rPr>
          <w:tab/>
        </w:r>
        <w:r w:rsidRPr="005A2EBA">
          <w:rPr>
            <w:noProof/>
            <w:webHidden/>
          </w:rPr>
          <w:fldChar w:fldCharType="begin"/>
        </w:r>
        <w:r w:rsidRPr="005A2EBA">
          <w:rPr>
            <w:noProof/>
            <w:webHidden/>
          </w:rPr>
          <w:instrText xml:space="preserve"> PAGEREF _Toc243488369 \h </w:instrText>
        </w:r>
        <w:r w:rsidRPr="005A2EBA">
          <w:rPr>
            <w:noProof/>
            <w:webHidden/>
          </w:rPr>
        </w:r>
        <w:r w:rsidRPr="005A2EBA">
          <w:rPr>
            <w:noProof/>
            <w:webHidden/>
          </w:rPr>
          <w:fldChar w:fldCharType="separate"/>
        </w:r>
        <w:r w:rsidR="00DB4418">
          <w:rPr>
            <w:noProof/>
            <w:webHidden/>
          </w:rPr>
          <w:t>7</w:t>
        </w:r>
        <w:r w:rsidRPr="005A2EBA">
          <w:rPr>
            <w:noProof/>
            <w:webHidden/>
          </w:rPr>
          <w:fldChar w:fldCharType="end"/>
        </w:r>
      </w:hyperlink>
    </w:p>
    <w:p w14:paraId="70EE46BE" w14:textId="7694FE8F" w:rsidR="003B5F16" w:rsidRPr="005A2EBA" w:rsidRDefault="003B5F16">
      <w:pPr>
        <w:pStyle w:val="TOC1"/>
        <w:tabs>
          <w:tab w:val="right" w:leader="dot" w:pos="9628"/>
        </w:tabs>
        <w:rPr>
          <w:rFonts w:asciiTheme="minorHAnsi" w:hAnsiTheme="minorHAnsi" w:cstheme="minorBidi"/>
          <w:bCs w:val="0"/>
          <w:noProof/>
          <w:kern w:val="2"/>
          <w:lang w:eastAsia="en-GB"/>
          <w14:ligatures w14:val="standardContextual"/>
        </w:rPr>
      </w:pPr>
      <w:hyperlink w:anchor="_Toc243488370" w:history="1">
        <w:r w:rsidRPr="005A2EBA">
          <w:rPr>
            <w:rStyle w:val="Hyperlink"/>
            <w:noProof/>
          </w:rPr>
          <w:t>Victoria is at the heart of Australia’s National Electricity Market</w:t>
        </w:r>
        <w:r w:rsidRPr="005A2EBA">
          <w:rPr>
            <w:noProof/>
            <w:webHidden/>
          </w:rPr>
          <w:tab/>
        </w:r>
        <w:r w:rsidRPr="005A2EBA">
          <w:rPr>
            <w:noProof/>
            <w:webHidden/>
          </w:rPr>
          <w:fldChar w:fldCharType="begin"/>
        </w:r>
        <w:r w:rsidRPr="005A2EBA">
          <w:rPr>
            <w:noProof/>
            <w:webHidden/>
          </w:rPr>
          <w:instrText xml:space="preserve"> PAGEREF _Toc243488370 \h </w:instrText>
        </w:r>
        <w:r w:rsidRPr="005A2EBA">
          <w:rPr>
            <w:noProof/>
            <w:webHidden/>
          </w:rPr>
        </w:r>
        <w:r w:rsidRPr="005A2EBA">
          <w:rPr>
            <w:noProof/>
            <w:webHidden/>
          </w:rPr>
          <w:fldChar w:fldCharType="separate"/>
        </w:r>
        <w:r w:rsidR="00DB4418">
          <w:rPr>
            <w:noProof/>
            <w:webHidden/>
          </w:rPr>
          <w:t>9</w:t>
        </w:r>
        <w:r w:rsidRPr="005A2EBA">
          <w:rPr>
            <w:noProof/>
            <w:webHidden/>
          </w:rPr>
          <w:fldChar w:fldCharType="end"/>
        </w:r>
      </w:hyperlink>
    </w:p>
    <w:p w14:paraId="001CD76C" w14:textId="11999BF6" w:rsidR="003B5F16" w:rsidRPr="005A2EBA" w:rsidRDefault="003B5F16">
      <w:pPr>
        <w:pStyle w:val="TOC1"/>
        <w:tabs>
          <w:tab w:val="right" w:leader="dot" w:pos="9628"/>
        </w:tabs>
        <w:rPr>
          <w:rFonts w:asciiTheme="minorHAnsi" w:hAnsiTheme="minorHAnsi" w:cstheme="minorBidi"/>
          <w:bCs w:val="0"/>
          <w:noProof/>
          <w:kern w:val="2"/>
          <w:lang w:eastAsia="en-GB"/>
          <w14:ligatures w14:val="standardContextual"/>
        </w:rPr>
      </w:pPr>
      <w:hyperlink w:anchor="_Toc243488371" w:history="1">
        <w:r w:rsidRPr="005A2EBA">
          <w:rPr>
            <w:rStyle w:val="Hyperlink"/>
            <w:noProof/>
          </w:rPr>
          <w:t>Victoria’s world-leading wind resource</w:t>
        </w:r>
        <w:r w:rsidRPr="005A2EBA">
          <w:rPr>
            <w:noProof/>
            <w:webHidden/>
          </w:rPr>
          <w:tab/>
        </w:r>
        <w:r w:rsidRPr="005A2EBA">
          <w:rPr>
            <w:noProof/>
            <w:webHidden/>
          </w:rPr>
          <w:fldChar w:fldCharType="begin"/>
        </w:r>
        <w:r w:rsidRPr="005A2EBA">
          <w:rPr>
            <w:noProof/>
            <w:webHidden/>
          </w:rPr>
          <w:instrText xml:space="preserve"> PAGEREF _Toc243488371 \h </w:instrText>
        </w:r>
        <w:r w:rsidRPr="005A2EBA">
          <w:rPr>
            <w:noProof/>
            <w:webHidden/>
          </w:rPr>
        </w:r>
        <w:r w:rsidRPr="005A2EBA">
          <w:rPr>
            <w:noProof/>
            <w:webHidden/>
          </w:rPr>
          <w:fldChar w:fldCharType="separate"/>
        </w:r>
        <w:r w:rsidR="00DB4418">
          <w:rPr>
            <w:noProof/>
            <w:webHidden/>
          </w:rPr>
          <w:t>12</w:t>
        </w:r>
        <w:r w:rsidRPr="005A2EBA">
          <w:rPr>
            <w:noProof/>
            <w:webHidden/>
          </w:rPr>
          <w:fldChar w:fldCharType="end"/>
        </w:r>
      </w:hyperlink>
    </w:p>
    <w:p w14:paraId="6D80E907" w14:textId="67DC0F71" w:rsidR="003B5F16" w:rsidRPr="005A2EBA" w:rsidRDefault="003B5F16">
      <w:pPr>
        <w:pStyle w:val="TOC1"/>
        <w:tabs>
          <w:tab w:val="right" w:leader="dot" w:pos="9628"/>
        </w:tabs>
        <w:rPr>
          <w:rFonts w:asciiTheme="minorHAnsi" w:hAnsiTheme="minorHAnsi" w:cstheme="minorBidi"/>
          <w:bCs w:val="0"/>
          <w:noProof/>
          <w:kern w:val="2"/>
          <w:lang w:eastAsia="en-GB"/>
          <w14:ligatures w14:val="standardContextual"/>
        </w:rPr>
      </w:pPr>
      <w:hyperlink w:anchor="_Toc243488372" w:history="1">
        <w:r w:rsidRPr="005A2EBA">
          <w:rPr>
            <w:rStyle w:val="Hyperlink"/>
            <w:noProof/>
          </w:rPr>
          <w:t>Victoria’s booming storage market offers a strong investment opportunity</w:t>
        </w:r>
        <w:r w:rsidRPr="005A2EBA">
          <w:rPr>
            <w:noProof/>
            <w:webHidden/>
          </w:rPr>
          <w:tab/>
        </w:r>
        <w:r w:rsidRPr="005A2EBA">
          <w:rPr>
            <w:noProof/>
            <w:webHidden/>
          </w:rPr>
          <w:fldChar w:fldCharType="begin"/>
        </w:r>
        <w:r w:rsidRPr="005A2EBA">
          <w:rPr>
            <w:noProof/>
            <w:webHidden/>
          </w:rPr>
          <w:instrText xml:space="preserve"> PAGEREF _Toc243488372 \h </w:instrText>
        </w:r>
        <w:r w:rsidRPr="005A2EBA">
          <w:rPr>
            <w:noProof/>
            <w:webHidden/>
          </w:rPr>
        </w:r>
        <w:r w:rsidRPr="005A2EBA">
          <w:rPr>
            <w:noProof/>
            <w:webHidden/>
          </w:rPr>
          <w:fldChar w:fldCharType="separate"/>
        </w:r>
        <w:r w:rsidR="00DB4418">
          <w:rPr>
            <w:noProof/>
            <w:webHidden/>
          </w:rPr>
          <w:t>15</w:t>
        </w:r>
        <w:r w:rsidRPr="005A2EBA">
          <w:rPr>
            <w:noProof/>
            <w:webHidden/>
          </w:rPr>
          <w:fldChar w:fldCharType="end"/>
        </w:r>
      </w:hyperlink>
    </w:p>
    <w:p w14:paraId="0578A47D" w14:textId="5ED20FDF" w:rsidR="003B5F16" w:rsidRPr="005A2EBA" w:rsidRDefault="003B5F16">
      <w:pPr>
        <w:pStyle w:val="TOC1"/>
        <w:tabs>
          <w:tab w:val="right" w:leader="dot" w:pos="9628"/>
        </w:tabs>
        <w:rPr>
          <w:rFonts w:asciiTheme="minorHAnsi" w:hAnsiTheme="minorHAnsi" w:cstheme="minorBidi"/>
          <w:bCs w:val="0"/>
          <w:noProof/>
          <w:kern w:val="2"/>
          <w:lang w:eastAsia="en-GB"/>
          <w14:ligatures w14:val="standardContextual"/>
        </w:rPr>
      </w:pPr>
      <w:hyperlink w:anchor="_Toc243488373" w:history="1">
        <w:r w:rsidRPr="005A2EBA">
          <w:rPr>
            <w:rStyle w:val="Hyperlink"/>
            <w:noProof/>
          </w:rPr>
          <w:t>Victoria has excellent solar resources</w:t>
        </w:r>
        <w:r w:rsidRPr="005A2EBA">
          <w:rPr>
            <w:noProof/>
            <w:webHidden/>
          </w:rPr>
          <w:tab/>
        </w:r>
        <w:r w:rsidRPr="005A2EBA">
          <w:rPr>
            <w:noProof/>
            <w:webHidden/>
          </w:rPr>
          <w:fldChar w:fldCharType="begin"/>
        </w:r>
        <w:r w:rsidRPr="005A2EBA">
          <w:rPr>
            <w:noProof/>
            <w:webHidden/>
          </w:rPr>
          <w:instrText xml:space="preserve"> PAGEREF _Toc243488373 \h </w:instrText>
        </w:r>
        <w:r w:rsidRPr="005A2EBA">
          <w:rPr>
            <w:noProof/>
            <w:webHidden/>
          </w:rPr>
        </w:r>
        <w:r w:rsidRPr="005A2EBA">
          <w:rPr>
            <w:noProof/>
            <w:webHidden/>
          </w:rPr>
          <w:fldChar w:fldCharType="separate"/>
        </w:r>
        <w:r w:rsidR="00DB4418">
          <w:rPr>
            <w:noProof/>
            <w:webHidden/>
          </w:rPr>
          <w:t>19</w:t>
        </w:r>
        <w:r w:rsidRPr="005A2EBA">
          <w:rPr>
            <w:noProof/>
            <w:webHidden/>
          </w:rPr>
          <w:fldChar w:fldCharType="end"/>
        </w:r>
      </w:hyperlink>
    </w:p>
    <w:p w14:paraId="004B0357" w14:textId="365F78CB" w:rsidR="003B5F16" w:rsidRPr="005A2EBA" w:rsidRDefault="003B5F16">
      <w:pPr>
        <w:pStyle w:val="TOC1"/>
        <w:tabs>
          <w:tab w:val="right" w:leader="dot" w:pos="9628"/>
        </w:tabs>
        <w:rPr>
          <w:rFonts w:asciiTheme="minorHAnsi" w:hAnsiTheme="minorHAnsi" w:cstheme="minorBidi"/>
          <w:bCs w:val="0"/>
          <w:noProof/>
          <w:kern w:val="2"/>
          <w:lang w:eastAsia="en-GB"/>
          <w14:ligatures w14:val="standardContextual"/>
        </w:rPr>
      </w:pPr>
      <w:hyperlink w:anchor="_Toc243488374" w:history="1">
        <w:r w:rsidRPr="005A2EBA">
          <w:rPr>
            <w:rStyle w:val="Hyperlink"/>
            <w:noProof/>
          </w:rPr>
          <w:t>Hybrid electricity generation and storage projects</w:t>
        </w:r>
        <w:r w:rsidRPr="005A2EBA">
          <w:rPr>
            <w:noProof/>
            <w:webHidden/>
          </w:rPr>
          <w:tab/>
        </w:r>
        <w:r w:rsidRPr="005A2EBA">
          <w:rPr>
            <w:noProof/>
            <w:webHidden/>
          </w:rPr>
          <w:fldChar w:fldCharType="begin"/>
        </w:r>
        <w:r w:rsidRPr="005A2EBA">
          <w:rPr>
            <w:noProof/>
            <w:webHidden/>
          </w:rPr>
          <w:instrText xml:space="preserve"> PAGEREF _Toc243488374 \h </w:instrText>
        </w:r>
        <w:r w:rsidRPr="005A2EBA">
          <w:rPr>
            <w:noProof/>
            <w:webHidden/>
          </w:rPr>
        </w:r>
        <w:r w:rsidRPr="005A2EBA">
          <w:rPr>
            <w:noProof/>
            <w:webHidden/>
          </w:rPr>
          <w:fldChar w:fldCharType="separate"/>
        </w:r>
        <w:r w:rsidR="00DB4418">
          <w:rPr>
            <w:noProof/>
            <w:webHidden/>
          </w:rPr>
          <w:t>21</w:t>
        </w:r>
        <w:r w:rsidRPr="005A2EBA">
          <w:rPr>
            <w:noProof/>
            <w:webHidden/>
          </w:rPr>
          <w:fldChar w:fldCharType="end"/>
        </w:r>
      </w:hyperlink>
    </w:p>
    <w:p w14:paraId="58CBCF5C" w14:textId="470835D6" w:rsidR="003B5F16" w:rsidRPr="005A2EBA" w:rsidRDefault="003B5F16">
      <w:pPr>
        <w:pStyle w:val="TOC1"/>
        <w:tabs>
          <w:tab w:val="right" w:leader="dot" w:pos="9628"/>
        </w:tabs>
        <w:rPr>
          <w:rFonts w:asciiTheme="minorHAnsi" w:hAnsiTheme="minorHAnsi" w:cstheme="minorBidi"/>
          <w:bCs w:val="0"/>
          <w:noProof/>
          <w:kern w:val="2"/>
          <w:lang w:eastAsia="en-GB"/>
          <w14:ligatures w14:val="standardContextual"/>
        </w:rPr>
      </w:pPr>
      <w:hyperlink w:anchor="_Toc243488375" w:history="1">
        <w:r w:rsidRPr="005A2EBA">
          <w:rPr>
            <w:rStyle w:val="Hyperlink"/>
            <w:noProof/>
          </w:rPr>
          <w:t>Underwriting new renewable energy capacity</w:t>
        </w:r>
        <w:r w:rsidRPr="005A2EBA">
          <w:rPr>
            <w:noProof/>
            <w:webHidden/>
          </w:rPr>
          <w:tab/>
        </w:r>
        <w:r w:rsidRPr="005A2EBA">
          <w:rPr>
            <w:noProof/>
            <w:webHidden/>
          </w:rPr>
          <w:fldChar w:fldCharType="begin"/>
        </w:r>
        <w:r w:rsidRPr="005A2EBA">
          <w:rPr>
            <w:noProof/>
            <w:webHidden/>
          </w:rPr>
          <w:instrText xml:space="preserve"> PAGEREF _Toc243488375 \h </w:instrText>
        </w:r>
        <w:r w:rsidRPr="005A2EBA">
          <w:rPr>
            <w:noProof/>
            <w:webHidden/>
          </w:rPr>
        </w:r>
        <w:r w:rsidRPr="005A2EBA">
          <w:rPr>
            <w:noProof/>
            <w:webHidden/>
          </w:rPr>
          <w:fldChar w:fldCharType="separate"/>
        </w:r>
        <w:r w:rsidR="00DB4418">
          <w:rPr>
            <w:noProof/>
            <w:webHidden/>
          </w:rPr>
          <w:t>24</w:t>
        </w:r>
        <w:r w:rsidRPr="005A2EBA">
          <w:rPr>
            <w:noProof/>
            <w:webHidden/>
          </w:rPr>
          <w:fldChar w:fldCharType="end"/>
        </w:r>
      </w:hyperlink>
    </w:p>
    <w:p w14:paraId="1DDEE374" w14:textId="77FCF240" w:rsidR="003B5F16" w:rsidRPr="005A2EBA" w:rsidRDefault="003B5F16">
      <w:pPr>
        <w:pStyle w:val="TOC1"/>
        <w:tabs>
          <w:tab w:val="right" w:leader="dot" w:pos="9628"/>
        </w:tabs>
        <w:rPr>
          <w:rFonts w:asciiTheme="minorHAnsi" w:hAnsiTheme="minorHAnsi" w:cstheme="minorBidi"/>
          <w:bCs w:val="0"/>
          <w:noProof/>
          <w:kern w:val="2"/>
          <w:lang w:eastAsia="en-GB"/>
          <w14:ligatures w14:val="standardContextual"/>
        </w:rPr>
      </w:pPr>
      <w:hyperlink w:anchor="_Toc243488376" w:history="1">
        <w:r w:rsidRPr="005A2EBA">
          <w:rPr>
            <w:rStyle w:val="Hyperlink"/>
            <w:noProof/>
          </w:rPr>
          <w:t>Access to government co-investment</w:t>
        </w:r>
        <w:r w:rsidRPr="005A2EBA">
          <w:rPr>
            <w:noProof/>
            <w:webHidden/>
          </w:rPr>
          <w:tab/>
        </w:r>
        <w:r w:rsidRPr="005A2EBA">
          <w:rPr>
            <w:noProof/>
            <w:webHidden/>
          </w:rPr>
          <w:fldChar w:fldCharType="begin"/>
        </w:r>
        <w:r w:rsidRPr="005A2EBA">
          <w:rPr>
            <w:noProof/>
            <w:webHidden/>
          </w:rPr>
          <w:instrText xml:space="preserve"> PAGEREF _Toc243488376 \h </w:instrText>
        </w:r>
        <w:r w:rsidRPr="005A2EBA">
          <w:rPr>
            <w:noProof/>
            <w:webHidden/>
          </w:rPr>
        </w:r>
        <w:r w:rsidRPr="005A2EBA">
          <w:rPr>
            <w:noProof/>
            <w:webHidden/>
          </w:rPr>
          <w:fldChar w:fldCharType="separate"/>
        </w:r>
        <w:r w:rsidR="00DB4418">
          <w:rPr>
            <w:noProof/>
            <w:webHidden/>
          </w:rPr>
          <w:t>27</w:t>
        </w:r>
        <w:r w:rsidRPr="005A2EBA">
          <w:rPr>
            <w:noProof/>
            <w:webHidden/>
          </w:rPr>
          <w:fldChar w:fldCharType="end"/>
        </w:r>
      </w:hyperlink>
    </w:p>
    <w:p w14:paraId="0AC891A4" w14:textId="359F54DE" w:rsidR="003B5F16" w:rsidRPr="005A2EBA" w:rsidRDefault="003B5F16">
      <w:pPr>
        <w:pStyle w:val="TOC1"/>
        <w:tabs>
          <w:tab w:val="right" w:leader="dot" w:pos="9628"/>
        </w:tabs>
        <w:rPr>
          <w:rFonts w:asciiTheme="minorHAnsi" w:hAnsiTheme="minorHAnsi" w:cstheme="minorBidi"/>
          <w:bCs w:val="0"/>
          <w:noProof/>
          <w:kern w:val="2"/>
          <w:lang w:eastAsia="en-GB"/>
          <w14:ligatures w14:val="standardContextual"/>
        </w:rPr>
      </w:pPr>
      <w:hyperlink w:anchor="_Toc243488377" w:history="1">
        <w:r w:rsidRPr="005A2EBA">
          <w:rPr>
            <w:rStyle w:val="Hyperlink"/>
            <w:noProof/>
          </w:rPr>
          <w:t>Fast-tracking planning approvals</w:t>
        </w:r>
        <w:r w:rsidRPr="005A2EBA">
          <w:rPr>
            <w:noProof/>
            <w:webHidden/>
          </w:rPr>
          <w:tab/>
        </w:r>
        <w:r w:rsidRPr="005A2EBA">
          <w:rPr>
            <w:noProof/>
            <w:webHidden/>
          </w:rPr>
          <w:fldChar w:fldCharType="begin"/>
        </w:r>
        <w:r w:rsidRPr="005A2EBA">
          <w:rPr>
            <w:noProof/>
            <w:webHidden/>
          </w:rPr>
          <w:instrText xml:space="preserve"> PAGEREF _Toc243488377 \h </w:instrText>
        </w:r>
        <w:r w:rsidRPr="005A2EBA">
          <w:rPr>
            <w:noProof/>
            <w:webHidden/>
          </w:rPr>
        </w:r>
        <w:r w:rsidRPr="005A2EBA">
          <w:rPr>
            <w:noProof/>
            <w:webHidden/>
          </w:rPr>
          <w:fldChar w:fldCharType="separate"/>
        </w:r>
        <w:r w:rsidR="00DB4418">
          <w:rPr>
            <w:noProof/>
            <w:webHidden/>
          </w:rPr>
          <w:t>29</w:t>
        </w:r>
        <w:r w:rsidRPr="005A2EBA">
          <w:rPr>
            <w:noProof/>
            <w:webHidden/>
          </w:rPr>
          <w:fldChar w:fldCharType="end"/>
        </w:r>
      </w:hyperlink>
    </w:p>
    <w:p w14:paraId="4B87F268" w14:textId="13535D01" w:rsidR="003B5F16" w:rsidRPr="005A2EBA" w:rsidRDefault="003B5F16">
      <w:pPr>
        <w:pStyle w:val="TOC1"/>
        <w:tabs>
          <w:tab w:val="right" w:leader="dot" w:pos="9628"/>
        </w:tabs>
        <w:rPr>
          <w:rFonts w:asciiTheme="minorHAnsi" w:hAnsiTheme="minorHAnsi" w:cstheme="minorBidi"/>
          <w:bCs w:val="0"/>
          <w:noProof/>
          <w:kern w:val="2"/>
          <w:lang w:eastAsia="en-GB"/>
          <w14:ligatures w14:val="standardContextual"/>
        </w:rPr>
      </w:pPr>
      <w:hyperlink w:anchor="_Toc243488378" w:history="1">
        <w:r w:rsidRPr="005A2EBA">
          <w:rPr>
            <w:rStyle w:val="Hyperlink"/>
            <w:noProof/>
          </w:rPr>
          <w:t>SEC: Investing to accelerate the transition and the market</w:t>
        </w:r>
        <w:r w:rsidRPr="005A2EBA">
          <w:rPr>
            <w:noProof/>
            <w:webHidden/>
          </w:rPr>
          <w:tab/>
        </w:r>
        <w:r w:rsidRPr="005A2EBA">
          <w:rPr>
            <w:noProof/>
            <w:webHidden/>
          </w:rPr>
          <w:fldChar w:fldCharType="begin"/>
        </w:r>
        <w:r w:rsidRPr="005A2EBA">
          <w:rPr>
            <w:noProof/>
            <w:webHidden/>
          </w:rPr>
          <w:instrText xml:space="preserve"> PAGEREF _Toc243488378 \h </w:instrText>
        </w:r>
        <w:r w:rsidRPr="005A2EBA">
          <w:rPr>
            <w:noProof/>
            <w:webHidden/>
          </w:rPr>
        </w:r>
        <w:r w:rsidRPr="005A2EBA">
          <w:rPr>
            <w:noProof/>
            <w:webHidden/>
          </w:rPr>
          <w:fldChar w:fldCharType="separate"/>
        </w:r>
        <w:r w:rsidR="00DB4418">
          <w:rPr>
            <w:noProof/>
            <w:webHidden/>
          </w:rPr>
          <w:t>32</w:t>
        </w:r>
        <w:r w:rsidRPr="005A2EBA">
          <w:rPr>
            <w:noProof/>
            <w:webHidden/>
          </w:rPr>
          <w:fldChar w:fldCharType="end"/>
        </w:r>
      </w:hyperlink>
    </w:p>
    <w:p w14:paraId="396B519B" w14:textId="09CA0134" w:rsidR="003B5F16" w:rsidRPr="005A2EBA" w:rsidRDefault="003B5F16">
      <w:pPr>
        <w:pStyle w:val="TOC1"/>
        <w:tabs>
          <w:tab w:val="right" w:leader="dot" w:pos="9628"/>
        </w:tabs>
        <w:rPr>
          <w:rFonts w:asciiTheme="minorHAnsi" w:hAnsiTheme="minorHAnsi" w:cstheme="minorBidi"/>
          <w:bCs w:val="0"/>
          <w:noProof/>
          <w:kern w:val="2"/>
          <w:lang w:eastAsia="en-GB"/>
          <w14:ligatures w14:val="standardContextual"/>
        </w:rPr>
      </w:pPr>
      <w:hyperlink w:anchor="_Toc243488379" w:history="1">
        <w:r w:rsidRPr="005A2EBA">
          <w:rPr>
            <w:rStyle w:val="Hyperlink"/>
            <w:noProof/>
          </w:rPr>
          <w:t>Victoria’s new Renewable Energy Zones</w:t>
        </w:r>
        <w:r w:rsidRPr="005A2EBA">
          <w:rPr>
            <w:noProof/>
            <w:webHidden/>
          </w:rPr>
          <w:tab/>
        </w:r>
        <w:r w:rsidRPr="005A2EBA">
          <w:rPr>
            <w:noProof/>
            <w:webHidden/>
          </w:rPr>
          <w:fldChar w:fldCharType="begin"/>
        </w:r>
        <w:r w:rsidRPr="005A2EBA">
          <w:rPr>
            <w:noProof/>
            <w:webHidden/>
          </w:rPr>
          <w:instrText xml:space="preserve"> PAGEREF _Toc243488379 \h </w:instrText>
        </w:r>
        <w:r w:rsidRPr="005A2EBA">
          <w:rPr>
            <w:noProof/>
            <w:webHidden/>
          </w:rPr>
        </w:r>
        <w:r w:rsidRPr="005A2EBA">
          <w:rPr>
            <w:noProof/>
            <w:webHidden/>
          </w:rPr>
          <w:fldChar w:fldCharType="separate"/>
        </w:r>
        <w:r w:rsidR="00DB4418">
          <w:rPr>
            <w:noProof/>
            <w:webHidden/>
          </w:rPr>
          <w:t>35</w:t>
        </w:r>
        <w:r w:rsidRPr="005A2EBA">
          <w:rPr>
            <w:noProof/>
            <w:webHidden/>
          </w:rPr>
          <w:fldChar w:fldCharType="end"/>
        </w:r>
      </w:hyperlink>
    </w:p>
    <w:p w14:paraId="65266845" w14:textId="268CC982" w:rsidR="003B5F16" w:rsidRPr="005A2EBA" w:rsidRDefault="003B5F16">
      <w:pPr>
        <w:pStyle w:val="TOC1"/>
        <w:tabs>
          <w:tab w:val="right" w:leader="dot" w:pos="9628"/>
        </w:tabs>
        <w:rPr>
          <w:rFonts w:asciiTheme="minorHAnsi" w:hAnsiTheme="minorHAnsi" w:cstheme="minorBidi"/>
          <w:bCs w:val="0"/>
          <w:noProof/>
          <w:kern w:val="2"/>
          <w:lang w:eastAsia="en-GB"/>
          <w14:ligatures w14:val="standardContextual"/>
        </w:rPr>
      </w:pPr>
      <w:hyperlink w:anchor="_Toc243488380" w:history="1">
        <w:r w:rsidRPr="005A2EBA">
          <w:rPr>
            <w:rStyle w:val="Hyperlink"/>
            <w:noProof/>
          </w:rPr>
          <w:t>VicGrid – Shaping Victoria’s future grid</w:t>
        </w:r>
        <w:r w:rsidRPr="005A2EBA">
          <w:rPr>
            <w:noProof/>
            <w:webHidden/>
          </w:rPr>
          <w:tab/>
        </w:r>
        <w:r w:rsidRPr="005A2EBA">
          <w:rPr>
            <w:noProof/>
            <w:webHidden/>
          </w:rPr>
          <w:fldChar w:fldCharType="begin"/>
        </w:r>
        <w:r w:rsidRPr="005A2EBA">
          <w:rPr>
            <w:noProof/>
            <w:webHidden/>
          </w:rPr>
          <w:instrText xml:space="preserve"> PAGEREF _Toc243488380 \h </w:instrText>
        </w:r>
        <w:r w:rsidRPr="005A2EBA">
          <w:rPr>
            <w:noProof/>
            <w:webHidden/>
          </w:rPr>
        </w:r>
        <w:r w:rsidRPr="005A2EBA">
          <w:rPr>
            <w:noProof/>
            <w:webHidden/>
          </w:rPr>
          <w:fldChar w:fldCharType="separate"/>
        </w:r>
        <w:r w:rsidR="00DB4418">
          <w:rPr>
            <w:noProof/>
            <w:webHidden/>
          </w:rPr>
          <w:t>38</w:t>
        </w:r>
        <w:r w:rsidRPr="005A2EBA">
          <w:rPr>
            <w:noProof/>
            <w:webHidden/>
          </w:rPr>
          <w:fldChar w:fldCharType="end"/>
        </w:r>
      </w:hyperlink>
    </w:p>
    <w:p w14:paraId="0D7B0B6B" w14:textId="6C547866" w:rsidR="003B5F16" w:rsidRPr="005A2EBA" w:rsidRDefault="003B5F16">
      <w:pPr>
        <w:pStyle w:val="TOC1"/>
        <w:tabs>
          <w:tab w:val="right" w:leader="dot" w:pos="9628"/>
        </w:tabs>
        <w:rPr>
          <w:rFonts w:asciiTheme="minorHAnsi" w:hAnsiTheme="minorHAnsi" w:cstheme="minorBidi"/>
          <w:bCs w:val="0"/>
          <w:noProof/>
          <w:kern w:val="2"/>
          <w:lang w:eastAsia="en-GB"/>
          <w14:ligatures w14:val="standardContextual"/>
        </w:rPr>
      </w:pPr>
      <w:hyperlink w:anchor="_Toc243488381" w:history="1">
        <w:r w:rsidRPr="005A2EBA">
          <w:rPr>
            <w:rStyle w:val="Hyperlink"/>
            <w:noProof/>
          </w:rPr>
          <w:t>Investing in a Future Made in Australia</w:t>
        </w:r>
        <w:r w:rsidRPr="005A2EBA">
          <w:rPr>
            <w:noProof/>
            <w:webHidden/>
          </w:rPr>
          <w:tab/>
        </w:r>
        <w:r w:rsidRPr="005A2EBA">
          <w:rPr>
            <w:noProof/>
            <w:webHidden/>
          </w:rPr>
          <w:fldChar w:fldCharType="begin"/>
        </w:r>
        <w:r w:rsidRPr="005A2EBA">
          <w:rPr>
            <w:noProof/>
            <w:webHidden/>
          </w:rPr>
          <w:instrText xml:space="preserve"> PAGEREF _Toc243488381 \h </w:instrText>
        </w:r>
        <w:r w:rsidRPr="005A2EBA">
          <w:rPr>
            <w:noProof/>
            <w:webHidden/>
          </w:rPr>
        </w:r>
        <w:r w:rsidRPr="005A2EBA">
          <w:rPr>
            <w:noProof/>
            <w:webHidden/>
          </w:rPr>
          <w:fldChar w:fldCharType="separate"/>
        </w:r>
        <w:r w:rsidR="00DB4418">
          <w:rPr>
            <w:noProof/>
            <w:webHidden/>
          </w:rPr>
          <w:t>39</w:t>
        </w:r>
        <w:r w:rsidRPr="005A2EBA">
          <w:rPr>
            <w:noProof/>
            <w:webHidden/>
          </w:rPr>
          <w:fldChar w:fldCharType="end"/>
        </w:r>
      </w:hyperlink>
    </w:p>
    <w:p w14:paraId="4471AE02" w14:textId="10ACA5F2" w:rsidR="003B5F16" w:rsidRPr="005A2EBA" w:rsidRDefault="003B5F16">
      <w:pPr>
        <w:pStyle w:val="TOC1"/>
        <w:tabs>
          <w:tab w:val="right" w:leader="dot" w:pos="9628"/>
        </w:tabs>
        <w:rPr>
          <w:rFonts w:asciiTheme="minorHAnsi" w:hAnsiTheme="minorHAnsi" w:cstheme="minorBidi"/>
          <w:bCs w:val="0"/>
          <w:noProof/>
          <w:kern w:val="2"/>
          <w:lang w:eastAsia="en-GB"/>
          <w14:ligatures w14:val="standardContextual"/>
        </w:rPr>
      </w:pPr>
      <w:hyperlink w:anchor="_Toc243488382" w:history="1">
        <w:r w:rsidRPr="005A2EBA">
          <w:rPr>
            <w:rStyle w:val="Hyperlink"/>
            <w:noProof/>
          </w:rPr>
          <w:t>Manufacturing and recycling opportunities</w:t>
        </w:r>
        <w:r w:rsidRPr="005A2EBA">
          <w:rPr>
            <w:noProof/>
            <w:webHidden/>
          </w:rPr>
          <w:tab/>
        </w:r>
        <w:r w:rsidRPr="005A2EBA">
          <w:rPr>
            <w:noProof/>
            <w:webHidden/>
          </w:rPr>
          <w:fldChar w:fldCharType="begin"/>
        </w:r>
        <w:r w:rsidRPr="005A2EBA">
          <w:rPr>
            <w:noProof/>
            <w:webHidden/>
          </w:rPr>
          <w:instrText xml:space="preserve"> PAGEREF _Toc243488382 \h </w:instrText>
        </w:r>
        <w:r w:rsidRPr="005A2EBA">
          <w:rPr>
            <w:noProof/>
            <w:webHidden/>
          </w:rPr>
        </w:r>
        <w:r w:rsidRPr="005A2EBA">
          <w:rPr>
            <w:noProof/>
            <w:webHidden/>
          </w:rPr>
          <w:fldChar w:fldCharType="separate"/>
        </w:r>
        <w:r w:rsidR="00DB4418">
          <w:rPr>
            <w:noProof/>
            <w:webHidden/>
          </w:rPr>
          <w:t>40</w:t>
        </w:r>
        <w:r w:rsidRPr="005A2EBA">
          <w:rPr>
            <w:noProof/>
            <w:webHidden/>
          </w:rPr>
          <w:fldChar w:fldCharType="end"/>
        </w:r>
      </w:hyperlink>
    </w:p>
    <w:p w14:paraId="582D6E06" w14:textId="6893047C" w:rsidR="003B5F16" w:rsidRPr="005A2EBA" w:rsidRDefault="003B5F16">
      <w:pPr>
        <w:pStyle w:val="TOC1"/>
        <w:tabs>
          <w:tab w:val="right" w:leader="dot" w:pos="9628"/>
        </w:tabs>
        <w:rPr>
          <w:rFonts w:asciiTheme="minorHAnsi" w:hAnsiTheme="minorHAnsi" w:cstheme="minorBidi"/>
          <w:bCs w:val="0"/>
          <w:noProof/>
          <w:kern w:val="2"/>
          <w:lang w:eastAsia="en-GB"/>
          <w14:ligatures w14:val="standardContextual"/>
        </w:rPr>
      </w:pPr>
      <w:hyperlink w:anchor="_Toc243488383" w:history="1">
        <w:r w:rsidRPr="005A2EBA">
          <w:rPr>
            <w:rStyle w:val="Hyperlink"/>
            <w:noProof/>
          </w:rPr>
          <w:t>Research and innovation capabilities</w:t>
        </w:r>
        <w:r w:rsidRPr="005A2EBA">
          <w:rPr>
            <w:noProof/>
            <w:webHidden/>
          </w:rPr>
          <w:tab/>
        </w:r>
        <w:r w:rsidRPr="005A2EBA">
          <w:rPr>
            <w:noProof/>
            <w:webHidden/>
          </w:rPr>
          <w:fldChar w:fldCharType="begin"/>
        </w:r>
        <w:r w:rsidRPr="005A2EBA">
          <w:rPr>
            <w:noProof/>
            <w:webHidden/>
          </w:rPr>
          <w:instrText xml:space="preserve"> PAGEREF _Toc243488383 \h </w:instrText>
        </w:r>
        <w:r w:rsidRPr="005A2EBA">
          <w:rPr>
            <w:noProof/>
            <w:webHidden/>
          </w:rPr>
        </w:r>
        <w:r w:rsidRPr="005A2EBA">
          <w:rPr>
            <w:noProof/>
            <w:webHidden/>
          </w:rPr>
          <w:fldChar w:fldCharType="separate"/>
        </w:r>
        <w:r w:rsidR="00DB4418">
          <w:rPr>
            <w:noProof/>
            <w:webHidden/>
          </w:rPr>
          <w:t>43</w:t>
        </w:r>
        <w:r w:rsidRPr="005A2EBA">
          <w:rPr>
            <w:noProof/>
            <w:webHidden/>
          </w:rPr>
          <w:fldChar w:fldCharType="end"/>
        </w:r>
      </w:hyperlink>
    </w:p>
    <w:p w14:paraId="61E2BA37" w14:textId="57B73702" w:rsidR="003B5F16" w:rsidRPr="005A2EBA" w:rsidRDefault="003B5F16">
      <w:pPr>
        <w:pStyle w:val="TOC1"/>
        <w:tabs>
          <w:tab w:val="right" w:leader="dot" w:pos="9628"/>
        </w:tabs>
        <w:rPr>
          <w:rFonts w:asciiTheme="minorHAnsi" w:hAnsiTheme="minorHAnsi" w:cstheme="minorBidi"/>
          <w:bCs w:val="0"/>
          <w:noProof/>
          <w:kern w:val="2"/>
          <w:lang w:eastAsia="en-GB"/>
          <w14:ligatures w14:val="standardContextual"/>
        </w:rPr>
      </w:pPr>
      <w:hyperlink w:anchor="_Toc243488384" w:history="1">
        <w:r w:rsidRPr="005A2EBA">
          <w:rPr>
            <w:rStyle w:val="Hyperlink"/>
            <w:noProof/>
          </w:rPr>
          <w:t>Access to Victoria’s world-class renewable energy talent</w:t>
        </w:r>
        <w:r w:rsidRPr="005A2EBA">
          <w:rPr>
            <w:noProof/>
            <w:webHidden/>
          </w:rPr>
          <w:tab/>
        </w:r>
        <w:r w:rsidRPr="005A2EBA">
          <w:rPr>
            <w:noProof/>
            <w:webHidden/>
          </w:rPr>
          <w:fldChar w:fldCharType="begin"/>
        </w:r>
        <w:r w:rsidRPr="005A2EBA">
          <w:rPr>
            <w:noProof/>
            <w:webHidden/>
          </w:rPr>
          <w:instrText xml:space="preserve"> PAGEREF _Toc243488384 \h </w:instrText>
        </w:r>
        <w:r w:rsidRPr="005A2EBA">
          <w:rPr>
            <w:noProof/>
            <w:webHidden/>
          </w:rPr>
        </w:r>
        <w:r w:rsidRPr="005A2EBA">
          <w:rPr>
            <w:noProof/>
            <w:webHidden/>
          </w:rPr>
          <w:fldChar w:fldCharType="separate"/>
        </w:r>
        <w:r w:rsidR="00DB4418">
          <w:rPr>
            <w:noProof/>
            <w:webHidden/>
          </w:rPr>
          <w:t>46</w:t>
        </w:r>
        <w:r w:rsidRPr="005A2EBA">
          <w:rPr>
            <w:noProof/>
            <w:webHidden/>
          </w:rPr>
          <w:fldChar w:fldCharType="end"/>
        </w:r>
      </w:hyperlink>
    </w:p>
    <w:p w14:paraId="520EA83F" w14:textId="37ACB6DD" w:rsidR="003B5F16" w:rsidRPr="005A2EBA" w:rsidRDefault="003B5F16">
      <w:pPr>
        <w:pStyle w:val="TOC1"/>
        <w:tabs>
          <w:tab w:val="right" w:leader="dot" w:pos="9628"/>
        </w:tabs>
        <w:rPr>
          <w:rFonts w:asciiTheme="minorHAnsi" w:hAnsiTheme="minorHAnsi" w:cstheme="minorBidi"/>
          <w:bCs w:val="0"/>
          <w:noProof/>
          <w:kern w:val="2"/>
          <w:lang w:eastAsia="en-GB"/>
          <w14:ligatures w14:val="standardContextual"/>
        </w:rPr>
      </w:pPr>
      <w:hyperlink w:anchor="_Toc243488385" w:history="1">
        <w:r w:rsidRPr="005A2EBA">
          <w:rPr>
            <w:rStyle w:val="Hyperlink"/>
            <w:noProof/>
          </w:rPr>
          <w:t>A clear pathway to partner with First Peoples</w:t>
        </w:r>
        <w:r w:rsidRPr="005A2EBA">
          <w:rPr>
            <w:noProof/>
            <w:webHidden/>
          </w:rPr>
          <w:tab/>
        </w:r>
        <w:r w:rsidRPr="005A2EBA">
          <w:rPr>
            <w:noProof/>
            <w:webHidden/>
          </w:rPr>
          <w:fldChar w:fldCharType="begin"/>
        </w:r>
        <w:r w:rsidRPr="005A2EBA">
          <w:rPr>
            <w:noProof/>
            <w:webHidden/>
          </w:rPr>
          <w:instrText xml:space="preserve"> PAGEREF _Toc243488385 \h </w:instrText>
        </w:r>
        <w:r w:rsidRPr="005A2EBA">
          <w:rPr>
            <w:noProof/>
            <w:webHidden/>
          </w:rPr>
        </w:r>
        <w:r w:rsidRPr="005A2EBA">
          <w:rPr>
            <w:noProof/>
            <w:webHidden/>
          </w:rPr>
          <w:fldChar w:fldCharType="separate"/>
        </w:r>
        <w:r w:rsidR="00DB4418">
          <w:rPr>
            <w:noProof/>
            <w:webHidden/>
          </w:rPr>
          <w:t>48</w:t>
        </w:r>
        <w:r w:rsidRPr="005A2EBA">
          <w:rPr>
            <w:noProof/>
            <w:webHidden/>
          </w:rPr>
          <w:fldChar w:fldCharType="end"/>
        </w:r>
      </w:hyperlink>
    </w:p>
    <w:p w14:paraId="175951AE" w14:textId="14D3F4B3" w:rsidR="003B5F16" w:rsidRPr="005A2EBA" w:rsidRDefault="003B5F16">
      <w:pPr>
        <w:pStyle w:val="TOC1"/>
        <w:tabs>
          <w:tab w:val="right" w:leader="dot" w:pos="9628"/>
        </w:tabs>
        <w:rPr>
          <w:rFonts w:asciiTheme="minorHAnsi" w:hAnsiTheme="minorHAnsi" w:cstheme="minorBidi"/>
          <w:bCs w:val="0"/>
          <w:noProof/>
          <w:kern w:val="2"/>
          <w:lang w:eastAsia="en-GB"/>
          <w14:ligatures w14:val="standardContextual"/>
        </w:rPr>
      </w:pPr>
      <w:hyperlink w:anchor="_Toc243488386" w:history="1">
        <w:r w:rsidRPr="005A2EBA">
          <w:rPr>
            <w:rStyle w:val="Hyperlink"/>
            <w:noProof/>
          </w:rPr>
          <w:t>Key Victorian Government entities</w:t>
        </w:r>
        <w:r w:rsidRPr="005A2EBA">
          <w:rPr>
            <w:noProof/>
            <w:webHidden/>
          </w:rPr>
          <w:tab/>
        </w:r>
        <w:r w:rsidRPr="005A2EBA">
          <w:rPr>
            <w:noProof/>
            <w:webHidden/>
          </w:rPr>
          <w:fldChar w:fldCharType="begin"/>
        </w:r>
        <w:r w:rsidRPr="005A2EBA">
          <w:rPr>
            <w:noProof/>
            <w:webHidden/>
          </w:rPr>
          <w:instrText xml:space="preserve"> PAGEREF _Toc243488386 \h </w:instrText>
        </w:r>
        <w:r w:rsidRPr="005A2EBA">
          <w:rPr>
            <w:noProof/>
            <w:webHidden/>
          </w:rPr>
        </w:r>
        <w:r w:rsidRPr="005A2EBA">
          <w:rPr>
            <w:noProof/>
            <w:webHidden/>
          </w:rPr>
          <w:fldChar w:fldCharType="separate"/>
        </w:r>
        <w:r w:rsidR="00DB4418">
          <w:rPr>
            <w:noProof/>
            <w:webHidden/>
          </w:rPr>
          <w:t>50</w:t>
        </w:r>
        <w:r w:rsidRPr="005A2EBA">
          <w:rPr>
            <w:noProof/>
            <w:webHidden/>
          </w:rPr>
          <w:fldChar w:fldCharType="end"/>
        </w:r>
      </w:hyperlink>
    </w:p>
    <w:p w14:paraId="589F3D0D" w14:textId="0F4B8A56" w:rsidR="003B5F16" w:rsidRPr="005A2EBA" w:rsidRDefault="003B5F16">
      <w:pPr>
        <w:pStyle w:val="TOC1"/>
        <w:tabs>
          <w:tab w:val="right" w:leader="dot" w:pos="9628"/>
        </w:tabs>
        <w:rPr>
          <w:rFonts w:asciiTheme="minorHAnsi" w:hAnsiTheme="minorHAnsi" w:cstheme="minorBidi"/>
          <w:bCs w:val="0"/>
          <w:noProof/>
          <w:kern w:val="2"/>
          <w:lang w:eastAsia="en-GB"/>
          <w14:ligatures w14:val="standardContextual"/>
        </w:rPr>
      </w:pPr>
      <w:hyperlink w:anchor="_Toc243488387" w:history="1">
        <w:r w:rsidRPr="005A2EBA">
          <w:rPr>
            <w:rStyle w:val="Hyperlink"/>
            <w:noProof/>
          </w:rPr>
          <w:t>Subsector packs</w:t>
        </w:r>
        <w:r w:rsidRPr="005A2EBA">
          <w:rPr>
            <w:noProof/>
            <w:webHidden/>
          </w:rPr>
          <w:tab/>
        </w:r>
        <w:r w:rsidRPr="005A2EBA">
          <w:rPr>
            <w:noProof/>
            <w:webHidden/>
          </w:rPr>
          <w:fldChar w:fldCharType="begin"/>
        </w:r>
        <w:r w:rsidRPr="005A2EBA">
          <w:rPr>
            <w:noProof/>
            <w:webHidden/>
          </w:rPr>
          <w:instrText xml:space="preserve"> PAGEREF _Toc243488387 \h </w:instrText>
        </w:r>
        <w:r w:rsidRPr="005A2EBA">
          <w:rPr>
            <w:noProof/>
            <w:webHidden/>
          </w:rPr>
        </w:r>
        <w:r w:rsidRPr="005A2EBA">
          <w:rPr>
            <w:noProof/>
            <w:webHidden/>
          </w:rPr>
          <w:fldChar w:fldCharType="separate"/>
        </w:r>
        <w:r w:rsidR="00DB4418">
          <w:rPr>
            <w:noProof/>
            <w:webHidden/>
          </w:rPr>
          <w:t>53</w:t>
        </w:r>
        <w:r w:rsidRPr="005A2EBA">
          <w:rPr>
            <w:noProof/>
            <w:webHidden/>
          </w:rPr>
          <w:fldChar w:fldCharType="end"/>
        </w:r>
      </w:hyperlink>
    </w:p>
    <w:p w14:paraId="6FF60871" w14:textId="03328A4C" w:rsidR="003B5F16" w:rsidRPr="005A2EBA" w:rsidRDefault="003B5F16">
      <w:pPr>
        <w:pStyle w:val="TOC1"/>
        <w:tabs>
          <w:tab w:val="right" w:leader="dot" w:pos="9628"/>
        </w:tabs>
        <w:rPr>
          <w:rFonts w:asciiTheme="minorHAnsi" w:hAnsiTheme="minorHAnsi" w:cstheme="minorBidi"/>
          <w:bCs w:val="0"/>
          <w:noProof/>
          <w:kern w:val="2"/>
          <w:lang w:eastAsia="en-GB"/>
          <w14:ligatures w14:val="standardContextual"/>
        </w:rPr>
      </w:pPr>
      <w:hyperlink w:anchor="_Toc243488388" w:history="1">
        <w:r w:rsidRPr="005A2EBA">
          <w:rPr>
            <w:rStyle w:val="Hyperlink"/>
            <w:noProof/>
          </w:rPr>
          <w:t>Publication information</w:t>
        </w:r>
        <w:r w:rsidRPr="005A2EBA">
          <w:rPr>
            <w:noProof/>
            <w:webHidden/>
          </w:rPr>
          <w:tab/>
        </w:r>
        <w:r w:rsidRPr="005A2EBA">
          <w:rPr>
            <w:noProof/>
            <w:webHidden/>
          </w:rPr>
          <w:fldChar w:fldCharType="begin"/>
        </w:r>
        <w:r w:rsidRPr="005A2EBA">
          <w:rPr>
            <w:noProof/>
            <w:webHidden/>
          </w:rPr>
          <w:instrText xml:space="preserve"> PAGEREF _Toc243488388 \h </w:instrText>
        </w:r>
        <w:r w:rsidRPr="005A2EBA">
          <w:rPr>
            <w:noProof/>
            <w:webHidden/>
          </w:rPr>
        </w:r>
        <w:r w:rsidRPr="005A2EBA">
          <w:rPr>
            <w:noProof/>
            <w:webHidden/>
          </w:rPr>
          <w:fldChar w:fldCharType="separate"/>
        </w:r>
        <w:r w:rsidR="00DB4418">
          <w:rPr>
            <w:noProof/>
            <w:webHidden/>
          </w:rPr>
          <w:t>54</w:t>
        </w:r>
        <w:r w:rsidRPr="005A2EBA">
          <w:rPr>
            <w:noProof/>
            <w:webHidden/>
          </w:rPr>
          <w:fldChar w:fldCharType="end"/>
        </w:r>
      </w:hyperlink>
    </w:p>
    <w:p w14:paraId="4F32CA67" w14:textId="4CAEC665" w:rsidR="00B165A7" w:rsidRPr="005A2EBA" w:rsidRDefault="00C81AC2">
      <w:pPr>
        <w:suppressAutoHyphens w:val="0"/>
        <w:spacing w:after="160"/>
        <w:rPr>
          <w:rFonts w:asciiTheme="majorHAnsi" w:hAnsiTheme="majorHAnsi" w:cstheme="majorHAnsi"/>
          <w:szCs w:val="24"/>
        </w:rPr>
        <w:sectPr w:rsidR="00B165A7" w:rsidRPr="005A2EBA" w:rsidSect="00EB277B">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134" w:header="720" w:footer="454" w:gutter="0"/>
          <w:cols w:space="720"/>
          <w:noEndnote/>
          <w:docGrid w:linePitch="326"/>
        </w:sectPr>
      </w:pPr>
      <w:r w:rsidRPr="005A2EBA">
        <w:rPr>
          <w:rFonts w:asciiTheme="majorHAnsi" w:hAnsiTheme="majorHAnsi" w:cstheme="majorHAnsi"/>
          <w:b/>
          <w:bCs/>
          <w:sz w:val="28"/>
          <w:szCs w:val="24"/>
        </w:rPr>
        <w:fldChar w:fldCharType="end"/>
      </w:r>
    </w:p>
    <w:p w14:paraId="391ED6F8" w14:textId="77777777" w:rsidR="004677A5" w:rsidRPr="005A2EBA" w:rsidRDefault="004677A5" w:rsidP="00FD7E9D">
      <w:pPr>
        <w:pStyle w:val="Heading1"/>
        <w:ind w:right="282"/>
      </w:pPr>
      <w:bookmarkStart w:id="0" w:name="_Toc243488367"/>
      <w:bookmarkStart w:id="1" w:name="_Toc184285036"/>
      <w:r w:rsidRPr="005A2EBA">
        <w:lastRenderedPageBreak/>
        <w:t>Traditional Owners at the centre for decision-making processes</w:t>
      </w:r>
      <w:bookmarkEnd w:id="0"/>
    </w:p>
    <w:p w14:paraId="6F29BFD5" w14:textId="77777777" w:rsidR="004677A5" w:rsidRPr="005A2EBA" w:rsidRDefault="004677A5">
      <w:pPr>
        <w:pStyle w:val="BodyText"/>
      </w:pPr>
      <w:r w:rsidRPr="005A2EBA">
        <w:t xml:space="preserve">Strong and mutually beneficial partnerships with Traditional Owners and First Peoples are imperative to the energy transition’s success and integral to ensuring the goals and objectives of self-determination set out in the Victorian Government’s Self Determination Reform Framework and the Department of Energy, Environment and Climate Action’s (DEECA) </w:t>
      </w:r>
      <w:proofErr w:type="spellStart"/>
      <w:r w:rsidRPr="005A2EBA">
        <w:t>Pupangarli</w:t>
      </w:r>
      <w:proofErr w:type="spellEnd"/>
      <w:r w:rsidRPr="005A2EBA">
        <w:t xml:space="preserve"> </w:t>
      </w:r>
      <w:proofErr w:type="spellStart"/>
      <w:r w:rsidRPr="005A2EBA">
        <w:t>Marnmarnepu</w:t>
      </w:r>
      <w:proofErr w:type="spellEnd"/>
      <w:r w:rsidRPr="005A2EBA">
        <w:t xml:space="preserve"> ‘Owning Our Future’ Aboriginal Self-Determination Reform Strategy 2020–2025.</w:t>
      </w:r>
    </w:p>
    <w:p w14:paraId="2FB1431E" w14:textId="77777777" w:rsidR="004677A5" w:rsidRPr="005A2EBA" w:rsidRDefault="004677A5" w:rsidP="00E650E4">
      <w:pPr>
        <w:pStyle w:val="BodyText"/>
        <w:ind w:right="-143"/>
      </w:pPr>
      <w:r w:rsidRPr="005A2EBA">
        <w:t xml:space="preserve">For more information, visit the </w:t>
      </w:r>
      <w:hyperlink r:id="rId14" w:tooltip="Opens the DEECA web page for Pupangarli Marnmarnepu ‘Owning Our Future’ Aboriginal Self-Determination Reform Strategy 2020–2025" w:history="1">
        <w:proofErr w:type="spellStart"/>
        <w:r w:rsidRPr="005A2EBA">
          <w:rPr>
            <w:rStyle w:val="Hyperlink"/>
          </w:rPr>
          <w:t>Pupangarli</w:t>
        </w:r>
        <w:proofErr w:type="spellEnd"/>
        <w:r w:rsidRPr="005A2EBA">
          <w:rPr>
            <w:rStyle w:val="Hyperlink"/>
          </w:rPr>
          <w:t xml:space="preserve"> </w:t>
        </w:r>
        <w:proofErr w:type="spellStart"/>
        <w:r w:rsidRPr="005A2EBA">
          <w:rPr>
            <w:rStyle w:val="Hyperlink"/>
          </w:rPr>
          <w:t>Marnmarnepu</w:t>
        </w:r>
        <w:proofErr w:type="spellEnd"/>
        <w:r w:rsidRPr="005A2EBA">
          <w:rPr>
            <w:rStyle w:val="Hyperlink"/>
          </w:rPr>
          <w:t xml:space="preserve"> ‘Owning Our Future’ strategy page</w:t>
        </w:r>
      </w:hyperlink>
      <w:r w:rsidRPr="005A2EBA">
        <w:t>.</w:t>
      </w:r>
    </w:p>
    <w:p w14:paraId="5FD3B3DF" w14:textId="77777777" w:rsidR="00E650E4" w:rsidRPr="005A2EBA" w:rsidRDefault="00E650E4" w:rsidP="00E650E4">
      <w:pPr>
        <w:pStyle w:val="Heading2"/>
      </w:pPr>
      <w:r w:rsidRPr="005A2EBA">
        <w:t>Acknowledgement of Country</w:t>
      </w:r>
    </w:p>
    <w:p w14:paraId="57A85836" w14:textId="77777777" w:rsidR="00E650E4" w:rsidRPr="005A2EBA" w:rsidRDefault="00E650E4" w:rsidP="00E650E4">
      <w:pPr>
        <w:pStyle w:val="BodyText"/>
        <w:spacing w:after="120"/>
      </w:pPr>
      <w:r w:rsidRPr="005A2EBA">
        <w:t>We acknowledge and respect Victorian Traditional Owners as the original custodians of Victoria’s land and waters, their unique ability to care for Country and deep spiritual connection to it.</w:t>
      </w:r>
    </w:p>
    <w:p w14:paraId="704D0687" w14:textId="77777777" w:rsidR="00E650E4" w:rsidRPr="005A2EBA" w:rsidRDefault="00E650E4" w:rsidP="00E650E4">
      <w:pPr>
        <w:pStyle w:val="BodyText"/>
        <w:spacing w:after="120"/>
      </w:pPr>
      <w:r w:rsidRPr="005A2EBA">
        <w:t>We honour Elders past and present whose knowledge and wisdom have ensured the continuation of culture and traditional practices.</w:t>
      </w:r>
    </w:p>
    <w:p w14:paraId="782ED503" w14:textId="6078CC4A" w:rsidR="00E650E4" w:rsidRPr="005A2EBA" w:rsidRDefault="00E650E4" w:rsidP="00E650E4">
      <w:pPr>
        <w:pStyle w:val="BodyText"/>
        <w:spacing w:after="120"/>
      </w:pPr>
      <w:r w:rsidRPr="005A2EBA">
        <w:t>We are committed to genuinely partner, and meaningfully engage, with Victoria’s Traditional Owners and Aboriginal communities to support the protection of Country, the maintenance of spiritual and cultural practices and their broader aspirations in the 21</w:t>
      </w:r>
      <w:r w:rsidRPr="005A2EBA">
        <w:rPr>
          <w:vertAlign w:val="superscript"/>
        </w:rPr>
        <w:t>st</w:t>
      </w:r>
      <w:r w:rsidRPr="005A2EBA">
        <w:t> century and beyond.</w:t>
      </w:r>
    </w:p>
    <w:p w14:paraId="299926E6" w14:textId="77777777" w:rsidR="003B5F16" w:rsidRPr="005A2EBA" w:rsidRDefault="003B5F16" w:rsidP="00FD7E9D">
      <w:pPr>
        <w:pStyle w:val="Heading1"/>
        <w:pageBreakBefore/>
        <w:ind w:right="-285"/>
      </w:pPr>
      <w:bookmarkStart w:id="2" w:name="_Toc243488368"/>
      <w:r w:rsidRPr="005A2EBA">
        <w:lastRenderedPageBreak/>
        <w:t>Welcome to Victoria’s renewable energy sector</w:t>
      </w:r>
      <w:bookmarkEnd w:id="2"/>
    </w:p>
    <w:p w14:paraId="5124F797" w14:textId="77777777" w:rsidR="004677A5" w:rsidRPr="005A2EBA" w:rsidRDefault="004677A5">
      <w:pPr>
        <w:pStyle w:val="Introductoryparagraph"/>
      </w:pPr>
      <w:r w:rsidRPr="005A2EBA">
        <w:t>Our legislated targets and changing energy market are creating investment opportunities.</w:t>
      </w:r>
    </w:p>
    <w:p w14:paraId="123B3D7D" w14:textId="77777777" w:rsidR="004677A5" w:rsidRPr="005A2EBA" w:rsidRDefault="004677A5">
      <w:pPr>
        <w:pStyle w:val="BodyText"/>
      </w:pPr>
      <w:r w:rsidRPr="005A2EBA">
        <w:t>Victoria’s energy market is rapidly transitioning away from a historic reliance on fossil fuels to a distributed and diversified renewable supply mix as the state’s largest coal-fired generators are set to retire by 2035. At the same time, electricity demand is growing as households, businesses and transport electrify and more data centres are added to the mix. Together, these trends are driving the need for new, reliable and clean energy supply.</w:t>
      </w:r>
    </w:p>
    <w:p w14:paraId="05B2B1E4" w14:textId="77777777" w:rsidR="004677A5" w:rsidRPr="005A2EBA" w:rsidRDefault="004677A5">
      <w:pPr>
        <w:pStyle w:val="BodyText"/>
      </w:pPr>
      <w:r w:rsidRPr="005A2EBA">
        <w:t>The utility-scale electricity generation and storage sector is at the heart of our energy transition, supported by legislated renewable energy generation and storage targets. With excellent resources, strong supply chains, world-class research and development capabilities, and a highly skilled workforce, Victoria is a great destination for your investment.</w:t>
      </w:r>
    </w:p>
    <w:p w14:paraId="335F2443" w14:textId="27CD1DF5" w:rsidR="004677A5" w:rsidRPr="005A2EBA" w:rsidRDefault="004677A5">
      <w:pPr>
        <w:pStyle w:val="Caption"/>
        <w:keepNext/>
      </w:pPr>
      <w:r w:rsidRPr="005A2EBA">
        <w:t xml:space="preserve">Table </w:t>
      </w:r>
      <w:fldSimple w:instr=" SEQ Table \* ARABIC \* MERGEFORMAT ">
        <w:r w:rsidR="003B5F16" w:rsidRPr="005A2EBA">
          <w:t>1</w:t>
        </w:r>
      </w:fldSimple>
      <w:r w:rsidRPr="005A2EBA">
        <w:t xml:space="preserve">: </w:t>
      </w:r>
      <w:r w:rsidRPr="005A2EBA">
        <w:rPr>
          <w:b w:val="0"/>
          <w:bCs/>
        </w:rPr>
        <w:t>Key renewable energy figures</w:t>
      </w:r>
    </w:p>
    <w:tbl>
      <w:tblPr>
        <w:tblStyle w:val="Style2"/>
        <w:tblW w:w="0" w:type="auto"/>
        <w:tblLook w:val="04A0" w:firstRow="1" w:lastRow="0" w:firstColumn="1" w:lastColumn="0" w:noHBand="0" w:noVBand="1"/>
        <w:tblCaption w:val="Key renewable energy figures"/>
        <w:tblDescription w:val="Table with 2 columns, Figure and Description, listing 3 key figures: 27 GW of new renewable generation and storage capacity required in Victoria by 2035; Australia’s 82% renewable energy target by 2030; and 9 GW of targeted offshore wind capacity."/>
      </w:tblPr>
      <w:tblGrid>
        <w:gridCol w:w="1975"/>
        <w:gridCol w:w="7643"/>
      </w:tblGrid>
      <w:tr w:rsidR="004677A5" w:rsidRPr="005A2EBA" w14:paraId="54229110" w14:textId="77777777" w:rsidTr="002401CD">
        <w:trPr>
          <w:cnfStyle w:val="100000000000" w:firstRow="1" w:lastRow="0" w:firstColumn="0" w:lastColumn="0" w:oddVBand="0" w:evenVBand="0" w:oddHBand="0" w:evenHBand="0" w:firstRowFirstColumn="0" w:firstRowLastColumn="0" w:lastRowFirstColumn="0" w:lastRowLastColumn="0"/>
          <w:cantSplit/>
          <w:tblHeader/>
        </w:trPr>
        <w:tc>
          <w:tcPr>
            <w:tcW w:w="1975" w:type="dxa"/>
          </w:tcPr>
          <w:p w14:paraId="63FEED2A" w14:textId="77777777" w:rsidR="004677A5" w:rsidRPr="005A2EBA" w:rsidRDefault="004677A5" w:rsidP="00FD7E9D">
            <w:pPr>
              <w:pStyle w:val="Tabletext"/>
              <w:spacing w:line="240" w:lineRule="auto"/>
              <w:jc w:val="center"/>
            </w:pPr>
            <w:r w:rsidRPr="005A2EBA">
              <w:t>Figure</w:t>
            </w:r>
          </w:p>
        </w:tc>
        <w:tc>
          <w:tcPr>
            <w:tcW w:w="7643" w:type="dxa"/>
          </w:tcPr>
          <w:p w14:paraId="45DD4165" w14:textId="77777777" w:rsidR="004677A5" w:rsidRPr="005A2EBA" w:rsidRDefault="004677A5" w:rsidP="00FD7E9D">
            <w:pPr>
              <w:pStyle w:val="Tabletext"/>
              <w:spacing w:line="240" w:lineRule="auto"/>
            </w:pPr>
            <w:r w:rsidRPr="005A2EBA">
              <w:t>Description</w:t>
            </w:r>
          </w:p>
        </w:tc>
      </w:tr>
      <w:tr w:rsidR="004677A5" w:rsidRPr="005A2EBA" w14:paraId="79351457" w14:textId="77777777" w:rsidTr="002401CD">
        <w:trPr>
          <w:cantSplit/>
        </w:trPr>
        <w:tc>
          <w:tcPr>
            <w:tcW w:w="1975" w:type="dxa"/>
          </w:tcPr>
          <w:p w14:paraId="4D23F6B1" w14:textId="77777777" w:rsidR="004677A5" w:rsidRPr="002401CD" w:rsidRDefault="004677A5" w:rsidP="00FD7E9D">
            <w:pPr>
              <w:pStyle w:val="Tabletext"/>
              <w:jc w:val="center"/>
            </w:pPr>
            <w:r w:rsidRPr="002401CD">
              <w:t>27 GW</w:t>
            </w:r>
            <w:r w:rsidRPr="002401CD">
              <w:rPr>
                <w:rStyle w:val="FootnoteReference"/>
              </w:rPr>
              <w:footnoteReference w:id="1"/>
            </w:r>
          </w:p>
        </w:tc>
        <w:tc>
          <w:tcPr>
            <w:tcW w:w="7643" w:type="dxa"/>
          </w:tcPr>
          <w:p w14:paraId="77BBC302" w14:textId="77777777" w:rsidR="004677A5" w:rsidRPr="005A2EBA" w:rsidRDefault="004677A5">
            <w:pPr>
              <w:pStyle w:val="Tabletext"/>
            </w:pPr>
            <w:r w:rsidRPr="005A2EBA">
              <w:t>New renewable generation and storage capacity required by 2035 in Victoria</w:t>
            </w:r>
          </w:p>
        </w:tc>
      </w:tr>
      <w:tr w:rsidR="004677A5" w:rsidRPr="005A2EBA" w14:paraId="3DBAFED6" w14:textId="77777777" w:rsidTr="002401CD">
        <w:trPr>
          <w:cantSplit/>
        </w:trPr>
        <w:tc>
          <w:tcPr>
            <w:tcW w:w="1975" w:type="dxa"/>
          </w:tcPr>
          <w:p w14:paraId="045A4E1D" w14:textId="77777777" w:rsidR="004677A5" w:rsidRPr="002401CD" w:rsidRDefault="004677A5" w:rsidP="00FD7E9D">
            <w:pPr>
              <w:pStyle w:val="Tabletext"/>
              <w:jc w:val="center"/>
            </w:pPr>
            <w:r w:rsidRPr="002401CD">
              <w:t>82%</w:t>
            </w:r>
          </w:p>
        </w:tc>
        <w:tc>
          <w:tcPr>
            <w:tcW w:w="7643" w:type="dxa"/>
          </w:tcPr>
          <w:p w14:paraId="17734F6E" w14:textId="77777777" w:rsidR="004677A5" w:rsidRPr="005A2EBA" w:rsidRDefault="004677A5">
            <w:pPr>
              <w:pStyle w:val="Tabletext"/>
            </w:pPr>
            <w:r w:rsidRPr="005A2EBA">
              <w:t>Australia’s renewable energy target by 2030</w:t>
            </w:r>
          </w:p>
        </w:tc>
      </w:tr>
      <w:tr w:rsidR="004677A5" w:rsidRPr="005A2EBA" w14:paraId="5005E4A3" w14:textId="77777777" w:rsidTr="002401CD">
        <w:trPr>
          <w:cantSplit/>
        </w:trPr>
        <w:tc>
          <w:tcPr>
            <w:tcW w:w="1975" w:type="dxa"/>
          </w:tcPr>
          <w:p w14:paraId="49CF2358" w14:textId="77777777" w:rsidR="004677A5" w:rsidRPr="002401CD" w:rsidRDefault="004677A5" w:rsidP="00FD7E9D">
            <w:pPr>
              <w:pStyle w:val="Tabletext"/>
              <w:jc w:val="center"/>
            </w:pPr>
            <w:r w:rsidRPr="002401CD">
              <w:t>9 GW</w:t>
            </w:r>
          </w:p>
        </w:tc>
        <w:tc>
          <w:tcPr>
            <w:tcW w:w="7643" w:type="dxa"/>
          </w:tcPr>
          <w:p w14:paraId="2A8BCB60" w14:textId="77777777" w:rsidR="004677A5" w:rsidRPr="005A2EBA" w:rsidRDefault="004677A5">
            <w:pPr>
              <w:pStyle w:val="Tabletext"/>
            </w:pPr>
            <w:r w:rsidRPr="005A2EBA">
              <w:t>Targeted offshore wind capacity</w:t>
            </w:r>
          </w:p>
        </w:tc>
      </w:tr>
    </w:tbl>
    <w:p w14:paraId="0D2114FD" w14:textId="29967B74" w:rsidR="004677A5" w:rsidRPr="005A2EBA" w:rsidRDefault="004677A5">
      <w:pPr>
        <w:pStyle w:val="Caption"/>
        <w:keepNext/>
      </w:pPr>
      <w:r w:rsidRPr="005A2EBA">
        <w:lastRenderedPageBreak/>
        <w:t xml:space="preserve">Table </w:t>
      </w:r>
      <w:fldSimple w:instr=" SEQ Table \* ARABIC \* MERGEFORMAT ">
        <w:r w:rsidR="003B5F16" w:rsidRPr="005A2EBA">
          <w:t>2</w:t>
        </w:r>
      </w:fldSimple>
      <w:r w:rsidRPr="005A2EBA">
        <w:t xml:space="preserve">: </w:t>
      </w:r>
      <w:r w:rsidRPr="005A2EBA">
        <w:rPr>
          <w:b w:val="0"/>
          <w:bCs/>
        </w:rPr>
        <w:t>The Victorian Government’s legislated targets</w:t>
      </w:r>
    </w:p>
    <w:tbl>
      <w:tblPr>
        <w:tblStyle w:val="Style2"/>
        <w:tblW w:w="0" w:type="auto"/>
        <w:tblLook w:val="04A0" w:firstRow="1" w:lastRow="0" w:firstColumn="1" w:lastColumn="0" w:noHBand="0" w:noVBand="1"/>
        <w:tblCaption w:val="The Victorian Government’s legislated targets"/>
        <w:tblDescription w:val="Table with 3 columns, Year, Renewable electricity generation target and Energy storage target, listing Victoria’s legislated targets: 25% renewable electricity by 2020; 40% by 2025; 65% by 2030 with 2.6 GW of energy storage; 95% by 2035 with 6.3 GW of energy storage; and net-zero emissions by 2045."/>
      </w:tblPr>
      <w:tblGrid>
        <w:gridCol w:w="1266"/>
        <w:gridCol w:w="5387"/>
        <w:gridCol w:w="2965"/>
      </w:tblGrid>
      <w:tr w:rsidR="004677A5" w:rsidRPr="005A2EBA" w14:paraId="4A19E23D" w14:textId="77777777" w:rsidTr="00FD7E9D">
        <w:trPr>
          <w:cnfStyle w:val="100000000000" w:firstRow="1" w:lastRow="0" w:firstColumn="0" w:lastColumn="0" w:oddVBand="0" w:evenVBand="0" w:oddHBand="0" w:evenHBand="0" w:firstRowFirstColumn="0" w:firstRowLastColumn="0" w:lastRowFirstColumn="0" w:lastRowLastColumn="0"/>
          <w:cantSplit/>
          <w:tblHeader/>
        </w:trPr>
        <w:tc>
          <w:tcPr>
            <w:tcW w:w="1266" w:type="dxa"/>
          </w:tcPr>
          <w:p w14:paraId="492EE43C" w14:textId="77777777" w:rsidR="004677A5" w:rsidRPr="005A2EBA" w:rsidRDefault="004677A5" w:rsidP="00FD7E9D">
            <w:pPr>
              <w:pStyle w:val="Tabletext"/>
              <w:spacing w:line="240" w:lineRule="auto"/>
              <w:jc w:val="center"/>
            </w:pPr>
            <w:r w:rsidRPr="005A2EBA">
              <w:t>Year</w:t>
            </w:r>
          </w:p>
        </w:tc>
        <w:tc>
          <w:tcPr>
            <w:tcW w:w="5387" w:type="dxa"/>
          </w:tcPr>
          <w:p w14:paraId="26F69FB9" w14:textId="77777777" w:rsidR="004677A5" w:rsidRPr="005A2EBA" w:rsidRDefault="004677A5" w:rsidP="00FD7E9D">
            <w:pPr>
              <w:pStyle w:val="Tabletext"/>
              <w:spacing w:line="240" w:lineRule="auto"/>
            </w:pPr>
            <w:r w:rsidRPr="005A2EBA">
              <w:t>Renewable electricity generation target</w:t>
            </w:r>
          </w:p>
        </w:tc>
        <w:tc>
          <w:tcPr>
            <w:tcW w:w="2965" w:type="dxa"/>
          </w:tcPr>
          <w:p w14:paraId="5E5A5273" w14:textId="77777777" w:rsidR="004677A5" w:rsidRPr="005A2EBA" w:rsidRDefault="004677A5" w:rsidP="00FD7E9D">
            <w:pPr>
              <w:pStyle w:val="Tabletext"/>
              <w:spacing w:line="240" w:lineRule="auto"/>
              <w:jc w:val="center"/>
            </w:pPr>
            <w:r w:rsidRPr="005A2EBA">
              <w:t>Energy storage target</w:t>
            </w:r>
          </w:p>
        </w:tc>
      </w:tr>
      <w:tr w:rsidR="004677A5" w:rsidRPr="005A2EBA" w14:paraId="0329E29C" w14:textId="77777777" w:rsidTr="00FD7E9D">
        <w:trPr>
          <w:cantSplit/>
        </w:trPr>
        <w:tc>
          <w:tcPr>
            <w:tcW w:w="1266" w:type="dxa"/>
          </w:tcPr>
          <w:p w14:paraId="5E091D8B" w14:textId="77777777" w:rsidR="004677A5" w:rsidRPr="005A2EBA" w:rsidRDefault="004677A5" w:rsidP="00FD7E9D">
            <w:pPr>
              <w:pStyle w:val="Tabletext"/>
              <w:jc w:val="center"/>
              <w:rPr>
                <w:b/>
                <w:bCs/>
              </w:rPr>
            </w:pPr>
            <w:r w:rsidRPr="005A2EBA">
              <w:rPr>
                <w:b/>
                <w:bCs/>
              </w:rPr>
              <w:t>2020</w:t>
            </w:r>
          </w:p>
        </w:tc>
        <w:tc>
          <w:tcPr>
            <w:tcW w:w="5387" w:type="dxa"/>
          </w:tcPr>
          <w:p w14:paraId="1EBF401B" w14:textId="77777777" w:rsidR="004677A5" w:rsidRPr="005A2EBA" w:rsidRDefault="004677A5">
            <w:pPr>
              <w:pStyle w:val="Tabletext"/>
            </w:pPr>
            <w:r w:rsidRPr="005A2EBA">
              <w:t>25% renewable electricity generation (achieved)</w:t>
            </w:r>
          </w:p>
        </w:tc>
        <w:tc>
          <w:tcPr>
            <w:tcW w:w="2965" w:type="dxa"/>
          </w:tcPr>
          <w:p w14:paraId="2A0B00C9" w14:textId="77777777" w:rsidR="004677A5" w:rsidRPr="005A2EBA" w:rsidRDefault="004677A5" w:rsidP="00FD7E9D">
            <w:pPr>
              <w:pStyle w:val="Tabletext"/>
              <w:jc w:val="center"/>
            </w:pPr>
            <w:r w:rsidRPr="005A2EBA">
              <w:t>–</w:t>
            </w:r>
          </w:p>
        </w:tc>
      </w:tr>
      <w:tr w:rsidR="004677A5" w:rsidRPr="005A2EBA" w14:paraId="150EBA25" w14:textId="77777777" w:rsidTr="00FD7E9D">
        <w:trPr>
          <w:cantSplit/>
        </w:trPr>
        <w:tc>
          <w:tcPr>
            <w:tcW w:w="1266" w:type="dxa"/>
          </w:tcPr>
          <w:p w14:paraId="78E72800" w14:textId="77777777" w:rsidR="004677A5" w:rsidRPr="005A2EBA" w:rsidRDefault="004677A5" w:rsidP="00FD7E9D">
            <w:pPr>
              <w:pStyle w:val="Tabletext"/>
              <w:jc w:val="center"/>
              <w:rPr>
                <w:b/>
                <w:bCs/>
              </w:rPr>
            </w:pPr>
            <w:r w:rsidRPr="005A2EBA">
              <w:rPr>
                <w:b/>
                <w:bCs/>
              </w:rPr>
              <w:t>2025</w:t>
            </w:r>
          </w:p>
        </w:tc>
        <w:tc>
          <w:tcPr>
            <w:tcW w:w="5387" w:type="dxa"/>
          </w:tcPr>
          <w:p w14:paraId="56F68415" w14:textId="77777777" w:rsidR="004677A5" w:rsidRPr="005A2EBA" w:rsidRDefault="004677A5">
            <w:pPr>
              <w:pStyle w:val="Tabletext"/>
            </w:pPr>
            <w:r w:rsidRPr="005A2EBA">
              <w:t>40% renewable electricity generation (achieved)</w:t>
            </w:r>
          </w:p>
        </w:tc>
        <w:tc>
          <w:tcPr>
            <w:tcW w:w="2965" w:type="dxa"/>
          </w:tcPr>
          <w:p w14:paraId="4A36029A" w14:textId="77777777" w:rsidR="004677A5" w:rsidRPr="005A2EBA" w:rsidRDefault="004677A5" w:rsidP="00FD7E9D">
            <w:pPr>
              <w:pStyle w:val="Tabletext"/>
              <w:jc w:val="center"/>
            </w:pPr>
            <w:r w:rsidRPr="005A2EBA">
              <w:t>–</w:t>
            </w:r>
          </w:p>
        </w:tc>
      </w:tr>
      <w:tr w:rsidR="004677A5" w:rsidRPr="005A2EBA" w14:paraId="445B4633" w14:textId="77777777" w:rsidTr="00FD7E9D">
        <w:trPr>
          <w:cantSplit/>
        </w:trPr>
        <w:tc>
          <w:tcPr>
            <w:tcW w:w="1266" w:type="dxa"/>
            <w:vAlign w:val="center"/>
          </w:tcPr>
          <w:p w14:paraId="7107DC01" w14:textId="77777777" w:rsidR="004677A5" w:rsidRPr="005A2EBA" w:rsidRDefault="004677A5" w:rsidP="00FD7E9D">
            <w:pPr>
              <w:pStyle w:val="Tabletext"/>
              <w:jc w:val="center"/>
              <w:rPr>
                <w:b/>
                <w:bCs/>
              </w:rPr>
            </w:pPr>
            <w:r w:rsidRPr="005A2EBA">
              <w:rPr>
                <w:b/>
                <w:bCs/>
              </w:rPr>
              <w:t>2030</w:t>
            </w:r>
          </w:p>
        </w:tc>
        <w:tc>
          <w:tcPr>
            <w:tcW w:w="5387" w:type="dxa"/>
            <w:vAlign w:val="center"/>
          </w:tcPr>
          <w:p w14:paraId="559005E7" w14:textId="77777777" w:rsidR="004677A5" w:rsidRPr="005A2EBA" w:rsidRDefault="004677A5" w:rsidP="00FD7E9D">
            <w:pPr>
              <w:pStyle w:val="Tabletext"/>
            </w:pPr>
            <w:r w:rsidRPr="005A2EBA">
              <w:t>65% renewable electricity generation</w:t>
            </w:r>
          </w:p>
        </w:tc>
        <w:tc>
          <w:tcPr>
            <w:tcW w:w="2965" w:type="dxa"/>
          </w:tcPr>
          <w:p w14:paraId="113F4C35" w14:textId="22FE4F8E" w:rsidR="004677A5" w:rsidRPr="005A2EBA" w:rsidRDefault="004677A5" w:rsidP="00FD7E9D">
            <w:pPr>
              <w:pStyle w:val="Tabletext"/>
              <w:spacing w:after="240"/>
              <w:jc w:val="center"/>
            </w:pPr>
            <w:r w:rsidRPr="005A2EBA">
              <w:t>2.6 GW energy storage</w:t>
            </w:r>
            <w:r w:rsidR="00FD7E9D" w:rsidRPr="005A2EBA">
              <w:t> </w:t>
            </w:r>
            <w:r w:rsidRPr="005A2EBA">
              <w:t>capacity</w:t>
            </w:r>
          </w:p>
        </w:tc>
      </w:tr>
      <w:tr w:rsidR="004677A5" w:rsidRPr="005A2EBA" w14:paraId="069CCE4E" w14:textId="77777777" w:rsidTr="00FD7E9D">
        <w:trPr>
          <w:cantSplit/>
        </w:trPr>
        <w:tc>
          <w:tcPr>
            <w:tcW w:w="1266" w:type="dxa"/>
            <w:vAlign w:val="center"/>
          </w:tcPr>
          <w:p w14:paraId="7CA0EE29" w14:textId="77777777" w:rsidR="004677A5" w:rsidRPr="005A2EBA" w:rsidRDefault="004677A5" w:rsidP="00FD7E9D">
            <w:pPr>
              <w:pStyle w:val="Tabletext"/>
              <w:jc w:val="center"/>
              <w:rPr>
                <w:b/>
                <w:bCs/>
              </w:rPr>
            </w:pPr>
            <w:r w:rsidRPr="005A2EBA">
              <w:rPr>
                <w:b/>
                <w:bCs/>
              </w:rPr>
              <w:t>2035</w:t>
            </w:r>
          </w:p>
        </w:tc>
        <w:tc>
          <w:tcPr>
            <w:tcW w:w="5387" w:type="dxa"/>
            <w:vAlign w:val="center"/>
          </w:tcPr>
          <w:p w14:paraId="44DDA0B7" w14:textId="77777777" w:rsidR="004677A5" w:rsidRPr="005A2EBA" w:rsidRDefault="004677A5" w:rsidP="00FD7E9D">
            <w:pPr>
              <w:pStyle w:val="Tabletext"/>
            </w:pPr>
            <w:r w:rsidRPr="005A2EBA">
              <w:t>95% renewable electricity generation</w:t>
            </w:r>
          </w:p>
        </w:tc>
        <w:tc>
          <w:tcPr>
            <w:tcW w:w="2965" w:type="dxa"/>
          </w:tcPr>
          <w:p w14:paraId="056B760F" w14:textId="3148B834" w:rsidR="004677A5" w:rsidRPr="005A2EBA" w:rsidRDefault="004677A5" w:rsidP="00FD7E9D">
            <w:pPr>
              <w:pStyle w:val="Tabletext"/>
              <w:spacing w:after="240"/>
              <w:jc w:val="center"/>
            </w:pPr>
            <w:r w:rsidRPr="005A2EBA">
              <w:t>6.3 GW energy storage</w:t>
            </w:r>
            <w:r w:rsidR="00FD7E9D" w:rsidRPr="005A2EBA">
              <w:t> </w:t>
            </w:r>
            <w:r w:rsidRPr="005A2EBA">
              <w:t>capacity</w:t>
            </w:r>
          </w:p>
        </w:tc>
      </w:tr>
      <w:tr w:rsidR="004677A5" w:rsidRPr="005A2EBA" w14:paraId="028CC946" w14:textId="77777777" w:rsidTr="00FD7E9D">
        <w:trPr>
          <w:cantSplit/>
        </w:trPr>
        <w:tc>
          <w:tcPr>
            <w:tcW w:w="1266" w:type="dxa"/>
          </w:tcPr>
          <w:p w14:paraId="48A34A4C" w14:textId="77777777" w:rsidR="004677A5" w:rsidRPr="005A2EBA" w:rsidRDefault="004677A5" w:rsidP="00FD7E9D">
            <w:pPr>
              <w:pStyle w:val="Tabletext"/>
              <w:jc w:val="center"/>
              <w:rPr>
                <w:b/>
                <w:bCs/>
              </w:rPr>
            </w:pPr>
            <w:r w:rsidRPr="005A2EBA">
              <w:rPr>
                <w:b/>
                <w:bCs/>
              </w:rPr>
              <w:t>2045</w:t>
            </w:r>
          </w:p>
        </w:tc>
        <w:tc>
          <w:tcPr>
            <w:tcW w:w="5387" w:type="dxa"/>
          </w:tcPr>
          <w:p w14:paraId="3B6615C9" w14:textId="77777777" w:rsidR="004677A5" w:rsidRPr="005A2EBA" w:rsidRDefault="004677A5">
            <w:pPr>
              <w:pStyle w:val="Tabletext"/>
            </w:pPr>
            <w:r w:rsidRPr="005A2EBA">
              <w:t>Net-zero emissions</w:t>
            </w:r>
          </w:p>
        </w:tc>
        <w:tc>
          <w:tcPr>
            <w:tcW w:w="2965" w:type="dxa"/>
          </w:tcPr>
          <w:p w14:paraId="565E8122" w14:textId="77777777" w:rsidR="004677A5" w:rsidRPr="005A2EBA" w:rsidRDefault="004677A5" w:rsidP="00FD7E9D">
            <w:pPr>
              <w:pStyle w:val="Tabletext"/>
              <w:jc w:val="center"/>
            </w:pPr>
            <w:r w:rsidRPr="005A2EBA">
              <w:t>–</w:t>
            </w:r>
          </w:p>
        </w:tc>
      </w:tr>
    </w:tbl>
    <w:p w14:paraId="7E3102AE" w14:textId="77777777" w:rsidR="003B5F16" w:rsidRPr="005A2EBA" w:rsidRDefault="003B5F16">
      <w:pPr>
        <w:pStyle w:val="Heading1"/>
        <w:pageBreakBefore/>
      </w:pPr>
      <w:bookmarkStart w:id="3" w:name="_Toc243488369"/>
      <w:r w:rsidRPr="005A2EBA">
        <w:lastRenderedPageBreak/>
        <w:t>Invest in Victoria’s utility-scale electricity generation and storage sector</w:t>
      </w:r>
      <w:bookmarkEnd w:id="3"/>
    </w:p>
    <w:p w14:paraId="4E2EB9FC" w14:textId="77777777" w:rsidR="004677A5" w:rsidRPr="005A2EBA" w:rsidRDefault="004677A5">
      <w:pPr>
        <w:pStyle w:val="Heading2"/>
      </w:pPr>
      <w:r w:rsidRPr="005A2EBA">
        <w:t>Clear targets</w:t>
      </w:r>
    </w:p>
    <w:p w14:paraId="71A1E677" w14:textId="77777777" w:rsidR="004677A5" w:rsidRPr="005A2EBA" w:rsidRDefault="004677A5">
      <w:pPr>
        <w:pStyle w:val="BodyText"/>
      </w:pPr>
      <w:r w:rsidRPr="005A2EBA">
        <w:t>Legislated targets of 95% renewable electricity generation and 6.3 GW of storage by 2035.</w:t>
      </w:r>
    </w:p>
    <w:p w14:paraId="6B134EFA" w14:textId="77777777" w:rsidR="004677A5" w:rsidRPr="005A2EBA" w:rsidRDefault="004677A5">
      <w:pPr>
        <w:pStyle w:val="Heading2"/>
      </w:pPr>
      <w:r w:rsidRPr="005A2EBA">
        <w:t>World-class wind</w:t>
      </w:r>
    </w:p>
    <w:p w14:paraId="5EC9AE4D" w14:textId="77777777" w:rsidR="004677A5" w:rsidRPr="005A2EBA" w:rsidRDefault="004677A5">
      <w:pPr>
        <w:pStyle w:val="BodyText"/>
      </w:pPr>
      <w:r w:rsidRPr="005A2EBA">
        <w:t>Excellent wind resources, with top average wind speeds of 8.4 m/s in western Victoria.</w:t>
      </w:r>
    </w:p>
    <w:p w14:paraId="7A30A5F2" w14:textId="77777777" w:rsidR="004677A5" w:rsidRPr="005A2EBA" w:rsidRDefault="004677A5">
      <w:pPr>
        <w:pStyle w:val="Heading2"/>
      </w:pPr>
      <w:r w:rsidRPr="005A2EBA">
        <w:t>Excellent solar</w:t>
      </w:r>
    </w:p>
    <w:p w14:paraId="375B3D49" w14:textId="77777777" w:rsidR="004677A5" w:rsidRPr="005A2EBA" w:rsidRDefault="004677A5">
      <w:pPr>
        <w:pStyle w:val="BodyText"/>
      </w:pPr>
      <w:r w:rsidRPr="005A2EBA">
        <w:t>Solar irradiation levels are world-leading, with north-west Victoria exceeding 1,900 kWh/m² annually.</w:t>
      </w:r>
    </w:p>
    <w:p w14:paraId="424AE379" w14:textId="77777777" w:rsidR="004677A5" w:rsidRPr="005A2EBA" w:rsidRDefault="004677A5">
      <w:pPr>
        <w:pStyle w:val="Heading2"/>
      </w:pPr>
      <w:r w:rsidRPr="005A2EBA">
        <w:t>Transmission investment</w:t>
      </w:r>
    </w:p>
    <w:p w14:paraId="4E057D83" w14:textId="77777777" w:rsidR="004677A5" w:rsidRPr="005A2EBA" w:rsidRDefault="004677A5">
      <w:pPr>
        <w:pStyle w:val="BodyText"/>
      </w:pPr>
      <w:r w:rsidRPr="005A2EBA">
        <w:t>Planned transmission upgrades are unlocking more of Victoria’s wind and solar resources.</w:t>
      </w:r>
    </w:p>
    <w:p w14:paraId="43ACDB4A" w14:textId="77777777" w:rsidR="004677A5" w:rsidRPr="005A2EBA" w:rsidRDefault="004677A5">
      <w:pPr>
        <w:pStyle w:val="Heading2"/>
      </w:pPr>
      <w:r w:rsidRPr="005A2EBA">
        <w:t>Faster planning</w:t>
      </w:r>
    </w:p>
    <w:p w14:paraId="59657169" w14:textId="77777777" w:rsidR="004677A5" w:rsidRPr="005A2EBA" w:rsidRDefault="004677A5">
      <w:pPr>
        <w:pStyle w:val="BodyText"/>
      </w:pPr>
      <w:r w:rsidRPr="005A2EBA">
        <w:t>Streamlined planning approvals through the Development Facilitation Program.</w:t>
      </w:r>
    </w:p>
    <w:p w14:paraId="23BCA695" w14:textId="77777777" w:rsidR="004677A5" w:rsidRPr="005A2EBA" w:rsidRDefault="004677A5">
      <w:pPr>
        <w:pStyle w:val="Heading2"/>
      </w:pPr>
      <w:r w:rsidRPr="005A2EBA">
        <w:t>Competitive electricity market</w:t>
      </w:r>
    </w:p>
    <w:p w14:paraId="174F6904" w14:textId="77777777" w:rsidR="004677A5" w:rsidRPr="005A2EBA" w:rsidRDefault="004677A5" w:rsidP="002401CD">
      <w:pPr>
        <w:pStyle w:val="BodyText"/>
        <w:ind w:right="-285"/>
      </w:pPr>
      <w:r w:rsidRPr="005A2EBA">
        <w:t>At the centre of Australia’s competitive, transparent and privatised National Electricity Market.</w:t>
      </w:r>
    </w:p>
    <w:p w14:paraId="5C7C6B7C" w14:textId="77777777" w:rsidR="004677A5" w:rsidRPr="005A2EBA" w:rsidRDefault="004677A5">
      <w:pPr>
        <w:pStyle w:val="Heading2"/>
      </w:pPr>
      <w:r w:rsidRPr="005A2EBA">
        <w:lastRenderedPageBreak/>
        <w:t xml:space="preserve">Victoria </w:t>
      </w:r>
      <w:proofErr w:type="gramStart"/>
      <w:r w:rsidRPr="005A2EBA">
        <w:t>at a glance</w:t>
      </w:r>
      <w:proofErr w:type="gramEnd"/>
    </w:p>
    <w:p w14:paraId="2C345442" w14:textId="77777777" w:rsidR="004677A5" w:rsidRPr="005A2EBA" w:rsidRDefault="004677A5">
      <w:pPr>
        <w:pStyle w:val="ListBullet"/>
      </w:pPr>
      <w:r w:rsidRPr="005A2EBA">
        <w:t>Victoria is the fastest-growing state in the country with the population expected to reach 10.3 million by 2051.</w:t>
      </w:r>
      <w:r w:rsidRPr="005A2EBA">
        <w:rPr>
          <w:rStyle w:val="FootnoteReference"/>
        </w:rPr>
        <w:footnoteReference w:id="2"/>
      </w:r>
    </w:p>
    <w:p w14:paraId="6E912424" w14:textId="77777777" w:rsidR="004677A5" w:rsidRPr="005A2EBA" w:rsidRDefault="004677A5">
      <w:pPr>
        <w:pStyle w:val="ListBullet"/>
      </w:pPr>
      <w:r w:rsidRPr="005A2EBA">
        <w:t>Victoria contributes nearly a quarter of Australia’s economic activity.</w:t>
      </w:r>
      <w:r w:rsidRPr="005A2EBA">
        <w:rPr>
          <w:rStyle w:val="FootnoteReference"/>
        </w:rPr>
        <w:footnoteReference w:id="3"/>
      </w:r>
    </w:p>
    <w:p w14:paraId="512473CF" w14:textId="77777777" w:rsidR="004677A5" w:rsidRPr="005A2EBA" w:rsidRDefault="004677A5">
      <w:pPr>
        <w:pStyle w:val="LastBulletinList"/>
      </w:pPr>
      <w:r w:rsidRPr="005A2EBA">
        <w:t>Melbourne is ranked the world’s 3rd most liveable city and Australia’s most liveable city.</w:t>
      </w:r>
      <w:r w:rsidRPr="005A2EBA">
        <w:rPr>
          <w:rStyle w:val="FootnoteReference"/>
        </w:rPr>
        <w:footnoteReference w:id="4"/>
      </w:r>
    </w:p>
    <w:p w14:paraId="27A40D4E" w14:textId="77777777" w:rsidR="003B5F16" w:rsidRPr="005A2EBA" w:rsidRDefault="003B5F16">
      <w:pPr>
        <w:pStyle w:val="Heading1"/>
        <w:pageBreakBefore/>
      </w:pPr>
      <w:bookmarkStart w:id="4" w:name="_Toc243488370"/>
      <w:r w:rsidRPr="005A2EBA">
        <w:lastRenderedPageBreak/>
        <w:t>Victoria is at the heart of Australia’s National Electricity Market</w:t>
      </w:r>
      <w:bookmarkEnd w:id="4"/>
    </w:p>
    <w:p w14:paraId="4CE3A211" w14:textId="77777777" w:rsidR="004677A5" w:rsidRPr="005A2EBA" w:rsidRDefault="004677A5">
      <w:pPr>
        <w:pStyle w:val="Introductoryparagraph"/>
      </w:pPr>
      <w:r w:rsidRPr="005A2EBA">
        <w:t>Victoria is located at the very centre of Australia’s National Electricity Market (NEM), linking the state to major load centres and critical infrastructure.</w:t>
      </w:r>
    </w:p>
    <w:p w14:paraId="53CD499B" w14:textId="77777777" w:rsidR="004677A5" w:rsidRPr="005A2EBA" w:rsidRDefault="004677A5">
      <w:pPr>
        <w:pStyle w:val="Heading2"/>
      </w:pPr>
      <w:r w:rsidRPr="005A2EBA">
        <w:t>The National Electricity Market (NEM)</w:t>
      </w:r>
    </w:p>
    <w:p w14:paraId="058D9A93" w14:textId="77777777" w:rsidR="004677A5" w:rsidRPr="005A2EBA" w:rsidRDefault="004677A5">
      <w:pPr>
        <w:pStyle w:val="BodyText"/>
      </w:pPr>
      <w:r w:rsidRPr="005A2EBA">
        <w:t>The NEM is one of the world’s largest interconnected power systems, stretching 5,000 kilometres (km) along Australia’s east and south-east seaboard. It has 5 interconnected states that function as pricing regions. It is a wholesale 5-minute spot market to trade electricity between generators and retailers.</w:t>
      </w:r>
    </w:p>
    <w:p w14:paraId="246FB605" w14:textId="77777777" w:rsidR="004677A5" w:rsidRPr="005A2EBA" w:rsidRDefault="004677A5">
      <w:pPr>
        <w:pStyle w:val="Heading2"/>
      </w:pPr>
      <w:r w:rsidRPr="005A2EBA">
        <w:t>Australian Energy Market Operator (AEMO)</w:t>
      </w:r>
    </w:p>
    <w:p w14:paraId="6CA6B5A1" w14:textId="77777777" w:rsidR="004677A5" w:rsidRPr="005A2EBA" w:rsidRDefault="004677A5">
      <w:pPr>
        <w:pStyle w:val="BodyText"/>
      </w:pPr>
      <w:r w:rsidRPr="005A2EBA">
        <w:t>AEMO manages the electricity and gas systems and markets across Australia, ensuring Australians have access to affordable, secure and reliable energy. AEMO produces trusted publications and reports which can support investment decisions.</w:t>
      </w:r>
    </w:p>
    <w:p w14:paraId="5292DD32" w14:textId="77777777" w:rsidR="004677A5" w:rsidRPr="005A2EBA" w:rsidRDefault="004677A5">
      <w:pPr>
        <w:pStyle w:val="BodyText"/>
      </w:pPr>
      <w:r w:rsidRPr="005A2EBA">
        <w:t xml:space="preserve">For more information, visit the </w:t>
      </w:r>
      <w:hyperlink r:id="rId15" w:tooltip="Opens the Australian Energy Market Operator publications library website" w:history="1">
        <w:r w:rsidRPr="005A2EBA">
          <w:rPr>
            <w:rStyle w:val="Hyperlink"/>
          </w:rPr>
          <w:t>AEMO publications library</w:t>
        </w:r>
      </w:hyperlink>
      <w:r w:rsidRPr="005A2EBA">
        <w:t>.</w:t>
      </w:r>
    </w:p>
    <w:p w14:paraId="673C9CCE" w14:textId="77777777" w:rsidR="004677A5" w:rsidRPr="005A2EBA" w:rsidRDefault="004677A5">
      <w:pPr>
        <w:pStyle w:val="Heading2"/>
      </w:pPr>
      <w:r w:rsidRPr="005A2EBA">
        <w:t>Other regulatory bodies</w:t>
      </w:r>
    </w:p>
    <w:p w14:paraId="1B587C48" w14:textId="77777777" w:rsidR="004677A5" w:rsidRPr="005A2EBA" w:rsidRDefault="004677A5">
      <w:pPr>
        <w:pStyle w:val="ListBullet"/>
      </w:pPr>
      <w:r w:rsidRPr="005A2EBA">
        <w:t xml:space="preserve">Australian Energy Market Commission is the rule maker for Australian electricity and gas markets. For more information, visit the </w:t>
      </w:r>
      <w:hyperlink r:id="rId16" w:tooltip="Opens the Australian Energy Market Commission (AEMC) website" w:history="1">
        <w:r w:rsidRPr="005A2EBA">
          <w:rPr>
            <w:rStyle w:val="Hyperlink"/>
          </w:rPr>
          <w:t>Australian Energy Market Commission website</w:t>
        </w:r>
      </w:hyperlink>
      <w:r w:rsidRPr="005A2EBA">
        <w:t>.</w:t>
      </w:r>
    </w:p>
    <w:p w14:paraId="2CA489C9" w14:textId="77777777" w:rsidR="004677A5" w:rsidRPr="005A2EBA" w:rsidRDefault="004677A5">
      <w:pPr>
        <w:pStyle w:val="LastBulletinList"/>
      </w:pPr>
      <w:r w:rsidRPr="005A2EBA">
        <w:t xml:space="preserve">Australian Energy Regulator regulates energy networks and the wholesale and retail markets in Australia to ensure they are secure, reliable and affordable for consumers. For more information, visit the </w:t>
      </w:r>
      <w:hyperlink r:id="rId17" w:tooltip="Opens the Australian Energy Regulator (AER) website" w:history="1">
        <w:r w:rsidRPr="005A2EBA">
          <w:rPr>
            <w:rStyle w:val="Hyperlink"/>
          </w:rPr>
          <w:t>Australian Energy Regulator website</w:t>
        </w:r>
      </w:hyperlink>
      <w:r w:rsidRPr="005A2EBA">
        <w:t>.</w:t>
      </w:r>
    </w:p>
    <w:p w14:paraId="3F469D44" w14:textId="77777777" w:rsidR="004677A5" w:rsidRPr="005A2EBA" w:rsidRDefault="004677A5">
      <w:pPr>
        <w:pStyle w:val="Heading2"/>
      </w:pPr>
      <w:r w:rsidRPr="005A2EBA">
        <w:lastRenderedPageBreak/>
        <w:t>Victoria’s connections to the NEM</w:t>
      </w:r>
    </w:p>
    <w:p w14:paraId="130C0ADB" w14:textId="020771CA" w:rsidR="004677A5" w:rsidRPr="005A2EBA" w:rsidRDefault="004677A5" w:rsidP="002401CD">
      <w:pPr>
        <w:pStyle w:val="Caption"/>
        <w:keepNext/>
        <w:spacing w:after="0"/>
      </w:pPr>
      <w:bookmarkStart w:id="5" w:name="_Ref243569776"/>
      <w:r w:rsidRPr="005A2EBA">
        <w:t xml:space="preserve">Figure </w:t>
      </w:r>
      <w:fldSimple w:instr=" SEQ Figure \* ARABIC \* MERGEFORMAT ">
        <w:r w:rsidR="003B5F16" w:rsidRPr="005A2EBA">
          <w:t>1</w:t>
        </w:r>
      </w:fldSimple>
      <w:bookmarkEnd w:id="5"/>
      <w:r w:rsidRPr="005A2EBA">
        <w:t xml:space="preserve">: </w:t>
      </w:r>
      <w:r w:rsidRPr="005A2EBA">
        <w:rPr>
          <w:b w:val="0"/>
          <w:bCs/>
        </w:rPr>
        <w:t>The National Electricity Market</w:t>
      </w:r>
    </w:p>
    <w:p w14:paraId="62A5A759" w14:textId="0811F3E7" w:rsidR="00AF3C05" w:rsidRPr="005A2EBA" w:rsidRDefault="00AF3C05" w:rsidP="0079521D">
      <w:pPr>
        <w:pStyle w:val="BodyText"/>
        <w:spacing w:after="120"/>
        <w:jc w:val="center"/>
        <w:rPr>
          <w:highlight w:val="yellow"/>
        </w:rPr>
      </w:pPr>
      <w:r w:rsidRPr="005A2EBA">
        <w:rPr>
          <w:noProof/>
        </w:rPr>
        <w:drawing>
          <wp:inline distT="0" distB="0" distL="0" distR="0" wp14:anchorId="33C69972" wp14:editId="6D343742">
            <wp:extent cx="5291958" cy="4922982"/>
            <wp:effectExtent l="0" t="0" r="4445" b="5080"/>
            <wp:docPr id="1060151021" name="Picture 6" descr="Map shows the National Electricity Market across Queensland, New South Wales, Victoria, South Australia and Tasmania, including four regulated interconnectors linking Victoria with neighbouring states and Tasma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151021" name="Picture 6" descr="Map shows the National Electricity Market across Queensland, New South Wales, Victoria, South Australia and Tasmania, including four regulated interconnectors linking Victoria with neighbouring states and Tasmania."/>
                    <pic:cNvPicPr/>
                  </pic:nvPicPr>
                  <pic:blipFill>
                    <a:blip r:embed="rId18"/>
                    <a:stretch>
                      <a:fillRect/>
                    </a:stretch>
                  </pic:blipFill>
                  <pic:spPr>
                    <a:xfrm>
                      <a:off x="0" y="0"/>
                      <a:ext cx="5357342" cy="4983807"/>
                    </a:xfrm>
                    <a:prstGeom prst="rect">
                      <a:avLst/>
                    </a:prstGeom>
                  </pic:spPr>
                </pic:pic>
              </a:graphicData>
            </a:graphic>
          </wp:inline>
        </w:drawing>
      </w:r>
    </w:p>
    <w:p w14:paraId="088A88B3" w14:textId="02570881" w:rsidR="004677A5" w:rsidRPr="00A800E2" w:rsidRDefault="00AF3C05">
      <w:pPr>
        <w:pStyle w:val="Normalbeforebullets"/>
      </w:pPr>
      <w:r w:rsidRPr="00A800E2">
        <w:fldChar w:fldCharType="begin"/>
      </w:r>
      <w:r w:rsidRPr="00A800E2">
        <w:instrText xml:space="preserve"> REF _Ref243569776 \h </w:instrText>
      </w:r>
      <w:r w:rsidRPr="00A800E2">
        <w:fldChar w:fldCharType="separate"/>
      </w:r>
      <w:r w:rsidRPr="00A800E2">
        <w:t>Figure 1</w:t>
      </w:r>
      <w:r w:rsidRPr="00A800E2">
        <w:fldChar w:fldCharType="end"/>
      </w:r>
      <w:r w:rsidR="00A800E2">
        <w:t xml:space="preserve"> </w:t>
      </w:r>
      <w:r w:rsidR="004677A5" w:rsidRPr="00A800E2">
        <w:t>shows the National Electricity Market service area, which covers Queensland, New South Wales, Victoria, South Australia and Tasmania. Victoria sits at the centre of the market and is directly connected to 3 other states by 4 regulated interconnectors:</w:t>
      </w:r>
    </w:p>
    <w:p w14:paraId="45AADDCB" w14:textId="77777777" w:rsidR="004677A5" w:rsidRPr="005A2EBA" w:rsidRDefault="004677A5" w:rsidP="002401CD">
      <w:pPr>
        <w:pStyle w:val="ListBullet"/>
        <w:spacing w:after="40"/>
      </w:pPr>
      <w:r w:rsidRPr="005A2EBA">
        <w:t>VIC-SA (Heywood), connecting Victoria and South Australia</w:t>
      </w:r>
    </w:p>
    <w:p w14:paraId="470B9960" w14:textId="77777777" w:rsidR="004677A5" w:rsidRPr="005A2EBA" w:rsidRDefault="004677A5" w:rsidP="002401CD">
      <w:pPr>
        <w:pStyle w:val="ListBullet"/>
        <w:spacing w:after="40"/>
      </w:pPr>
      <w:r w:rsidRPr="005A2EBA">
        <w:t>VIC-SA (</w:t>
      </w:r>
      <w:proofErr w:type="spellStart"/>
      <w:r w:rsidRPr="005A2EBA">
        <w:t>Murraylink</w:t>
      </w:r>
      <w:proofErr w:type="spellEnd"/>
      <w:r w:rsidRPr="005A2EBA">
        <w:t>), connecting Victoria and South Australia</w:t>
      </w:r>
    </w:p>
    <w:p w14:paraId="2307CF8B" w14:textId="77777777" w:rsidR="004677A5" w:rsidRPr="005A2EBA" w:rsidRDefault="004677A5" w:rsidP="002401CD">
      <w:pPr>
        <w:pStyle w:val="ListBullet"/>
        <w:spacing w:after="40"/>
      </w:pPr>
      <w:r w:rsidRPr="005A2EBA">
        <w:t>VIC-NSW (</w:t>
      </w:r>
      <w:proofErr w:type="spellStart"/>
      <w:r w:rsidRPr="005A2EBA">
        <w:t>Murraylink</w:t>
      </w:r>
      <w:proofErr w:type="spellEnd"/>
      <w:r w:rsidRPr="005A2EBA">
        <w:t>), connecting Victoria and New South Wales</w:t>
      </w:r>
    </w:p>
    <w:p w14:paraId="7DB1CEE6" w14:textId="77777777" w:rsidR="004677A5" w:rsidRPr="005A2EBA" w:rsidRDefault="004677A5" w:rsidP="0079521D">
      <w:pPr>
        <w:pStyle w:val="LastBulletinList"/>
        <w:spacing w:after="120"/>
      </w:pPr>
      <w:r w:rsidRPr="005A2EBA">
        <w:t>TAS-VIC (</w:t>
      </w:r>
      <w:proofErr w:type="spellStart"/>
      <w:r w:rsidRPr="005A2EBA">
        <w:t>Basslink</w:t>
      </w:r>
      <w:proofErr w:type="spellEnd"/>
      <w:r w:rsidRPr="005A2EBA">
        <w:t>), connecting Tasmania and Victoria.</w:t>
      </w:r>
    </w:p>
    <w:p w14:paraId="295B51BB" w14:textId="77777777" w:rsidR="004677A5" w:rsidRPr="005A2EBA" w:rsidRDefault="004677A5" w:rsidP="0079521D">
      <w:pPr>
        <w:pStyle w:val="BodyText"/>
        <w:spacing w:after="0"/>
      </w:pPr>
      <w:r w:rsidRPr="005A2EBA">
        <w:t>A further interconnector between Victoria and Tasmania, Marinus Link, is currently under planning and development.</w:t>
      </w:r>
    </w:p>
    <w:p w14:paraId="2F5B364C" w14:textId="77777777" w:rsidR="004677A5" w:rsidRPr="005A2EBA" w:rsidRDefault="004677A5">
      <w:pPr>
        <w:pStyle w:val="Heading2"/>
      </w:pPr>
      <w:r w:rsidRPr="005A2EBA">
        <w:lastRenderedPageBreak/>
        <w:t>Investment opportunities</w:t>
      </w:r>
    </w:p>
    <w:p w14:paraId="593EC066" w14:textId="77777777" w:rsidR="004677A5" w:rsidRPr="005A2EBA" w:rsidRDefault="004677A5" w:rsidP="0079521D">
      <w:pPr>
        <w:pStyle w:val="BodyText"/>
        <w:spacing w:after="120"/>
      </w:pPr>
      <w:r w:rsidRPr="005A2EBA">
        <w:t>Victoria’s fully competitive, privatised electricity market creates many opportunities for investors. This includes the spot and contract markets for companies that specialise in buying and selling electricity, with opportunities to leverage market fluctuations and participate in existing and emerging grid services markets.</w:t>
      </w:r>
    </w:p>
    <w:p w14:paraId="5767EB22" w14:textId="77777777" w:rsidR="004677A5" w:rsidRPr="005A2EBA" w:rsidRDefault="004677A5" w:rsidP="0079521D">
      <w:pPr>
        <w:pStyle w:val="BodyText"/>
        <w:spacing w:after="120"/>
      </w:pPr>
      <w:r w:rsidRPr="005A2EBA">
        <w:t xml:space="preserve">For more information, visit the </w:t>
      </w:r>
      <w:hyperlink r:id="rId19" w:tooltip="Opens the Victorian Government energy website page about Victoria’s electricity sector" w:history="1">
        <w:r w:rsidRPr="005A2EBA">
          <w:rPr>
            <w:rStyle w:val="Hyperlink"/>
          </w:rPr>
          <w:t>Victorian electricity sector overview page</w:t>
        </w:r>
      </w:hyperlink>
      <w:r w:rsidRPr="005A2EBA">
        <w:t>.</w:t>
      </w:r>
    </w:p>
    <w:p w14:paraId="48B46EA3" w14:textId="62A95599" w:rsidR="004677A5" w:rsidRPr="005A2EBA" w:rsidRDefault="004677A5" w:rsidP="0079521D">
      <w:pPr>
        <w:pStyle w:val="Caption"/>
        <w:keepNext/>
        <w:spacing w:before="0"/>
      </w:pPr>
      <w:r w:rsidRPr="005A2EBA">
        <w:t xml:space="preserve">Table </w:t>
      </w:r>
      <w:fldSimple w:instr=" SEQ Table \* ARABIC \* MERGEFORMAT ">
        <w:r w:rsidR="003B5F16" w:rsidRPr="005A2EBA">
          <w:t>3</w:t>
        </w:r>
      </w:fldSimple>
      <w:r w:rsidRPr="005A2EBA">
        <w:t xml:space="preserve">: </w:t>
      </w:r>
      <w:r w:rsidRPr="005A2EBA">
        <w:rPr>
          <w:b w:val="0"/>
          <w:bCs/>
        </w:rPr>
        <w:t xml:space="preserve">The National Electricity Market </w:t>
      </w:r>
      <w:proofErr w:type="gramStart"/>
      <w:r w:rsidRPr="005A2EBA">
        <w:rPr>
          <w:b w:val="0"/>
          <w:bCs/>
        </w:rPr>
        <w:t>at a glance</w:t>
      </w:r>
      <w:proofErr w:type="gramEnd"/>
    </w:p>
    <w:tbl>
      <w:tblPr>
        <w:tblStyle w:val="Style2"/>
        <w:tblW w:w="0" w:type="auto"/>
        <w:tblCellMar>
          <w:top w:w="113" w:type="dxa"/>
        </w:tblCellMar>
        <w:tblLook w:val="04A0" w:firstRow="1" w:lastRow="0" w:firstColumn="1" w:lastColumn="0" w:noHBand="0" w:noVBand="1"/>
        <w:tblCaption w:val="The National Electricity Market at a glance"/>
        <w:tblDescription w:val="Table with 2 columns, Measure and Value, listing 8 NEM facts: $25 billion traded in 2024–25; $20,300 per MWh spot price market cap in 2025–26; services about 85% of Australia’s population; about 11 million customers; 40,000 km of transmission lines; 4 regulated interconnectors directly connecting Victoria to 3 other states; about 200 TWh supplied each year; and about 99 GW total generation."/>
      </w:tblPr>
      <w:tblGrid>
        <w:gridCol w:w="7787"/>
        <w:gridCol w:w="1831"/>
      </w:tblGrid>
      <w:tr w:rsidR="004677A5" w:rsidRPr="005A2EBA" w14:paraId="68AB393E" w14:textId="77777777" w:rsidTr="0079521D">
        <w:trPr>
          <w:cnfStyle w:val="100000000000" w:firstRow="1" w:lastRow="0" w:firstColumn="0" w:lastColumn="0" w:oddVBand="0" w:evenVBand="0" w:oddHBand="0" w:evenHBand="0" w:firstRowFirstColumn="0" w:firstRowLastColumn="0" w:lastRowFirstColumn="0" w:lastRowLastColumn="0"/>
          <w:cantSplit/>
          <w:tblHeader/>
        </w:trPr>
        <w:tc>
          <w:tcPr>
            <w:tcW w:w="7787" w:type="dxa"/>
          </w:tcPr>
          <w:p w14:paraId="4D0543A6" w14:textId="77777777" w:rsidR="004677A5" w:rsidRPr="005A2EBA" w:rsidRDefault="004677A5" w:rsidP="00AF3C05">
            <w:pPr>
              <w:pStyle w:val="Tabletext"/>
              <w:spacing w:line="240" w:lineRule="auto"/>
            </w:pPr>
            <w:r w:rsidRPr="005A2EBA">
              <w:t>Measure</w:t>
            </w:r>
          </w:p>
        </w:tc>
        <w:tc>
          <w:tcPr>
            <w:tcW w:w="1831" w:type="dxa"/>
          </w:tcPr>
          <w:p w14:paraId="5E010860" w14:textId="77777777" w:rsidR="004677A5" w:rsidRPr="005A2EBA" w:rsidRDefault="004677A5" w:rsidP="00AF3C05">
            <w:pPr>
              <w:pStyle w:val="Tabletext"/>
              <w:spacing w:line="240" w:lineRule="auto"/>
            </w:pPr>
            <w:r w:rsidRPr="005A2EBA">
              <w:t>Value</w:t>
            </w:r>
          </w:p>
        </w:tc>
      </w:tr>
      <w:tr w:rsidR="004677A5" w:rsidRPr="005A2EBA" w14:paraId="74B6C2BB" w14:textId="77777777" w:rsidTr="0079521D">
        <w:trPr>
          <w:cantSplit/>
        </w:trPr>
        <w:tc>
          <w:tcPr>
            <w:tcW w:w="7787" w:type="dxa"/>
          </w:tcPr>
          <w:p w14:paraId="0BBFEEB8" w14:textId="77777777" w:rsidR="004677A5" w:rsidRPr="005A2EBA" w:rsidRDefault="004677A5">
            <w:pPr>
              <w:pStyle w:val="Tabletext"/>
            </w:pPr>
            <w:r w:rsidRPr="005A2EBA">
              <w:t>Value traded in FY2024–25</w:t>
            </w:r>
            <w:r w:rsidRPr="005A2EBA">
              <w:rPr>
                <w:rStyle w:val="FootnoteReference"/>
              </w:rPr>
              <w:footnoteReference w:id="5"/>
            </w:r>
          </w:p>
        </w:tc>
        <w:tc>
          <w:tcPr>
            <w:tcW w:w="1831" w:type="dxa"/>
          </w:tcPr>
          <w:p w14:paraId="5D35D199" w14:textId="77777777" w:rsidR="004677A5" w:rsidRPr="005A2EBA" w:rsidRDefault="004677A5">
            <w:pPr>
              <w:pStyle w:val="Tabletext"/>
            </w:pPr>
            <w:r w:rsidRPr="005A2EBA">
              <w:t>$25 billion</w:t>
            </w:r>
          </w:p>
        </w:tc>
      </w:tr>
      <w:tr w:rsidR="004677A5" w:rsidRPr="005A2EBA" w14:paraId="15A9D850" w14:textId="77777777" w:rsidTr="0079521D">
        <w:trPr>
          <w:cantSplit/>
        </w:trPr>
        <w:tc>
          <w:tcPr>
            <w:tcW w:w="7787" w:type="dxa"/>
          </w:tcPr>
          <w:p w14:paraId="22596C35" w14:textId="77777777" w:rsidR="004677A5" w:rsidRPr="005A2EBA" w:rsidRDefault="004677A5">
            <w:pPr>
              <w:pStyle w:val="Tabletext"/>
            </w:pPr>
            <w:r w:rsidRPr="005A2EBA">
              <w:t>Spot price market cap FY2025–26</w:t>
            </w:r>
            <w:r w:rsidRPr="005A2EBA">
              <w:rPr>
                <w:rStyle w:val="FootnoteReference"/>
              </w:rPr>
              <w:footnoteReference w:id="6"/>
            </w:r>
          </w:p>
        </w:tc>
        <w:tc>
          <w:tcPr>
            <w:tcW w:w="1831" w:type="dxa"/>
          </w:tcPr>
          <w:p w14:paraId="5B98F2DC" w14:textId="77777777" w:rsidR="004677A5" w:rsidRPr="005A2EBA" w:rsidRDefault="004677A5">
            <w:pPr>
              <w:pStyle w:val="Tabletext"/>
            </w:pPr>
            <w:r w:rsidRPr="005A2EBA">
              <w:t>$20,300/MWh</w:t>
            </w:r>
          </w:p>
        </w:tc>
      </w:tr>
      <w:tr w:rsidR="004677A5" w:rsidRPr="005A2EBA" w14:paraId="2B7A9BAA" w14:textId="77777777" w:rsidTr="0079521D">
        <w:trPr>
          <w:cantSplit/>
        </w:trPr>
        <w:tc>
          <w:tcPr>
            <w:tcW w:w="7787" w:type="dxa"/>
          </w:tcPr>
          <w:p w14:paraId="2FDC283D" w14:textId="77777777" w:rsidR="004677A5" w:rsidRPr="005A2EBA" w:rsidRDefault="004677A5">
            <w:pPr>
              <w:pStyle w:val="Tabletext"/>
            </w:pPr>
            <w:r w:rsidRPr="005A2EBA">
              <w:t>Share of Australia’s population serviced</w:t>
            </w:r>
            <w:r w:rsidRPr="005A2EBA">
              <w:rPr>
                <w:rStyle w:val="FootnoteReference"/>
              </w:rPr>
              <w:footnoteReference w:id="7"/>
            </w:r>
          </w:p>
        </w:tc>
        <w:tc>
          <w:tcPr>
            <w:tcW w:w="1831" w:type="dxa"/>
          </w:tcPr>
          <w:p w14:paraId="2C008853" w14:textId="77777777" w:rsidR="004677A5" w:rsidRPr="005A2EBA" w:rsidRDefault="004677A5">
            <w:pPr>
              <w:pStyle w:val="Tabletext"/>
            </w:pPr>
            <w:r w:rsidRPr="005A2EBA">
              <w:t>~85%</w:t>
            </w:r>
          </w:p>
        </w:tc>
      </w:tr>
      <w:tr w:rsidR="004677A5" w:rsidRPr="005A2EBA" w14:paraId="5025C923" w14:textId="77777777" w:rsidTr="0079521D">
        <w:trPr>
          <w:cantSplit/>
        </w:trPr>
        <w:tc>
          <w:tcPr>
            <w:tcW w:w="7787" w:type="dxa"/>
          </w:tcPr>
          <w:p w14:paraId="19B2957D" w14:textId="77777777" w:rsidR="004677A5" w:rsidRPr="005A2EBA" w:rsidRDefault="004677A5">
            <w:pPr>
              <w:pStyle w:val="Tabletext"/>
            </w:pPr>
            <w:r w:rsidRPr="005A2EBA">
              <w:t>Customers</w:t>
            </w:r>
            <w:r w:rsidRPr="005A2EBA">
              <w:rPr>
                <w:rStyle w:val="FootnoteReference"/>
              </w:rPr>
              <w:footnoteReference w:id="8"/>
            </w:r>
          </w:p>
        </w:tc>
        <w:tc>
          <w:tcPr>
            <w:tcW w:w="1831" w:type="dxa"/>
          </w:tcPr>
          <w:p w14:paraId="731D8FE2" w14:textId="77777777" w:rsidR="004677A5" w:rsidRPr="005A2EBA" w:rsidRDefault="004677A5">
            <w:pPr>
              <w:pStyle w:val="Tabletext"/>
            </w:pPr>
            <w:r w:rsidRPr="005A2EBA">
              <w:t>~11 million</w:t>
            </w:r>
          </w:p>
        </w:tc>
      </w:tr>
      <w:tr w:rsidR="004677A5" w:rsidRPr="005A2EBA" w14:paraId="363B1C06" w14:textId="77777777" w:rsidTr="0079521D">
        <w:trPr>
          <w:cantSplit/>
        </w:trPr>
        <w:tc>
          <w:tcPr>
            <w:tcW w:w="7787" w:type="dxa"/>
          </w:tcPr>
          <w:p w14:paraId="54A21D1A" w14:textId="77777777" w:rsidR="004677A5" w:rsidRPr="005A2EBA" w:rsidRDefault="004677A5">
            <w:pPr>
              <w:pStyle w:val="Tabletext"/>
            </w:pPr>
            <w:r w:rsidRPr="005A2EBA">
              <w:t>Transmission lines</w:t>
            </w:r>
            <w:r w:rsidRPr="005A2EBA">
              <w:rPr>
                <w:rStyle w:val="FootnoteReference"/>
              </w:rPr>
              <w:footnoteReference w:id="9"/>
            </w:r>
          </w:p>
        </w:tc>
        <w:tc>
          <w:tcPr>
            <w:tcW w:w="1831" w:type="dxa"/>
          </w:tcPr>
          <w:p w14:paraId="6A436308" w14:textId="77777777" w:rsidR="004677A5" w:rsidRPr="005A2EBA" w:rsidRDefault="004677A5">
            <w:pPr>
              <w:pStyle w:val="Tabletext"/>
            </w:pPr>
            <w:r w:rsidRPr="005A2EBA">
              <w:t>40,000 km</w:t>
            </w:r>
          </w:p>
        </w:tc>
      </w:tr>
      <w:tr w:rsidR="004677A5" w:rsidRPr="005A2EBA" w14:paraId="37440807" w14:textId="77777777" w:rsidTr="0079521D">
        <w:trPr>
          <w:cantSplit/>
        </w:trPr>
        <w:tc>
          <w:tcPr>
            <w:tcW w:w="7787" w:type="dxa"/>
          </w:tcPr>
          <w:p w14:paraId="14AEDE29" w14:textId="77777777" w:rsidR="004677A5" w:rsidRPr="005A2EBA" w:rsidRDefault="004677A5">
            <w:pPr>
              <w:pStyle w:val="Tabletext"/>
            </w:pPr>
            <w:r w:rsidRPr="005A2EBA">
              <w:t>Regulated interconnectors directly connecting Victoria to 3 other states</w:t>
            </w:r>
          </w:p>
        </w:tc>
        <w:tc>
          <w:tcPr>
            <w:tcW w:w="1831" w:type="dxa"/>
          </w:tcPr>
          <w:p w14:paraId="138D856B" w14:textId="77777777" w:rsidR="004677A5" w:rsidRPr="005A2EBA" w:rsidRDefault="004677A5">
            <w:pPr>
              <w:pStyle w:val="Tabletext"/>
            </w:pPr>
            <w:r w:rsidRPr="005A2EBA">
              <w:t>4</w:t>
            </w:r>
          </w:p>
        </w:tc>
      </w:tr>
      <w:tr w:rsidR="004677A5" w:rsidRPr="005A2EBA" w14:paraId="571FC7F1" w14:textId="77777777" w:rsidTr="0079521D">
        <w:trPr>
          <w:cantSplit/>
        </w:trPr>
        <w:tc>
          <w:tcPr>
            <w:tcW w:w="7787" w:type="dxa"/>
          </w:tcPr>
          <w:p w14:paraId="47F4CA30" w14:textId="77777777" w:rsidR="004677A5" w:rsidRPr="005A2EBA" w:rsidRDefault="004677A5">
            <w:pPr>
              <w:pStyle w:val="Tabletext"/>
            </w:pPr>
            <w:r w:rsidRPr="005A2EBA">
              <w:t>Electricity supplied each year</w:t>
            </w:r>
            <w:r w:rsidRPr="005A2EBA">
              <w:rPr>
                <w:rStyle w:val="FootnoteReference"/>
              </w:rPr>
              <w:footnoteReference w:id="10"/>
            </w:r>
          </w:p>
        </w:tc>
        <w:tc>
          <w:tcPr>
            <w:tcW w:w="1831" w:type="dxa"/>
          </w:tcPr>
          <w:p w14:paraId="14FD5E85" w14:textId="77777777" w:rsidR="004677A5" w:rsidRPr="005A2EBA" w:rsidRDefault="004677A5">
            <w:pPr>
              <w:pStyle w:val="Tabletext"/>
            </w:pPr>
            <w:r w:rsidRPr="005A2EBA">
              <w:t>~200 TWh</w:t>
            </w:r>
          </w:p>
        </w:tc>
      </w:tr>
      <w:tr w:rsidR="004677A5" w:rsidRPr="005A2EBA" w14:paraId="14CC5B0C" w14:textId="77777777" w:rsidTr="0079521D">
        <w:trPr>
          <w:cantSplit/>
        </w:trPr>
        <w:tc>
          <w:tcPr>
            <w:tcW w:w="7787" w:type="dxa"/>
          </w:tcPr>
          <w:p w14:paraId="79464828" w14:textId="77777777" w:rsidR="004677A5" w:rsidRPr="005A2EBA" w:rsidRDefault="004677A5">
            <w:pPr>
              <w:pStyle w:val="Tabletext"/>
            </w:pPr>
            <w:r w:rsidRPr="005A2EBA">
              <w:t>Total generation</w:t>
            </w:r>
            <w:r w:rsidRPr="005A2EBA">
              <w:rPr>
                <w:rStyle w:val="FootnoteReference"/>
              </w:rPr>
              <w:footnoteReference w:id="11"/>
            </w:r>
          </w:p>
        </w:tc>
        <w:tc>
          <w:tcPr>
            <w:tcW w:w="1831" w:type="dxa"/>
          </w:tcPr>
          <w:p w14:paraId="184B1E0B" w14:textId="77777777" w:rsidR="004677A5" w:rsidRPr="005A2EBA" w:rsidRDefault="004677A5">
            <w:pPr>
              <w:pStyle w:val="Tabletext"/>
            </w:pPr>
            <w:r w:rsidRPr="005A2EBA">
              <w:t>~99 GW</w:t>
            </w:r>
          </w:p>
        </w:tc>
      </w:tr>
    </w:tbl>
    <w:p w14:paraId="1ACFB980" w14:textId="77777777" w:rsidR="003B5F16" w:rsidRPr="005A2EBA" w:rsidRDefault="003B5F16">
      <w:pPr>
        <w:pStyle w:val="Heading1"/>
        <w:pageBreakBefore/>
      </w:pPr>
      <w:bookmarkStart w:id="6" w:name="_Toc243488371"/>
      <w:r w:rsidRPr="005A2EBA">
        <w:lastRenderedPageBreak/>
        <w:t>Victoria’s world-leading wind resource</w:t>
      </w:r>
      <w:bookmarkEnd w:id="6"/>
    </w:p>
    <w:p w14:paraId="328DEFA5" w14:textId="77777777" w:rsidR="004677A5" w:rsidRPr="005A2EBA" w:rsidRDefault="004677A5">
      <w:pPr>
        <w:pStyle w:val="Introductoryparagraph"/>
      </w:pPr>
      <w:r w:rsidRPr="005A2EBA">
        <w:t>Victoria boasts excellent wind resources, with an average wind speed of 8.4 m/s in western Victoria and over 9 m/s in many areas along the southern coastline.</w:t>
      </w:r>
    </w:p>
    <w:p w14:paraId="0A2F4BA9" w14:textId="77777777" w:rsidR="004677A5" w:rsidRPr="005A2EBA" w:rsidRDefault="004677A5">
      <w:pPr>
        <w:pStyle w:val="BodyText"/>
      </w:pPr>
      <w:r w:rsidRPr="005A2EBA">
        <w:t>Victoria’s onshore wind sector is primed for investment, with wind power set to play a critical role in achieving the state’s renewable energy targets. Victoria’s windspeeds rank among the highest in the world, setting the sector up for continued growth.</w:t>
      </w:r>
    </w:p>
    <w:p w14:paraId="53764725" w14:textId="20C08E44" w:rsidR="004677A5" w:rsidRPr="005A2EBA" w:rsidRDefault="004677A5">
      <w:pPr>
        <w:pStyle w:val="Caption"/>
        <w:keepNext/>
      </w:pPr>
      <w:r w:rsidRPr="005A2EBA">
        <w:t xml:space="preserve">Table </w:t>
      </w:r>
      <w:fldSimple w:instr=" SEQ Table \* ARABIC \* MERGEFORMAT ">
        <w:r w:rsidR="003B5F16" w:rsidRPr="005A2EBA">
          <w:t>4</w:t>
        </w:r>
      </w:fldSimple>
      <w:r w:rsidRPr="005A2EBA">
        <w:t xml:space="preserve">: </w:t>
      </w:r>
      <w:r w:rsidRPr="005A2EBA">
        <w:rPr>
          <w:b w:val="0"/>
          <w:bCs/>
        </w:rPr>
        <w:t xml:space="preserve">Victoria’s onshore wind sector </w:t>
      </w:r>
      <w:proofErr w:type="gramStart"/>
      <w:r w:rsidRPr="005A2EBA">
        <w:rPr>
          <w:b w:val="0"/>
          <w:bCs/>
        </w:rPr>
        <w:t>at a glance</w:t>
      </w:r>
      <w:proofErr w:type="gramEnd"/>
    </w:p>
    <w:tbl>
      <w:tblPr>
        <w:tblStyle w:val="Style2"/>
        <w:tblW w:w="0" w:type="auto"/>
        <w:tblLook w:val="04A0" w:firstRow="1" w:lastRow="0" w:firstColumn="1" w:lastColumn="0" w:noHBand="0" w:noVBand="1"/>
        <w:tblCaption w:val="Victoria’s onshore wind sector at a glance"/>
        <w:tblDescription w:val="Table with 3 columns, Status, Projects and Capacity: 44 wind farms with 6 GW currently operating; 1 wind farm with 205 MW under construction; and 5.1 GW of onshore wind required by 2035."/>
      </w:tblPr>
      <w:tblGrid>
        <w:gridCol w:w="3200"/>
        <w:gridCol w:w="3000"/>
        <w:gridCol w:w="3418"/>
      </w:tblGrid>
      <w:tr w:rsidR="004677A5" w:rsidRPr="005A2EBA" w14:paraId="5E0E601A" w14:textId="77777777">
        <w:trPr>
          <w:cnfStyle w:val="100000000000" w:firstRow="1" w:lastRow="0" w:firstColumn="0" w:lastColumn="0" w:oddVBand="0" w:evenVBand="0" w:oddHBand="0" w:evenHBand="0" w:firstRowFirstColumn="0" w:firstRowLastColumn="0" w:lastRowFirstColumn="0" w:lastRowLastColumn="0"/>
          <w:cantSplit/>
          <w:tblHeader/>
        </w:trPr>
        <w:tc>
          <w:tcPr>
            <w:tcW w:w="3200" w:type="dxa"/>
          </w:tcPr>
          <w:p w14:paraId="7B942B7B" w14:textId="77777777" w:rsidR="004677A5" w:rsidRPr="005A2EBA" w:rsidRDefault="004677A5">
            <w:pPr>
              <w:pStyle w:val="Tabletext"/>
            </w:pPr>
            <w:r w:rsidRPr="005A2EBA">
              <w:t>Status</w:t>
            </w:r>
          </w:p>
        </w:tc>
        <w:tc>
          <w:tcPr>
            <w:tcW w:w="3000" w:type="dxa"/>
          </w:tcPr>
          <w:p w14:paraId="7E55141A" w14:textId="77777777" w:rsidR="004677A5" w:rsidRPr="005A2EBA" w:rsidRDefault="004677A5">
            <w:pPr>
              <w:pStyle w:val="Tabletext"/>
            </w:pPr>
            <w:r w:rsidRPr="005A2EBA">
              <w:t>Projects</w:t>
            </w:r>
          </w:p>
        </w:tc>
        <w:tc>
          <w:tcPr>
            <w:tcW w:w="3418" w:type="dxa"/>
          </w:tcPr>
          <w:p w14:paraId="20F12468" w14:textId="77777777" w:rsidR="004677A5" w:rsidRPr="005A2EBA" w:rsidRDefault="004677A5">
            <w:pPr>
              <w:pStyle w:val="Tabletext"/>
            </w:pPr>
            <w:r w:rsidRPr="005A2EBA">
              <w:t>Capacity</w:t>
            </w:r>
          </w:p>
        </w:tc>
      </w:tr>
      <w:tr w:rsidR="004677A5" w:rsidRPr="005A2EBA" w14:paraId="26B3F79B" w14:textId="77777777">
        <w:trPr>
          <w:cantSplit/>
        </w:trPr>
        <w:tc>
          <w:tcPr>
            <w:tcW w:w="3200" w:type="dxa"/>
          </w:tcPr>
          <w:p w14:paraId="6889B9BB" w14:textId="77777777" w:rsidR="004677A5" w:rsidRPr="005A2EBA" w:rsidRDefault="004677A5">
            <w:pPr>
              <w:pStyle w:val="Tabletext"/>
            </w:pPr>
            <w:r w:rsidRPr="005A2EBA">
              <w:t>Currently operating</w:t>
            </w:r>
          </w:p>
        </w:tc>
        <w:tc>
          <w:tcPr>
            <w:tcW w:w="3000" w:type="dxa"/>
          </w:tcPr>
          <w:p w14:paraId="06A7378B" w14:textId="77777777" w:rsidR="004677A5" w:rsidRPr="005A2EBA" w:rsidRDefault="004677A5">
            <w:pPr>
              <w:pStyle w:val="Tabletext"/>
            </w:pPr>
            <w:r w:rsidRPr="005A2EBA">
              <w:t>44 wind farms</w:t>
            </w:r>
          </w:p>
        </w:tc>
        <w:tc>
          <w:tcPr>
            <w:tcW w:w="3418" w:type="dxa"/>
          </w:tcPr>
          <w:p w14:paraId="580A8598" w14:textId="77777777" w:rsidR="004677A5" w:rsidRPr="005A2EBA" w:rsidRDefault="004677A5">
            <w:pPr>
              <w:pStyle w:val="Tabletext"/>
            </w:pPr>
            <w:r w:rsidRPr="005A2EBA">
              <w:t>6 GW</w:t>
            </w:r>
            <w:r w:rsidRPr="005A2EBA">
              <w:rPr>
                <w:rStyle w:val="FootnoteReference"/>
              </w:rPr>
              <w:footnoteReference w:id="12"/>
            </w:r>
          </w:p>
        </w:tc>
      </w:tr>
      <w:tr w:rsidR="004677A5" w:rsidRPr="005A2EBA" w14:paraId="3B7F3740" w14:textId="77777777">
        <w:trPr>
          <w:cantSplit/>
        </w:trPr>
        <w:tc>
          <w:tcPr>
            <w:tcW w:w="3200" w:type="dxa"/>
          </w:tcPr>
          <w:p w14:paraId="612EB18D" w14:textId="77777777" w:rsidR="004677A5" w:rsidRPr="005A2EBA" w:rsidRDefault="004677A5">
            <w:pPr>
              <w:pStyle w:val="Tabletext"/>
            </w:pPr>
            <w:r w:rsidRPr="005A2EBA">
              <w:t>Under construction</w:t>
            </w:r>
          </w:p>
        </w:tc>
        <w:tc>
          <w:tcPr>
            <w:tcW w:w="3000" w:type="dxa"/>
          </w:tcPr>
          <w:p w14:paraId="575E498F" w14:textId="77777777" w:rsidR="004677A5" w:rsidRPr="005A2EBA" w:rsidRDefault="004677A5">
            <w:pPr>
              <w:pStyle w:val="Tabletext"/>
            </w:pPr>
            <w:r w:rsidRPr="005A2EBA">
              <w:t>1 wind farm</w:t>
            </w:r>
          </w:p>
        </w:tc>
        <w:tc>
          <w:tcPr>
            <w:tcW w:w="3418" w:type="dxa"/>
          </w:tcPr>
          <w:p w14:paraId="5738DCE6" w14:textId="77777777" w:rsidR="004677A5" w:rsidRPr="005A2EBA" w:rsidRDefault="004677A5">
            <w:pPr>
              <w:pStyle w:val="Tabletext"/>
            </w:pPr>
            <w:r w:rsidRPr="005A2EBA">
              <w:t>205 MW</w:t>
            </w:r>
          </w:p>
        </w:tc>
      </w:tr>
      <w:tr w:rsidR="004677A5" w:rsidRPr="005A2EBA" w14:paraId="1C8414E6" w14:textId="77777777">
        <w:trPr>
          <w:cantSplit/>
        </w:trPr>
        <w:tc>
          <w:tcPr>
            <w:tcW w:w="3200" w:type="dxa"/>
          </w:tcPr>
          <w:p w14:paraId="1A7767F8" w14:textId="77777777" w:rsidR="004677A5" w:rsidRPr="005A2EBA" w:rsidRDefault="004677A5">
            <w:pPr>
              <w:pStyle w:val="Tabletext"/>
            </w:pPr>
            <w:r w:rsidRPr="005A2EBA">
              <w:t>Required by 2035</w:t>
            </w:r>
          </w:p>
        </w:tc>
        <w:tc>
          <w:tcPr>
            <w:tcW w:w="3000" w:type="dxa"/>
          </w:tcPr>
          <w:p w14:paraId="71DC6723" w14:textId="77777777" w:rsidR="004677A5" w:rsidRPr="005A2EBA" w:rsidRDefault="004677A5">
            <w:pPr>
              <w:pStyle w:val="Tabletext"/>
            </w:pPr>
            <w:r w:rsidRPr="005A2EBA">
              <w:t>–</w:t>
            </w:r>
          </w:p>
        </w:tc>
        <w:tc>
          <w:tcPr>
            <w:tcW w:w="3418" w:type="dxa"/>
          </w:tcPr>
          <w:p w14:paraId="2F6DA5F3" w14:textId="77777777" w:rsidR="004677A5" w:rsidRPr="005A2EBA" w:rsidRDefault="004677A5">
            <w:pPr>
              <w:pStyle w:val="Tabletext"/>
            </w:pPr>
            <w:r w:rsidRPr="005A2EBA">
              <w:t>5.1 GW of onshore wind</w:t>
            </w:r>
            <w:r w:rsidRPr="005A2EBA">
              <w:rPr>
                <w:rStyle w:val="FootnoteReference"/>
              </w:rPr>
              <w:footnoteReference w:id="13"/>
            </w:r>
          </w:p>
        </w:tc>
      </w:tr>
    </w:tbl>
    <w:p w14:paraId="1222892F" w14:textId="621FD278" w:rsidR="004677A5" w:rsidRPr="005A2EBA" w:rsidRDefault="004677A5">
      <w:pPr>
        <w:pStyle w:val="Caption"/>
        <w:keepNext/>
      </w:pPr>
      <w:bookmarkStart w:id="7" w:name="_Ref243569952"/>
      <w:r w:rsidRPr="005A2EBA">
        <w:lastRenderedPageBreak/>
        <w:t xml:space="preserve">Figure </w:t>
      </w:r>
      <w:fldSimple w:instr=" SEQ Figure \* ARABIC \* MERGEFORMAT ">
        <w:r w:rsidR="003B5F16" w:rsidRPr="005A2EBA">
          <w:t>2</w:t>
        </w:r>
      </w:fldSimple>
      <w:bookmarkEnd w:id="7"/>
      <w:r w:rsidRPr="005A2EBA">
        <w:t xml:space="preserve">: </w:t>
      </w:r>
      <w:r w:rsidR="002401CD" w:rsidRPr="002401CD">
        <w:rPr>
          <w:b w:val="0"/>
          <w:bCs/>
        </w:rPr>
        <w:t>Victorian wind resource map and indicators</w:t>
      </w:r>
    </w:p>
    <w:p w14:paraId="6A69B832" w14:textId="594BDD2C" w:rsidR="00AF3C05" w:rsidRPr="005A2EBA" w:rsidRDefault="00AF3C05">
      <w:pPr>
        <w:pStyle w:val="BodyText"/>
        <w:rPr>
          <w:highlight w:val="yellow"/>
        </w:rPr>
      </w:pPr>
      <w:r w:rsidRPr="005A2EBA">
        <w:rPr>
          <w:noProof/>
        </w:rPr>
        <w:drawing>
          <wp:inline distT="0" distB="0" distL="0" distR="0" wp14:anchorId="4E70B979" wp14:editId="3E1496D1">
            <wp:extent cx="6120130" cy="4071620"/>
            <wp:effectExtent l="0" t="0" r="1270" b="5080"/>
            <wp:docPr id="80656306" name="Picture 1" descr="Map shows Victorian wind resources, with indicators for operating and under-construction wind farms and additional capacity required by 2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56306" name="Picture 1" descr="Map shows Victorian wind resources, with indicators for operating and under-construction wind farms and additional capacity required by 2035."/>
                    <pic:cNvPicPr/>
                  </pic:nvPicPr>
                  <pic:blipFill>
                    <a:blip r:embed="rId20"/>
                    <a:stretch>
                      <a:fillRect/>
                    </a:stretch>
                  </pic:blipFill>
                  <pic:spPr>
                    <a:xfrm>
                      <a:off x="0" y="0"/>
                      <a:ext cx="6120130" cy="4071620"/>
                    </a:xfrm>
                    <a:prstGeom prst="rect">
                      <a:avLst/>
                    </a:prstGeom>
                  </pic:spPr>
                </pic:pic>
              </a:graphicData>
            </a:graphic>
          </wp:inline>
        </w:drawing>
      </w:r>
    </w:p>
    <w:p w14:paraId="53CCFDFF" w14:textId="0733BE16" w:rsidR="004677A5" w:rsidRPr="00A800E2" w:rsidRDefault="00AF3C05">
      <w:pPr>
        <w:pStyle w:val="Normalbeforebullets"/>
      </w:pPr>
      <w:r w:rsidRPr="00A800E2">
        <w:fldChar w:fldCharType="begin"/>
      </w:r>
      <w:r w:rsidRPr="00A800E2">
        <w:instrText xml:space="preserve"> REF _Ref243569952 \h </w:instrText>
      </w:r>
      <w:r w:rsidRPr="00A800E2">
        <w:fldChar w:fldCharType="separate"/>
      </w:r>
      <w:r w:rsidRPr="00A800E2">
        <w:t>Figure 2</w:t>
      </w:r>
      <w:r w:rsidRPr="00A800E2">
        <w:fldChar w:fldCharType="end"/>
      </w:r>
      <w:r w:rsidR="004677A5" w:rsidRPr="00A800E2">
        <w:t xml:space="preserve"> is a heat map of mean wind speed at 100 metres (m) height across Victoria, in metres per second (m/s), on a scale from less than 3 m/s to more than 9 m/s. It shows:</w:t>
      </w:r>
    </w:p>
    <w:p w14:paraId="7A38FD85" w14:textId="77777777" w:rsidR="004677A5" w:rsidRPr="005A2EBA" w:rsidRDefault="004677A5">
      <w:pPr>
        <w:pStyle w:val="ListBullet"/>
      </w:pPr>
      <w:r w:rsidRPr="005A2EBA">
        <w:t>mean wind speeds of around 7 to 9 m/s across most of western, central and northern Victoria</w:t>
      </w:r>
    </w:p>
    <w:p w14:paraId="7762C801" w14:textId="77777777" w:rsidR="004677A5" w:rsidRPr="005A2EBA" w:rsidRDefault="004677A5">
      <w:pPr>
        <w:pStyle w:val="ListBullet"/>
      </w:pPr>
      <w:r w:rsidRPr="005A2EBA">
        <w:t>the highest wind speeds, above 9 m/s, along parts of the southern coastline and on elevated areas</w:t>
      </w:r>
    </w:p>
    <w:p w14:paraId="239FD5C3" w14:textId="77777777" w:rsidR="004677A5" w:rsidRPr="005A2EBA" w:rsidRDefault="004677A5">
      <w:pPr>
        <w:pStyle w:val="LastBulletinList"/>
      </w:pPr>
      <w:r w:rsidRPr="005A2EBA">
        <w:t>more variable wind speeds, ranging from below 3 m/s in sheltered valleys to above 9 m/s on ridges, in the north-east alpine region.</w:t>
      </w:r>
    </w:p>
    <w:p w14:paraId="45D85602" w14:textId="77777777" w:rsidR="004677A5" w:rsidRPr="005A2EBA" w:rsidRDefault="004677A5">
      <w:pPr>
        <w:pStyle w:val="BodyText"/>
      </w:pPr>
      <w:r w:rsidRPr="005A2EBA">
        <w:rPr>
          <w:b/>
          <w:bCs/>
        </w:rPr>
        <w:t>Source:</w:t>
      </w:r>
      <w:r w:rsidRPr="005A2EBA">
        <w:t xml:space="preserve"> </w:t>
      </w:r>
      <w:proofErr w:type="spellStart"/>
      <w:r w:rsidRPr="005A2EBA">
        <w:t>GeoVic</w:t>
      </w:r>
      <w:proofErr w:type="spellEnd"/>
      <w:r w:rsidRPr="005A2EBA">
        <w:t>, Resources Victoria.</w:t>
      </w:r>
    </w:p>
    <w:p w14:paraId="17685F19" w14:textId="77777777" w:rsidR="004677A5" w:rsidRPr="005A2EBA" w:rsidRDefault="004677A5">
      <w:pPr>
        <w:pStyle w:val="Heading2"/>
      </w:pPr>
      <w:r w:rsidRPr="005A2EBA">
        <w:lastRenderedPageBreak/>
        <w:t xml:space="preserve">Case study: </w:t>
      </w:r>
      <w:proofErr w:type="spellStart"/>
      <w:r w:rsidRPr="005A2EBA">
        <w:t>Goldwind</w:t>
      </w:r>
      <w:proofErr w:type="spellEnd"/>
      <w:r w:rsidRPr="005A2EBA">
        <w:t xml:space="preserve"> Australia</w:t>
      </w:r>
    </w:p>
    <w:p w14:paraId="1A1509CB" w14:textId="77777777" w:rsidR="004677A5" w:rsidRPr="005A2EBA" w:rsidRDefault="004677A5">
      <w:pPr>
        <w:pStyle w:val="Heading3"/>
      </w:pPr>
      <w:r w:rsidRPr="005A2EBA">
        <w:t>Moorabool Wind Farm</w:t>
      </w:r>
    </w:p>
    <w:p w14:paraId="34255DB4" w14:textId="77777777" w:rsidR="004677A5" w:rsidRPr="005A2EBA" w:rsidRDefault="004677A5">
      <w:pPr>
        <w:pStyle w:val="BodyText"/>
      </w:pPr>
      <w:r w:rsidRPr="005A2EBA">
        <w:t>The Moorabool Wind Farm is a 312 MW onshore wind project located near Ballarat in western Victoria, delivering clean energy to power approximately 228,000 homes annually. Owned by BJEI Australia and Nebras Power, the project comprises 104 turbines across 2 sections and was fully commissioned in 2022.</w:t>
      </w:r>
    </w:p>
    <w:p w14:paraId="18889BA2" w14:textId="77777777" w:rsidR="004677A5" w:rsidRPr="005A2EBA" w:rsidRDefault="004677A5">
      <w:pPr>
        <w:pStyle w:val="BodyText"/>
      </w:pPr>
      <w:r w:rsidRPr="005A2EBA">
        <w:t xml:space="preserve">Moorabool Wind Farm represents a significant international investment in Victoria. Developed by </w:t>
      </w:r>
      <w:proofErr w:type="spellStart"/>
      <w:r w:rsidRPr="005A2EBA">
        <w:t>Goldwind</w:t>
      </w:r>
      <w:proofErr w:type="spellEnd"/>
      <w:r w:rsidRPr="005A2EBA">
        <w:t xml:space="preserve"> Australia, construction commenced in 2018 before entering full commercial operation in 2022.</w:t>
      </w:r>
    </w:p>
    <w:p w14:paraId="4BC75624" w14:textId="77777777" w:rsidR="004677A5" w:rsidRPr="005A2EBA" w:rsidRDefault="004677A5">
      <w:pPr>
        <w:pStyle w:val="Normalbeforebullets"/>
      </w:pPr>
      <w:r w:rsidRPr="005A2EBA">
        <w:t>Key facts:</w:t>
      </w:r>
    </w:p>
    <w:p w14:paraId="39407713" w14:textId="77777777" w:rsidR="004677A5" w:rsidRPr="005A2EBA" w:rsidRDefault="004677A5">
      <w:pPr>
        <w:pStyle w:val="ListBullet"/>
      </w:pPr>
      <w:r w:rsidRPr="005A2EBA">
        <w:t>312 MW installed generation capacity</w:t>
      </w:r>
    </w:p>
    <w:p w14:paraId="7924DF21" w14:textId="77777777" w:rsidR="004677A5" w:rsidRPr="005A2EBA" w:rsidRDefault="004677A5">
      <w:pPr>
        <w:pStyle w:val="ListBullet"/>
      </w:pPr>
      <w:r w:rsidRPr="005A2EBA">
        <w:t>104 turbines</w:t>
      </w:r>
    </w:p>
    <w:p w14:paraId="1690DCEB" w14:textId="77777777" w:rsidR="004677A5" w:rsidRPr="005A2EBA" w:rsidRDefault="004677A5">
      <w:pPr>
        <w:pStyle w:val="LastBulletinList"/>
      </w:pPr>
      <w:r w:rsidRPr="005A2EBA">
        <w:t>enough electricity to power 228,000 homes.</w:t>
      </w:r>
    </w:p>
    <w:p w14:paraId="4E77D473" w14:textId="77777777" w:rsidR="004677A5" w:rsidRPr="005A2EBA" w:rsidRDefault="004677A5">
      <w:pPr>
        <w:pStyle w:val="BodyText"/>
      </w:pPr>
      <w:r w:rsidRPr="005A2EBA">
        <w:t xml:space="preserve">For more information, visit the </w:t>
      </w:r>
      <w:hyperlink r:id="rId21" w:tooltip="Opens the Moorabool Wind Farm website" w:history="1">
        <w:r w:rsidRPr="005A2EBA">
          <w:rPr>
            <w:rStyle w:val="Hyperlink"/>
          </w:rPr>
          <w:t>Moorabool Wind Farm website</w:t>
        </w:r>
      </w:hyperlink>
      <w:r w:rsidRPr="005A2EBA">
        <w:t>.</w:t>
      </w:r>
    </w:p>
    <w:p w14:paraId="661E18A4" w14:textId="77777777" w:rsidR="004677A5" w:rsidRPr="005A2EBA" w:rsidRDefault="004677A5">
      <w:pPr>
        <w:pStyle w:val="Quote"/>
      </w:pPr>
      <w:r w:rsidRPr="005A2EBA">
        <w:t>“</w:t>
      </w:r>
      <w:proofErr w:type="spellStart"/>
      <w:r w:rsidRPr="005A2EBA">
        <w:t>Goldwind’s</w:t>
      </w:r>
      <w:proofErr w:type="spellEnd"/>
      <w:r w:rsidRPr="005A2EBA">
        <w:t xml:space="preserve"> delivery of the Moorabool Wind Farm highlights Victoria as a prime destination for renewable energy investment, supported by coordinated planning, a skilled workforce, and a strong supply chain.”</w:t>
      </w:r>
    </w:p>
    <w:p w14:paraId="2BA435C1" w14:textId="77777777" w:rsidR="004677A5" w:rsidRPr="005A2EBA" w:rsidRDefault="004677A5">
      <w:pPr>
        <w:pStyle w:val="BodyText"/>
      </w:pPr>
      <w:proofErr w:type="spellStart"/>
      <w:r w:rsidRPr="005A2EBA">
        <w:t>Goldwind</w:t>
      </w:r>
      <w:proofErr w:type="spellEnd"/>
      <w:r w:rsidRPr="005A2EBA">
        <w:t xml:space="preserve"> Australia</w:t>
      </w:r>
    </w:p>
    <w:p w14:paraId="1B3BBA40" w14:textId="77777777" w:rsidR="003B5F16" w:rsidRPr="005A2EBA" w:rsidRDefault="003B5F16">
      <w:pPr>
        <w:pStyle w:val="Heading1"/>
        <w:pageBreakBefore/>
      </w:pPr>
      <w:bookmarkStart w:id="8" w:name="_Toc243488372"/>
      <w:r w:rsidRPr="005A2EBA">
        <w:lastRenderedPageBreak/>
        <w:t>Victoria’s booming storage market offers a strong investment opportunity</w:t>
      </w:r>
      <w:bookmarkEnd w:id="8"/>
    </w:p>
    <w:p w14:paraId="0B2314BB" w14:textId="77777777" w:rsidR="004677A5" w:rsidRPr="005A2EBA" w:rsidRDefault="004677A5">
      <w:pPr>
        <w:pStyle w:val="Introductoryparagraph"/>
      </w:pPr>
      <w:r w:rsidRPr="005A2EBA">
        <w:t>The market opportunity is growing, with Victorian batteries earning a 10% annual increase in average monthly realised arbitrage in 2025.</w:t>
      </w:r>
      <w:r w:rsidRPr="005A2EBA">
        <w:rPr>
          <w:rStyle w:val="FootnoteReference"/>
        </w:rPr>
        <w:footnoteReference w:id="14"/>
      </w:r>
    </w:p>
    <w:p w14:paraId="5BDF0739" w14:textId="77777777" w:rsidR="004677A5" w:rsidRPr="005A2EBA" w:rsidRDefault="004677A5">
      <w:pPr>
        <w:pStyle w:val="BodyText"/>
      </w:pPr>
      <w:r w:rsidRPr="005A2EBA">
        <w:t>Victoria’s utility-scale battery market continues to grow, driven by increasing renewable energy penetration, strong government support, and the planned retirement of coal-fired generation capacity.</w:t>
      </w:r>
    </w:p>
    <w:p w14:paraId="162505E1" w14:textId="77777777" w:rsidR="004677A5" w:rsidRPr="005A2EBA" w:rsidRDefault="004677A5">
      <w:pPr>
        <w:pStyle w:val="BodyText"/>
      </w:pPr>
      <w:r w:rsidRPr="005A2EBA">
        <w:t>Victoria has legislated nation-leading energy storage targets of at least 2.6 GW by 2030 and 6.3 GW by 2035. In the 2025–26 financial year, renewables supplied 45.1% of Victoria’s electricity. As Victoria progresses towards its target of 95% renewable electricity by 2035, increased utility-scale storage will be critical in maintaining grid reliability, firming renewable generation and replacing ageing coal-fired power stations.</w:t>
      </w:r>
    </w:p>
    <w:p w14:paraId="255F38FE" w14:textId="77777777" w:rsidR="004677A5" w:rsidRPr="005A2EBA" w:rsidRDefault="004677A5">
      <w:pPr>
        <w:pStyle w:val="BodyText"/>
      </w:pPr>
      <w:r w:rsidRPr="005A2EBA">
        <w:t xml:space="preserve">More than 2 GW of large-scale battery capacity is already </w:t>
      </w:r>
      <w:proofErr w:type="gramStart"/>
      <w:r w:rsidRPr="005A2EBA">
        <w:t>commissioned</w:t>
      </w:r>
      <w:proofErr w:type="gramEnd"/>
      <w:r w:rsidRPr="005A2EBA">
        <w:t xml:space="preserve"> and 9 additional projects are under construction or approved.</w:t>
      </w:r>
    </w:p>
    <w:p w14:paraId="511A4136" w14:textId="77777777" w:rsidR="004677A5" w:rsidRPr="005A2EBA" w:rsidRDefault="004677A5">
      <w:pPr>
        <w:pStyle w:val="Heading2"/>
      </w:pPr>
      <w:r w:rsidRPr="005A2EBA">
        <w:t>Strong revenue opportunities</w:t>
      </w:r>
    </w:p>
    <w:p w14:paraId="7744A5C1" w14:textId="77777777" w:rsidR="004677A5" w:rsidRPr="005A2EBA" w:rsidRDefault="004677A5">
      <w:pPr>
        <w:pStyle w:val="BodyText"/>
      </w:pPr>
      <w:r w:rsidRPr="005A2EBA">
        <w:t>Energy storage operators can capture demonstrated market opportunities including energy arbitrage, ancillary services and a System Integrity Protection Scheme (SIPS).</w:t>
      </w:r>
    </w:p>
    <w:p w14:paraId="1F97E7F5" w14:textId="0AF0BE69" w:rsidR="004677A5" w:rsidRPr="005A2EBA" w:rsidRDefault="004677A5">
      <w:pPr>
        <w:pStyle w:val="BodyText"/>
      </w:pPr>
      <w:r w:rsidRPr="005A2EBA">
        <w:t>According to analysis by Bloomberg New Energy Finance (</w:t>
      </w:r>
      <w:proofErr w:type="spellStart"/>
      <w:r w:rsidRPr="005A2EBA">
        <w:t>BloombergNEF</w:t>
      </w:r>
      <w:proofErr w:type="spellEnd"/>
      <w:r w:rsidRPr="005A2EBA">
        <w:t xml:space="preserve">), in 2025 utility-scale batteries in the National Electricity Market earned approximately $360 million in gross arbitrage revenue, </w:t>
      </w:r>
      <w:r w:rsidRPr="005A2EBA">
        <w:rPr>
          <w:rFonts w:ascii="Arial" w:hAnsi="Arial" w:cs="Arial"/>
        </w:rPr>
        <w:t>with net arbitrage revenue up 70% year on year</w:t>
      </w:r>
      <w:r w:rsidRPr="005A2EBA">
        <w:t>.</w:t>
      </w:r>
    </w:p>
    <w:p w14:paraId="21AA6BCF" w14:textId="13B6F66B" w:rsidR="004677A5" w:rsidRPr="005A2EBA" w:rsidRDefault="004677A5">
      <w:pPr>
        <w:pStyle w:val="Caption"/>
        <w:keepNext/>
      </w:pPr>
      <w:r w:rsidRPr="005A2EBA">
        <w:lastRenderedPageBreak/>
        <w:t xml:space="preserve">Table </w:t>
      </w:r>
      <w:fldSimple w:instr=" SEQ Table \* ARABIC \* MERGEFORMAT ">
        <w:r w:rsidR="003B5F16" w:rsidRPr="005A2EBA">
          <w:t>5</w:t>
        </w:r>
      </w:fldSimple>
      <w:r w:rsidRPr="005A2EBA">
        <w:t xml:space="preserve">: </w:t>
      </w:r>
      <w:r w:rsidRPr="005A2EBA">
        <w:rPr>
          <w:b w:val="0"/>
          <w:bCs/>
        </w:rPr>
        <w:t xml:space="preserve">Victoria’s utility-scale storage sector </w:t>
      </w:r>
      <w:proofErr w:type="gramStart"/>
      <w:r w:rsidRPr="005A2EBA">
        <w:rPr>
          <w:b w:val="0"/>
          <w:bCs/>
        </w:rPr>
        <w:t>at a glance</w:t>
      </w:r>
      <w:proofErr w:type="gramEnd"/>
    </w:p>
    <w:tbl>
      <w:tblPr>
        <w:tblStyle w:val="Style2"/>
        <w:tblW w:w="0" w:type="auto"/>
        <w:tblLook w:val="04A0" w:firstRow="1" w:lastRow="0" w:firstColumn="1" w:lastColumn="0" w:noHBand="0" w:noVBand="1"/>
        <w:tblCaption w:val="Victoria’s utility-scale storage sector at a glance"/>
        <w:tblDescription w:val="Table with 3 columns, Status, Projects and Capacity: 26 storage projects with 2 GW currently operating; 9 storage projects with 1.8 GW under construction; and 5.5 GW of utility storage required by 2035, against legislated targets of at least 2.6 GW by 2030 and 6.3 GW by 2035."/>
      </w:tblPr>
      <w:tblGrid>
        <w:gridCol w:w="3200"/>
        <w:gridCol w:w="3000"/>
        <w:gridCol w:w="3418"/>
      </w:tblGrid>
      <w:tr w:rsidR="004677A5" w:rsidRPr="005A2EBA" w14:paraId="50E34913" w14:textId="77777777">
        <w:trPr>
          <w:cnfStyle w:val="100000000000" w:firstRow="1" w:lastRow="0" w:firstColumn="0" w:lastColumn="0" w:oddVBand="0" w:evenVBand="0" w:oddHBand="0" w:evenHBand="0" w:firstRowFirstColumn="0" w:firstRowLastColumn="0" w:lastRowFirstColumn="0" w:lastRowLastColumn="0"/>
          <w:cantSplit/>
          <w:tblHeader/>
        </w:trPr>
        <w:tc>
          <w:tcPr>
            <w:tcW w:w="3200" w:type="dxa"/>
          </w:tcPr>
          <w:p w14:paraId="21F6BAD2" w14:textId="77777777" w:rsidR="004677A5" w:rsidRPr="005A2EBA" w:rsidRDefault="004677A5" w:rsidP="0015223C">
            <w:pPr>
              <w:pStyle w:val="Tabletext"/>
              <w:spacing w:line="240" w:lineRule="auto"/>
            </w:pPr>
            <w:r w:rsidRPr="005A2EBA">
              <w:t>Status</w:t>
            </w:r>
          </w:p>
        </w:tc>
        <w:tc>
          <w:tcPr>
            <w:tcW w:w="3000" w:type="dxa"/>
          </w:tcPr>
          <w:p w14:paraId="1169BCDE" w14:textId="77777777" w:rsidR="004677A5" w:rsidRPr="005A2EBA" w:rsidRDefault="004677A5" w:rsidP="0015223C">
            <w:pPr>
              <w:pStyle w:val="Tabletext"/>
              <w:spacing w:line="240" w:lineRule="auto"/>
            </w:pPr>
            <w:r w:rsidRPr="005A2EBA">
              <w:t>Projects</w:t>
            </w:r>
          </w:p>
        </w:tc>
        <w:tc>
          <w:tcPr>
            <w:tcW w:w="3418" w:type="dxa"/>
          </w:tcPr>
          <w:p w14:paraId="207F5B6E" w14:textId="77777777" w:rsidR="004677A5" w:rsidRPr="005A2EBA" w:rsidRDefault="004677A5" w:rsidP="0015223C">
            <w:pPr>
              <w:pStyle w:val="Tabletext"/>
              <w:spacing w:line="240" w:lineRule="auto"/>
            </w:pPr>
            <w:r w:rsidRPr="005A2EBA">
              <w:t>Capacity</w:t>
            </w:r>
          </w:p>
        </w:tc>
      </w:tr>
      <w:tr w:rsidR="004677A5" w:rsidRPr="005A2EBA" w14:paraId="4B30CE88" w14:textId="77777777">
        <w:trPr>
          <w:cantSplit/>
        </w:trPr>
        <w:tc>
          <w:tcPr>
            <w:tcW w:w="3200" w:type="dxa"/>
          </w:tcPr>
          <w:p w14:paraId="3A774DFF" w14:textId="77777777" w:rsidR="004677A5" w:rsidRPr="005A2EBA" w:rsidRDefault="004677A5">
            <w:pPr>
              <w:pStyle w:val="Tabletext"/>
            </w:pPr>
            <w:r w:rsidRPr="005A2EBA">
              <w:t>Currently operating</w:t>
            </w:r>
          </w:p>
        </w:tc>
        <w:tc>
          <w:tcPr>
            <w:tcW w:w="3000" w:type="dxa"/>
          </w:tcPr>
          <w:p w14:paraId="0DF7FF4A" w14:textId="77777777" w:rsidR="004677A5" w:rsidRPr="005A2EBA" w:rsidRDefault="004677A5">
            <w:pPr>
              <w:pStyle w:val="Tabletext"/>
            </w:pPr>
            <w:r w:rsidRPr="005A2EBA">
              <w:t>26 storage projects</w:t>
            </w:r>
          </w:p>
        </w:tc>
        <w:tc>
          <w:tcPr>
            <w:tcW w:w="3418" w:type="dxa"/>
          </w:tcPr>
          <w:p w14:paraId="7E097094" w14:textId="77777777" w:rsidR="004677A5" w:rsidRPr="005A2EBA" w:rsidRDefault="004677A5">
            <w:pPr>
              <w:pStyle w:val="Tabletext"/>
            </w:pPr>
            <w:r w:rsidRPr="005A2EBA">
              <w:t>2 GW</w:t>
            </w:r>
            <w:r w:rsidRPr="005A2EBA">
              <w:rPr>
                <w:rStyle w:val="FootnoteReference"/>
              </w:rPr>
              <w:footnoteReference w:id="15"/>
            </w:r>
          </w:p>
        </w:tc>
      </w:tr>
      <w:tr w:rsidR="004677A5" w:rsidRPr="005A2EBA" w14:paraId="5567505B" w14:textId="77777777">
        <w:trPr>
          <w:cantSplit/>
        </w:trPr>
        <w:tc>
          <w:tcPr>
            <w:tcW w:w="3200" w:type="dxa"/>
          </w:tcPr>
          <w:p w14:paraId="2A701F7C" w14:textId="77777777" w:rsidR="004677A5" w:rsidRPr="005A2EBA" w:rsidRDefault="004677A5">
            <w:pPr>
              <w:pStyle w:val="Tabletext"/>
            </w:pPr>
            <w:r w:rsidRPr="005A2EBA">
              <w:t>Under construction</w:t>
            </w:r>
          </w:p>
        </w:tc>
        <w:tc>
          <w:tcPr>
            <w:tcW w:w="3000" w:type="dxa"/>
          </w:tcPr>
          <w:p w14:paraId="2A7496FD" w14:textId="77777777" w:rsidR="004677A5" w:rsidRPr="005A2EBA" w:rsidRDefault="004677A5">
            <w:pPr>
              <w:pStyle w:val="Tabletext"/>
            </w:pPr>
            <w:r w:rsidRPr="005A2EBA">
              <w:t>9 storage projects</w:t>
            </w:r>
          </w:p>
        </w:tc>
        <w:tc>
          <w:tcPr>
            <w:tcW w:w="3418" w:type="dxa"/>
          </w:tcPr>
          <w:p w14:paraId="55D13190" w14:textId="77777777" w:rsidR="004677A5" w:rsidRPr="005A2EBA" w:rsidRDefault="004677A5">
            <w:pPr>
              <w:pStyle w:val="Tabletext"/>
            </w:pPr>
            <w:r w:rsidRPr="005A2EBA">
              <w:t>1.8 GW</w:t>
            </w:r>
          </w:p>
        </w:tc>
      </w:tr>
      <w:tr w:rsidR="004677A5" w:rsidRPr="005A2EBA" w14:paraId="56965FF6" w14:textId="77777777">
        <w:trPr>
          <w:cantSplit/>
        </w:trPr>
        <w:tc>
          <w:tcPr>
            <w:tcW w:w="3200" w:type="dxa"/>
          </w:tcPr>
          <w:p w14:paraId="7782943D" w14:textId="77777777" w:rsidR="004677A5" w:rsidRPr="005A2EBA" w:rsidRDefault="004677A5">
            <w:pPr>
              <w:pStyle w:val="Tabletext"/>
            </w:pPr>
            <w:r w:rsidRPr="005A2EBA">
              <w:t>Required by 2035</w:t>
            </w:r>
          </w:p>
        </w:tc>
        <w:tc>
          <w:tcPr>
            <w:tcW w:w="3000" w:type="dxa"/>
          </w:tcPr>
          <w:p w14:paraId="677DD88D" w14:textId="77777777" w:rsidR="004677A5" w:rsidRPr="005A2EBA" w:rsidRDefault="004677A5">
            <w:pPr>
              <w:pStyle w:val="Tabletext"/>
            </w:pPr>
            <w:r w:rsidRPr="005A2EBA">
              <w:t>–</w:t>
            </w:r>
          </w:p>
        </w:tc>
        <w:tc>
          <w:tcPr>
            <w:tcW w:w="3418" w:type="dxa"/>
          </w:tcPr>
          <w:p w14:paraId="61E984BE" w14:textId="77777777" w:rsidR="004677A5" w:rsidRPr="005A2EBA" w:rsidRDefault="004677A5">
            <w:pPr>
              <w:pStyle w:val="Tabletext"/>
            </w:pPr>
            <w:r w:rsidRPr="005A2EBA">
              <w:t>5.5 GW of utility storage</w:t>
            </w:r>
            <w:r w:rsidRPr="005A2EBA">
              <w:rPr>
                <w:rStyle w:val="FootnoteReference"/>
              </w:rPr>
              <w:footnoteReference w:id="16"/>
            </w:r>
          </w:p>
        </w:tc>
      </w:tr>
    </w:tbl>
    <w:p w14:paraId="61EC52A2" w14:textId="77777777" w:rsidR="004677A5" w:rsidRPr="005A2EBA" w:rsidRDefault="004677A5" w:rsidP="0015223C">
      <w:pPr>
        <w:pStyle w:val="Heading2"/>
        <w:spacing w:before="600"/>
      </w:pPr>
      <w:r w:rsidRPr="005A2EBA">
        <w:t xml:space="preserve">Case study: </w:t>
      </w:r>
      <w:proofErr w:type="spellStart"/>
      <w:r w:rsidRPr="005A2EBA">
        <w:t>Rangebank</w:t>
      </w:r>
      <w:proofErr w:type="spellEnd"/>
      <w:r w:rsidRPr="005A2EBA">
        <w:t xml:space="preserve"> BESS</w:t>
      </w:r>
    </w:p>
    <w:p w14:paraId="422AEAC4" w14:textId="77777777" w:rsidR="004677A5" w:rsidRPr="005A2EBA" w:rsidRDefault="004677A5">
      <w:pPr>
        <w:pStyle w:val="BodyText"/>
      </w:pPr>
      <w:r w:rsidRPr="005A2EBA">
        <w:t xml:space="preserve">Eku Energy partnered with Shell Energy Australia and Perfection Private to develop the </w:t>
      </w:r>
      <w:proofErr w:type="spellStart"/>
      <w:r w:rsidRPr="005A2EBA">
        <w:t>Rangebank</w:t>
      </w:r>
      <w:proofErr w:type="spellEnd"/>
      <w:r w:rsidRPr="005A2EBA">
        <w:t xml:space="preserve"> battery energy storage system (BESS) which has increased Victoria’s renewable energy hosting capacity while providing essential system services to VicGrid and the National Electricity Market (NEM).</w:t>
      </w:r>
    </w:p>
    <w:p w14:paraId="037D39D9" w14:textId="77777777" w:rsidR="004677A5" w:rsidRPr="005A2EBA" w:rsidRDefault="004677A5">
      <w:pPr>
        <w:pStyle w:val="BodyText"/>
      </w:pPr>
      <w:r w:rsidRPr="005A2EBA">
        <w:t xml:space="preserve">The </w:t>
      </w:r>
      <w:proofErr w:type="spellStart"/>
      <w:r w:rsidRPr="005A2EBA">
        <w:t>Rangebank</w:t>
      </w:r>
      <w:proofErr w:type="spellEnd"/>
      <w:r w:rsidRPr="005A2EBA">
        <w:t xml:space="preserve"> BESS became fully operational in December 2024 and has the storage capacity, of 200 MW, to power the equivalent of 80,000 homes for an hour during peak periods. Under a tolling agreement, Shell Energy Australia has access to the battery’s capacity over the next 20 years.</w:t>
      </w:r>
    </w:p>
    <w:p w14:paraId="7620E8BC" w14:textId="77777777" w:rsidR="004677A5" w:rsidRPr="005A2EBA" w:rsidRDefault="004677A5">
      <w:pPr>
        <w:pStyle w:val="BodyText"/>
      </w:pPr>
      <w:r w:rsidRPr="005A2EBA">
        <w:t>Together both companies are committed to Victoria with each organisation investing in the state’s infrastructure through upcoming projects.</w:t>
      </w:r>
    </w:p>
    <w:p w14:paraId="678D6942" w14:textId="77777777" w:rsidR="004677A5" w:rsidRPr="005A2EBA" w:rsidRDefault="004677A5">
      <w:pPr>
        <w:pStyle w:val="BodyText"/>
      </w:pPr>
      <w:r w:rsidRPr="005A2EBA">
        <w:t xml:space="preserve">For more information, visit the </w:t>
      </w:r>
      <w:hyperlink r:id="rId22" w:tooltip="Opens the Eku Energy web page about the Rangebank battery energy storage system" w:history="1">
        <w:r w:rsidRPr="005A2EBA">
          <w:rPr>
            <w:rStyle w:val="Hyperlink"/>
          </w:rPr>
          <w:t xml:space="preserve">Eku Energy </w:t>
        </w:r>
        <w:proofErr w:type="spellStart"/>
        <w:r w:rsidRPr="005A2EBA">
          <w:rPr>
            <w:rStyle w:val="Hyperlink"/>
          </w:rPr>
          <w:t>Rangebank</w:t>
        </w:r>
        <w:proofErr w:type="spellEnd"/>
        <w:r w:rsidRPr="005A2EBA">
          <w:rPr>
            <w:rStyle w:val="Hyperlink"/>
          </w:rPr>
          <w:t xml:space="preserve"> project page</w:t>
        </w:r>
      </w:hyperlink>
      <w:r w:rsidRPr="005A2EBA">
        <w:t xml:space="preserve"> or the </w:t>
      </w:r>
      <w:hyperlink r:id="rId23" w:tooltip="Opens the Shell Energy Australia web page about the Rangebank battery energy storage system project" w:history="1">
        <w:r w:rsidRPr="005A2EBA">
          <w:rPr>
            <w:rStyle w:val="Hyperlink"/>
          </w:rPr>
          <w:t xml:space="preserve">Shell Energy </w:t>
        </w:r>
        <w:proofErr w:type="spellStart"/>
        <w:r w:rsidRPr="005A2EBA">
          <w:rPr>
            <w:rStyle w:val="Hyperlink"/>
          </w:rPr>
          <w:t>Rangebank</w:t>
        </w:r>
        <w:proofErr w:type="spellEnd"/>
        <w:r w:rsidRPr="005A2EBA">
          <w:rPr>
            <w:rStyle w:val="Hyperlink"/>
          </w:rPr>
          <w:t xml:space="preserve"> BESS project page</w:t>
        </w:r>
      </w:hyperlink>
      <w:r w:rsidRPr="005A2EBA">
        <w:t>.</w:t>
      </w:r>
    </w:p>
    <w:p w14:paraId="370BF7A6" w14:textId="77777777" w:rsidR="004677A5" w:rsidRPr="005A2EBA" w:rsidRDefault="004677A5">
      <w:pPr>
        <w:pStyle w:val="Heading2"/>
      </w:pPr>
      <w:r w:rsidRPr="005A2EBA">
        <w:lastRenderedPageBreak/>
        <w:t>Case study: Hazelwood BESS</w:t>
      </w:r>
    </w:p>
    <w:p w14:paraId="612859A5" w14:textId="77777777" w:rsidR="004677A5" w:rsidRPr="005A2EBA" w:rsidRDefault="004677A5">
      <w:pPr>
        <w:pStyle w:val="BodyText"/>
      </w:pPr>
      <w:r w:rsidRPr="005A2EBA">
        <w:t>The Hazelwood Battery Energy Storage System (BESS) in the Latrobe Valley is Australia’s first utility-scale energy storage system to be commissioned on the site of a retired coal-fired power plant.</w:t>
      </w:r>
    </w:p>
    <w:p w14:paraId="6403ED93" w14:textId="77777777" w:rsidR="004677A5" w:rsidRPr="005A2EBA" w:rsidRDefault="004677A5">
      <w:pPr>
        <w:pStyle w:val="BodyText"/>
      </w:pPr>
      <w:r w:rsidRPr="005A2EBA">
        <w:t>100% owned by ENGIE, the 150 MW/150 MWh system has the capacity to store the equivalent energy of 30,000 residential rooftop solar systems, which it can then discharge to help meet peak demand.</w:t>
      </w:r>
    </w:p>
    <w:p w14:paraId="05BE0A0E" w14:textId="77777777" w:rsidR="004677A5" w:rsidRPr="005A2EBA" w:rsidRDefault="004677A5">
      <w:pPr>
        <w:pStyle w:val="BodyText"/>
      </w:pPr>
      <w:r w:rsidRPr="005A2EBA">
        <w:t>With access to existing network transmission capacity on site, the Hazelwood BESS will play a critical role in increasing renewable energy capacity in Victoria while delivering essential system services to the grid.</w:t>
      </w:r>
    </w:p>
    <w:p w14:paraId="669472E8" w14:textId="77777777" w:rsidR="004677A5" w:rsidRPr="005A2EBA" w:rsidRDefault="004677A5">
      <w:pPr>
        <w:pStyle w:val="BodyText"/>
      </w:pPr>
      <w:r w:rsidRPr="005A2EBA">
        <w:t xml:space="preserve">For more information, visit the </w:t>
      </w:r>
      <w:hyperlink r:id="rId24" w:tooltip="Opens the ENGIE Australia web page about the Hazelwood Battery Energy Storage System" w:history="1">
        <w:r w:rsidRPr="005A2EBA">
          <w:rPr>
            <w:rStyle w:val="Hyperlink"/>
          </w:rPr>
          <w:t>ENGIE Hazelwood Battery page</w:t>
        </w:r>
      </w:hyperlink>
      <w:r w:rsidRPr="005A2EBA">
        <w:t>.</w:t>
      </w:r>
    </w:p>
    <w:p w14:paraId="6809147B" w14:textId="77777777" w:rsidR="004677A5" w:rsidRPr="005A2EBA" w:rsidRDefault="004677A5">
      <w:pPr>
        <w:pStyle w:val="Quote"/>
      </w:pPr>
      <w:r w:rsidRPr="005A2EBA">
        <w:t>“Victoria is the place to be for investment in the energy transition, with near term coal retirement commitments, strong wind and solar resources and supportive policy deployment.”</w:t>
      </w:r>
    </w:p>
    <w:p w14:paraId="3F63A998" w14:textId="77777777" w:rsidR="004677A5" w:rsidRPr="005A2EBA" w:rsidRDefault="004677A5">
      <w:pPr>
        <w:pStyle w:val="BodyText"/>
      </w:pPr>
      <w:r w:rsidRPr="005A2EBA">
        <w:t>Laura Caspari, Chief Renewables Officer, ENGIE AU</w:t>
      </w:r>
    </w:p>
    <w:p w14:paraId="6D6E102C" w14:textId="77777777" w:rsidR="004677A5" w:rsidRPr="005A2EBA" w:rsidRDefault="004677A5">
      <w:pPr>
        <w:pStyle w:val="Heading2"/>
      </w:pPr>
      <w:r w:rsidRPr="005A2EBA">
        <w:t xml:space="preserve">Case study: </w:t>
      </w:r>
      <w:proofErr w:type="spellStart"/>
      <w:r w:rsidRPr="005A2EBA">
        <w:t>Fotowatio</w:t>
      </w:r>
      <w:proofErr w:type="spellEnd"/>
      <w:r w:rsidRPr="005A2EBA">
        <w:t xml:space="preserve"> Renewable Ventures Australia (FRV Australia)</w:t>
      </w:r>
    </w:p>
    <w:p w14:paraId="326F4DAA" w14:textId="77777777" w:rsidR="004677A5" w:rsidRPr="005A2EBA" w:rsidRDefault="004677A5">
      <w:pPr>
        <w:pStyle w:val="BodyText"/>
      </w:pPr>
      <w:proofErr w:type="spellStart"/>
      <w:r w:rsidRPr="005A2EBA">
        <w:t>Fotowatio</w:t>
      </w:r>
      <w:proofErr w:type="spellEnd"/>
      <w:r w:rsidRPr="005A2EBA">
        <w:t xml:space="preserve"> Renewable Ventures Australia (FRV Australia) has been awarded $7 million through round 2 of the Energy Innovation Fund (EIF) to install a 100 MW/200 MWh lithium-ion Battery Energy Storage System (BESS) using innovative grid forming inverters, located in Terang, Victoria.</w:t>
      </w:r>
    </w:p>
    <w:p w14:paraId="730338F6" w14:textId="77777777" w:rsidR="004677A5" w:rsidRPr="005A2EBA" w:rsidRDefault="004677A5">
      <w:pPr>
        <w:pStyle w:val="BodyText"/>
      </w:pPr>
      <w:r w:rsidRPr="005A2EBA">
        <w:lastRenderedPageBreak/>
        <w:t>The project will include 38 inverters and 48 battery containers and once complete will connect to the national electricity grid.</w:t>
      </w:r>
    </w:p>
    <w:p w14:paraId="5DAD3D23" w14:textId="77777777" w:rsidR="004677A5" w:rsidRPr="005A2EBA" w:rsidRDefault="004677A5">
      <w:pPr>
        <w:pStyle w:val="BodyText"/>
      </w:pPr>
      <w:r w:rsidRPr="005A2EBA">
        <w:t>Grid forming inverters use voltage and frequency control technology to manage the supply and demand of electricity flowing through the network and keep it performing reliably. This technology is critical as more renewable energy is connected to the grid.</w:t>
      </w:r>
    </w:p>
    <w:p w14:paraId="5A0F46A6" w14:textId="77777777" w:rsidR="004677A5" w:rsidRPr="005A2EBA" w:rsidRDefault="004677A5">
      <w:pPr>
        <w:pStyle w:val="BodyText"/>
      </w:pPr>
      <w:r w:rsidRPr="005A2EBA">
        <w:t xml:space="preserve">For more information, visit the </w:t>
      </w:r>
      <w:hyperlink r:id="rId25" w:tooltip="Opens the Terang Battery Energy Storage System project website" w:history="1">
        <w:r w:rsidRPr="005A2EBA">
          <w:rPr>
            <w:rStyle w:val="Hyperlink"/>
          </w:rPr>
          <w:t>Terang BESS website</w:t>
        </w:r>
      </w:hyperlink>
      <w:r w:rsidRPr="005A2EBA">
        <w:t>.</w:t>
      </w:r>
    </w:p>
    <w:p w14:paraId="58E909E0" w14:textId="77777777" w:rsidR="003B5F16" w:rsidRPr="005A2EBA" w:rsidRDefault="003B5F16">
      <w:pPr>
        <w:pStyle w:val="Heading1"/>
        <w:pageBreakBefore/>
      </w:pPr>
      <w:bookmarkStart w:id="9" w:name="_Toc243488373"/>
      <w:r w:rsidRPr="005A2EBA">
        <w:lastRenderedPageBreak/>
        <w:t>Victoria has excellent solar resources</w:t>
      </w:r>
      <w:bookmarkEnd w:id="9"/>
    </w:p>
    <w:p w14:paraId="48DAFBEE" w14:textId="77777777" w:rsidR="004677A5" w:rsidRPr="005A2EBA" w:rsidRDefault="004677A5">
      <w:pPr>
        <w:pStyle w:val="Introductoryparagraph"/>
      </w:pPr>
      <w:r w:rsidRPr="005A2EBA">
        <w:t>North-west Victoria receives high irradiation levels, with southern Victoria boasting better solar resources than most of western Europe.</w:t>
      </w:r>
    </w:p>
    <w:p w14:paraId="13FFC12A" w14:textId="77777777" w:rsidR="004677A5" w:rsidRPr="005A2EBA" w:rsidRDefault="004677A5">
      <w:pPr>
        <w:pStyle w:val="BodyText"/>
      </w:pPr>
      <w:r w:rsidRPr="005A2EBA">
        <w:t>Victoria’s solar energy sector is primed for investment, with solar energy to play a critical role in achieving the state’s renewable energy targets. Victoria has excellent solar irradiation levels across the state, setting the sector up for continued growth.</w:t>
      </w:r>
    </w:p>
    <w:p w14:paraId="55A22AB8" w14:textId="77777777" w:rsidR="004677A5" w:rsidRPr="005A2EBA" w:rsidRDefault="004677A5">
      <w:pPr>
        <w:pStyle w:val="BodyText"/>
      </w:pPr>
      <w:r w:rsidRPr="005A2EBA">
        <w:t>North-west Victoria receives an exceptional amount of solar energy, with irradiation levels exceeding 1,900 kWh/m² annually.</w:t>
      </w:r>
    </w:p>
    <w:p w14:paraId="494DB31A" w14:textId="1E787E6B" w:rsidR="004677A5" w:rsidRPr="005A2EBA" w:rsidRDefault="004677A5">
      <w:pPr>
        <w:pStyle w:val="Caption"/>
        <w:keepNext/>
      </w:pPr>
      <w:r w:rsidRPr="005A2EBA">
        <w:t xml:space="preserve">Table </w:t>
      </w:r>
      <w:fldSimple w:instr=" SEQ Table \* ARABIC \* MERGEFORMAT ">
        <w:r w:rsidR="003B5F16" w:rsidRPr="005A2EBA">
          <w:t>6</w:t>
        </w:r>
      </w:fldSimple>
      <w:r w:rsidRPr="005A2EBA">
        <w:t xml:space="preserve">: </w:t>
      </w:r>
      <w:r w:rsidRPr="005A2EBA">
        <w:rPr>
          <w:b w:val="0"/>
          <w:bCs/>
        </w:rPr>
        <w:t xml:space="preserve">Victoria’s utility-scale solar sector </w:t>
      </w:r>
      <w:proofErr w:type="gramStart"/>
      <w:r w:rsidRPr="005A2EBA">
        <w:rPr>
          <w:b w:val="0"/>
          <w:bCs/>
        </w:rPr>
        <w:t>at a glance</w:t>
      </w:r>
      <w:proofErr w:type="gramEnd"/>
    </w:p>
    <w:tbl>
      <w:tblPr>
        <w:tblStyle w:val="Style2"/>
        <w:tblW w:w="0" w:type="auto"/>
        <w:tblLook w:val="04A0" w:firstRow="1" w:lastRow="0" w:firstColumn="1" w:lastColumn="0" w:noHBand="0" w:noVBand="1"/>
        <w:tblCaption w:val="Victoria’s utility-scale solar sector at a glance"/>
        <w:tblDescription w:val="Table with 3 columns, Status, Projects and Capacity: 57 solar farms with 2 GW currently operating; 3 solar farms with 300 MW under construction; and 2.9 GW of utility solar required by 2035."/>
      </w:tblPr>
      <w:tblGrid>
        <w:gridCol w:w="3200"/>
        <w:gridCol w:w="3000"/>
        <w:gridCol w:w="3418"/>
      </w:tblGrid>
      <w:tr w:rsidR="004677A5" w:rsidRPr="005A2EBA" w14:paraId="5679F757" w14:textId="77777777">
        <w:trPr>
          <w:cnfStyle w:val="100000000000" w:firstRow="1" w:lastRow="0" w:firstColumn="0" w:lastColumn="0" w:oddVBand="0" w:evenVBand="0" w:oddHBand="0" w:evenHBand="0" w:firstRowFirstColumn="0" w:firstRowLastColumn="0" w:lastRowFirstColumn="0" w:lastRowLastColumn="0"/>
          <w:cantSplit/>
          <w:tblHeader/>
        </w:trPr>
        <w:tc>
          <w:tcPr>
            <w:tcW w:w="3200" w:type="dxa"/>
          </w:tcPr>
          <w:p w14:paraId="44DCD99E" w14:textId="77777777" w:rsidR="004677A5" w:rsidRPr="005A2EBA" w:rsidRDefault="004677A5">
            <w:pPr>
              <w:pStyle w:val="Tabletext"/>
            </w:pPr>
            <w:r w:rsidRPr="005A2EBA">
              <w:t>Status</w:t>
            </w:r>
          </w:p>
        </w:tc>
        <w:tc>
          <w:tcPr>
            <w:tcW w:w="3000" w:type="dxa"/>
          </w:tcPr>
          <w:p w14:paraId="67954ED3" w14:textId="77777777" w:rsidR="004677A5" w:rsidRPr="005A2EBA" w:rsidRDefault="004677A5">
            <w:pPr>
              <w:pStyle w:val="Tabletext"/>
            </w:pPr>
            <w:r w:rsidRPr="005A2EBA">
              <w:t>Projects</w:t>
            </w:r>
          </w:p>
        </w:tc>
        <w:tc>
          <w:tcPr>
            <w:tcW w:w="3418" w:type="dxa"/>
          </w:tcPr>
          <w:p w14:paraId="65FDD8FB" w14:textId="77777777" w:rsidR="004677A5" w:rsidRPr="005A2EBA" w:rsidRDefault="004677A5">
            <w:pPr>
              <w:pStyle w:val="Tabletext"/>
            </w:pPr>
            <w:r w:rsidRPr="005A2EBA">
              <w:t>Capacity</w:t>
            </w:r>
          </w:p>
        </w:tc>
      </w:tr>
      <w:tr w:rsidR="004677A5" w:rsidRPr="005A2EBA" w14:paraId="1C893E8F" w14:textId="77777777">
        <w:trPr>
          <w:cantSplit/>
        </w:trPr>
        <w:tc>
          <w:tcPr>
            <w:tcW w:w="3200" w:type="dxa"/>
          </w:tcPr>
          <w:p w14:paraId="20129C80" w14:textId="77777777" w:rsidR="004677A5" w:rsidRPr="005A2EBA" w:rsidRDefault="004677A5">
            <w:pPr>
              <w:pStyle w:val="Tabletext"/>
            </w:pPr>
            <w:r w:rsidRPr="005A2EBA">
              <w:t>Currently operating</w:t>
            </w:r>
          </w:p>
        </w:tc>
        <w:tc>
          <w:tcPr>
            <w:tcW w:w="3000" w:type="dxa"/>
          </w:tcPr>
          <w:p w14:paraId="050A9074" w14:textId="77777777" w:rsidR="004677A5" w:rsidRPr="005A2EBA" w:rsidRDefault="004677A5">
            <w:pPr>
              <w:pStyle w:val="Tabletext"/>
            </w:pPr>
            <w:r w:rsidRPr="005A2EBA">
              <w:t>57 solar farms</w:t>
            </w:r>
          </w:p>
        </w:tc>
        <w:tc>
          <w:tcPr>
            <w:tcW w:w="3418" w:type="dxa"/>
          </w:tcPr>
          <w:p w14:paraId="01545D3B" w14:textId="77777777" w:rsidR="004677A5" w:rsidRPr="005A2EBA" w:rsidRDefault="004677A5">
            <w:pPr>
              <w:pStyle w:val="Tabletext"/>
            </w:pPr>
            <w:r w:rsidRPr="005A2EBA">
              <w:t>2 GW</w:t>
            </w:r>
            <w:r w:rsidRPr="005A2EBA">
              <w:rPr>
                <w:rStyle w:val="FootnoteReference"/>
              </w:rPr>
              <w:footnoteReference w:id="17"/>
            </w:r>
          </w:p>
        </w:tc>
      </w:tr>
      <w:tr w:rsidR="004677A5" w:rsidRPr="005A2EBA" w14:paraId="34FEB8E9" w14:textId="77777777">
        <w:trPr>
          <w:cantSplit/>
        </w:trPr>
        <w:tc>
          <w:tcPr>
            <w:tcW w:w="3200" w:type="dxa"/>
          </w:tcPr>
          <w:p w14:paraId="5831A82D" w14:textId="77777777" w:rsidR="004677A5" w:rsidRPr="005A2EBA" w:rsidRDefault="004677A5">
            <w:pPr>
              <w:pStyle w:val="Tabletext"/>
            </w:pPr>
            <w:r w:rsidRPr="005A2EBA">
              <w:t>Under construction</w:t>
            </w:r>
          </w:p>
        </w:tc>
        <w:tc>
          <w:tcPr>
            <w:tcW w:w="3000" w:type="dxa"/>
          </w:tcPr>
          <w:p w14:paraId="040D9C7B" w14:textId="77777777" w:rsidR="004677A5" w:rsidRPr="005A2EBA" w:rsidRDefault="004677A5">
            <w:pPr>
              <w:pStyle w:val="Tabletext"/>
            </w:pPr>
            <w:r w:rsidRPr="005A2EBA">
              <w:t>3 solar farms</w:t>
            </w:r>
          </w:p>
        </w:tc>
        <w:tc>
          <w:tcPr>
            <w:tcW w:w="3418" w:type="dxa"/>
          </w:tcPr>
          <w:p w14:paraId="1938D98D" w14:textId="77777777" w:rsidR="004677A5" w:rsidRPr="005A2EBA" w:rsidRDefault="004677A5">
            <w:pPr>
              <w:pStyle w:val="Tabletext"/>
            </w:pPr>
            <w:r w:rsidRPr="005A2EBA">
              <w:t>300 MW</w:t>
            </w:r>
          </w:p>
        </w:tc>
      </w:tr>
      <w:tr w:rsidR="004677A5" w:rsidRPr="005A2EBA" w14:paraId="73EEA6BD" w14:textId="77777777">
        <w:trPr>
          <w:cantSplit/>
        </w:trPr>
        <w:tc>
          <w:tcPr>
            <w:tcW w:w="3200" w:type="dxa"/>
          </w:tcPr>
          <w:p w14:paraId="2B088F73" w14:textId="77777777" w:rsidR="004677A5" w:rsidRPr="005A2EBA" w:rsidRDefault="004677A5">
            <w:pPr>
              <w:pStyle w:val="Tabletext"/>
            </w:pPr>
            <w:r w:rsidRPr="005A2EBA">
              <w:t>Required by 2035</w:t>
            </w:r>
          </w:p>
        </w:tc>
        <w:tc>
          <w:tcPr>
            <w:tcW w:w="3000" w:type="dxa"/>
          </w:tcPr>
          <w:p w14:paraId="0273E93A" w14:textId="77777777" w:rsidR="004677A5" w:rsidRPr="005A2EBA" w:rsidRDefault="004677A5">
            <w:pPr>
              <w:pStyle w:val="Tabletext"/>
            </w:pPr>
            <w:r w:rsidRPr="005A2EBA">
              <w:t>–</w:t>
            </w:r>
          </w:p>
        </w:tc>
        <w:tc>
          <w:tcPr>
            <w:tcW w:w="3418" w:type="dxa"/>
          </w:tcPr>
          <w:p w14:paraId="33C6FD42" w14:textId="77777777" w:rsidR="004677A5" w:rsidRPr="005A2EBA" w:rsidRDefault="004677A5">
            <w:pPr>
              <w:pStyle w:val="Tabletext"/>
            </w:pPr>
            <w:r w:rsidRPr="005A2EBA">
              <w:t>2.9 GW of utility solar</w:t>
            </w:r>
            <w:r w:rsidRPr="005A2EBA">
              <w:rPr>
                <w:rStyle w:val="FootnoteReference"/>
              </w:rPr>
              <w:footnoteReference w:id="18"/>
            </w:r>
          </w:p>
        </w:tc>
      </w:tr>
    </w:tbl>
    <w:p w14:paraId="257FA8BB" w14:textId="43DA1517" w:rsidR="004677A5" w:rsidRPr="005A2EBA" w:rsidRDefault="004677A5">
      <w:pPr>
        <w:pStyle w:val="Caption"/>
        <w:keepNext/>
      </w:pPr>
      <w:bookmarkStart w:id="10" w:name="_Ref243570115"/>
      <w:r w:rsidRPr="005A2EBA">
        <w:lastRenderedPageBreak/>
        <w:t xml:space="preserve">Figure </w:t>
      </w:r>
      <w:fldSimple w:instr=" SEQ Figure \* ARABIC \* MERGEFORMAT ">
        <w:r w:rsidR="003B5F16" w:rsidRPr="005A2EBA">
          <w:t>3</w:t>
        </w:r>
      </w:fldSimple>
      <w:bookmarkEnd w:id="10"/>
      <w:r w:rsidRPr="005A2EBA">
        <w:t xml:space="preserve">: </w:t>
      </w:r>
      <w:r w:rsidRPr="005A2EBA">
        <w:rPr>
          <w:b w:val="0"/>
          <w:bCs/>
        </w:rPr>
        <w:t>Solar irradiation levels in Victoria</w:t>
      </w:r>
    </w:p>
    <w:p w14:paraId="5DC5C6F6" w14:textId="3A297AE9" w:rsidR="0015223C" w:rsidRPr="005A2EBA" w:rsidRDefault="0015223C">
      <w:pPr>
        <w:pStyle w:val="BodyText"/>
        <w:rPr>
          <w:highlight w:val="yellow"/>
        </w:rPr>
      </w:pPr>
      <w:r w:rsidRPr="005A2EBA">
        <w:rPr>
          <w:noProof/>
        </w:rPr>
        <w:drawing>
          <wp:inline distT="0" distB="0" distL="0" distR="0" wp14:anchorId="645D0E64" wp14:editId="3B974373">
            <wp:extent cx="6120130" cy="4307840"/>
            <wp:effectExtent l="0" t="0" r="1270" b="0"/>
            <wp:docPr id="1322115371" name="Picture 2" descr="Map shows solar irradiation levels across Victoria, with indicators for operating and under-construction solar farms and additional capacity required by 2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2115371" name="Picture 2" descr="Map shows solar irradiation levels across Victoria, with indicators for operating and under-construction solar farms and additional capacity required by 2035."/>
                    <pic:cNvPicPr/>
                  </pic:nvPicPr>
                  <pic:blipFill>
                    <a:blip r:embed="rId26"/>
                    <a:stretch>
                      <a:fillRect/>
                    </a:stretch>
                  </pic:blipFill>
                  <pic:spPr>
                    <a:xfrm>
                      <a:off x="0" y="0"/>
                      <a:ext cx="6120130" cy="4307840"/>
                    </a:xfrm>
                    <a:prstGeom prst="rect">
                      <a:avLst/>
                    </a:prstGeom>
                  </pic:spPr>
                </pic:pic>
              </a:graphicData>
            </a:graphic>
          </wp:inline>
        </w:drawing>
      </w:r>
    </w:p>
    <w:p w14:paraId="119171EB" w14:textId="0364B62B" w:rsidR="004677A5" w:rsidRPr="00A800E2" w:rsidRDefault="0015223C">
      <w:pPr>
        <w:pStyle w:val="Normalbeforebullets"/>
      </w:pPr>
      <w:r w:rsidRPr="00A800E2">
        <w:fldChar w:fldCharType="begin"/>
      </w:r>
      <w:r w:rsidRPr="00A800E2">
        <w:instrText xml:space="preserve"> REF _Ref243570115 \h </w:instrText>
      </w:r>
      <w:r w:rsidRPr="00A800E2">
        <w:fldChar w:fldCharType="separate"/>
      </w:r>
      <w:r w:rsidRPr="00A800E2">
        <w:t>Figure 3</w:t>
      </w:r>
      <w:r w:rsidRPr="00A800E2">
        <w:fldChar w:fldCharType="end"/>
      </w:r>
      <w:r w:rsidR="004677A5" w:rsidRPr="00A800E2">
        <w:t xml:space="preserve"> is a map of Victoria shaded by annual solar irradiation in kilowatt hours per square metre (kWh/m²), on a scale from less than 1,100 to more than 1,900 kWh/m². It shows:</w:t>
      </w:r>
    </w:p>
    <w:p w14:paraId="13CBED36" w14:textId="77777777" w:rsidR="004677A5" w:rsidRPr="005A2EBA" w:rsidRDefault="004677A5">
      <w:pPr>
        <w:pStyle w:val="ListBullet"/>
      </w:pPr>
      <w:r w:rsidRPr="005A2EBA">
        <w:t>the highest irradiation, above 1,900 kWh/m², in the far north-west corner of the state around Mildura</w:t>
      </w:r>
    </w:p>
    <w:p w14:paraId="1157E3DF" w14:textId="77777777" w:rsidR="004677A5" w:rsidRPr="005A2EBA" w:rsidRDefault="004677A5">
      <w:pPr>
        <w:pStyle w:val="ListBullet"/>
      </w:pPr>
      <w:r w:rsidRPr="005A2EBA">
        <w:t>high irradiation of about 1,700 to 1,900 kWh/m² across the rest of northern and north-western Victoria</w:t>
      </w:r>
    </w:p>
    <w:p w14:paraId="73CD9EC7" w14:textId="77777777" w:rsidR="004677A5" w:rsidRPr="005A2EBA" w:rsidRDefault="004677A5">
      <w:pPr>
        <w:pStyle w:val="ListBullet"/>
      </w:pPr>
      <w:r w:rsidRPr="005A2EBA">
        <w:t>moderate irradiation of about 1,500 to 1,700 kWh/m² across central and western Victoria</w:t>
      </w:r>
    </w:p>
    <w:p w14:paraId="32511E0C" w14:textId="77777777" w:rsidR="004677A5" w:rsidRPr="005A2EBA" w:rsidRDefault="004677A5">
      <w:pPr>
        <w:pStyle w:val="LastBulletinList"/>
      </w:pPr>
      <w:r w:rsidRPr="005A2EBA">
        <w:t>lower irradiation, below 1,500 kWh/m², in southern and eastern Victoria, with the lowest levels in the alpine north-east and parts of the south coast.</w:t>
      </w:r>
    </w:p>
    <w:p w14:paraId="1BEBFA9A" w14:textId="77777777" w:rsidR="003B5F16" w:rsidRPr="005A2EBA" w:rsidRDefault="003B5F16">
      <w:pPr>
        <w:pStyle w:val="Heading1"/>
        <w:pageBreakBefore/>
      </w:pPr>
      <w:bookmarkStart w:id="11" w:name="_Toc243488374"/>
      <w:r w:rsidRPr="005A2EBA">
        <w:lastRenderedPageBreak/>
        <w:t>Hybrid electricity generation and storage projects</w:t>
      </w:r>
      <w:bookmarkEnd w:id="11"/>
    </w:p>
    <w:p w14:paraId="187A9F80" w14:textId="77777777" w:rsidR="004677A5" w:rsidRPr="005A2EBA" w:rsidRDefault="004677A5">
      <w:pPr>
        <w:pStyle w:val="Introductoryparagraph"/>
      </w:pPr>
      <w:r w:rsidRPr="005A2EBA">
        <w:t>Under current market conditions, solar and wind project economics are boosted with a battery.</w:t>
      </w:r>
    </w:p>
    <w:p w14:paraId="3345A713" w14:textId="77777777" w:rsidR="004677A5" w:rsidRPr="005A2EBA" w:rsidRDefault="004677A5">
      <w:pPr>
        <w:pStyle w:val="BodyText"/>
      </w:pPr>
      <w:r w:rsidRPr="005A2EBA">
        <w:t>Hybrid projects – combining solar or wind energy with battery energy storage systems – represent a strong and growing investment opportunity in Victoria. By co-locating generation and storage, hybrid projects can improve asset utilisation, capture greater wholesale market value, and provide firm, dispatchable renewable energy.</w:t>
      </w:r>
    </w:p>
    <w:p w14:paraId="122758E0" w14:textId="77777777" w:rsidR="004677A5" w:rsidRPr="005A2EBA" w:rsidRDefault="004677A5">
      <w:pPr>
        <w:pStyle w:val="Heading2"/>
      </w:pPr>
      <w:proofErr w:type="spellStart"/>
      <w:r w:rsidRPr="005A2EBA">
        <w:t>BloombergNEF</w:t>
      </w:r>
      <w:proofErr w:type="spellEnd"/>
      <w:r w:rsidRPr="005A2EBA">
        <w:t xml:space="preserve"> modelling</w:t>
      </w:r>
    </w:p>
    <w:p w14:paraId="0A893C1B" w14:textId="77777777" w:rsidR="004677A5" w:rsidRPr="005A2EBA" w:rsidRDefault="004677A5">
      <w:pPr>
        <w:pStyle w:val="BodyText"/>
      </w:pPr>
      <w:proofErr w:type="spellStart"/>
      <w:r w:rsidRPr="005A2EBA">
        <w:t>BloombergNEF</w:t>
      </w:r>
      <w:proofErr w:type="spellEnd"/>
      <w:r w:rsidRPr="005A2EBA">
        <w:t xml:space="preserve"> modelling shows that pairing batteries with renewable assets can improve project economics by capturing excess generation and arbitraging price volatility.</w:t>
      </w:r>
    </w:p>
    <w:p w14:paraId="4DD38A29" w14:textId="77777777" w:rsidR="004677A5" w:rsidRPr="005A2EBA" w:rsidRDefault="004677A5">
      <w:pPr>
        <w:pStyle w:val="Normalbeforebullets"/>
      </w:pPr>
      <w:r w:rsidRPr="005A2EBA">
        <w:t>Under current market conditions, the revenue-to-capex ratio for a 100 MW generation project paired with a one-hour 200 MW battery in the NEM is:</w:t>
      </w:r>
    </w:p>
    <w:p w14:paraId="47682322" w14:textId="77777777" w:rsidR="004677A5" w:rsidRPr="005A2EBA" w:rsidRDefault="004677A5">
      <w:pPr>
        <w:pStyle w:val="ListBullet"/>
      </w:pPr>
      <w:r w:rsidRPr="005A2EBA">
        <w:t>197% for a solar farm</w:t>
      </w:r>
      <w:r w:rsidRPr="005A2EBA">
        <w:rPr>
          <w:rStyle w:val="FootnoteReference"/>
        </w:rPr>
        <w:footnoteReference w:id="19"/>
      </w:r>
    </w:p>
    <w:p w14:paraId="011899D6" w14:textId="77777777" w:rsidR="004677A5" w:rsidRPr="005A2EBA" w:rsidRDefault="004677A5">
      <w:pPr>
        <w:pStyle w:val="LastBulletinList"/>
      </w:pPr>
      <w:r w:rsidRPr="005A2EBA">
        <w:t>140% for a wind farm.</w:t>
      </w:r>
    </w:p>
    <w:p w14:paraId="27D248FC" w14:textId="77777777" w:rsidR="004677A5" w:rsidRPr="005A2EBA" w:rsidRDefault="004677A5">
      <w:pPr>
        <w:pStyle w:val="Heading2"/>
      </w:pPr>
      <w:r w:rsidRPr="005A2EBA">
        <w:t>Case study: Fulham Solar Farm</w:t>
      </w:r>
    </w:p>
    <w:p w14:paraId="4946C5C3" w14:textId="77777777" w:rsidR="004677A5" w:rsidRPr="005A2EBA" w:rsidRDefault="004677A5">
      <w:pPr>
        <w:pStyle w:val="BodyText"/>
      </w:pPr>
      <w:r w:rsidRPr="005A2EBA">
        <w:t xml:space="preserve">Octopus Australia is an energy fund manager and developer focused on delivering large-scale solar, wind and battery storage projects across Australia. Backed by global institutional capital, including support from the Clean Energy Finance Corporation and </w:t>
      </w:r>
      <w:r w:rsidRPr="005A2EBA">
        <w:lastRenderedPageBreak/>
        <w:t>Australian superannuation funds, the company is building integrated renewable energy portfolios designed to deliver reliable, firmed renewable power at scale.</w:t>
      </w:r>
    </w:p>
    <w:p w14:paraId="3B1DA37E" w14:textId="77777777" w:rsidR="004677A5" w:rsidRPr="005A2EBA" w:rsidRDefault="004677A5">
      <w:pPr>
        <w:pStyle w:val="BodyText"/>
      </w:pPr>
      <w:r w:rsidRPr="005A2EBA">
        <w:t>Victoria is a key focus region, with the Fulham Solar Farm and Battery Project representing a significant long-term investment in regional Victoria. Supported by a long-term energy agreement with the Victorian Government’s second Victorian Renewable Energy Target Auction (VRET2), the project adds new renewable generation and storage to the state’s electricity system. The 80 MW solar farm, DC-coupled with 64 MW/128 MWh of battery storage, will generate enough energy to power around 39,000 homes.</w:t>
      </w:r>
    </w:p>
    <w:p w14:paraId="7B15EC3E" w14:textId="77777777" w:rsidR="004677A5" w:rsidRPr="005A2EBA" w:rsidRDefault="004677A5">
      <w:pPr>
        <w:pStyle w:val="BodyText"/>
      </w:pPr>
      <w:r w:rsidRPr="005A2EBA">
        <w:t>It is expected to support more than 230 construction jobs and create opportunities for local contractors and suppliers throughout the life of the project.</w:t>
      </w:r>
    </w:p>
    <w:p w14:paraId="1314EDB4" w14:textId="77777777" w:rsidR="004677A5" w:rsidRPr="005A2EBA" w:rsidRDefault="004677A5">
      <w:pPr>
        <w:pStyle w:val="BodyText"/>
      </w:pPr>
      <w:r w:rsidRPr="005A2EBA">
        <w:t xml:space="preserve">For more information, visit the </w:t>
      </w:r>
      <w:hyperlink r:id="rId27" w:tooltip="Opens the Fulham Solar Farm and Battery Project website" w:history="1">
        <w:r w:rsidRPr="005A2EBA">
          <w:rPr>
            <w:rStyle w:val="Hyperlink"/>
          </w:rPr>
          <w:t>Fulham Solar website</w:t>
        </w:r>
      </w:hyperlink>
      <w:r w:rsidRPr="005A2EBA">
        <w:t>.</w:t>
      </w:r>
    </w:p>
    <w:p w14:paraId="24EFCA84" w14:textId="77777777" w:rsidR="004677A5" w:rsidRPr="005A2EBA" w:rsidRDefault="004677A5">
      <w:pPr>
        <w:pStyle w:val="Quote"/>
      </w:pPr>
      <w:r w:rsidRPr="005A2EBA">
        <w:t>“Victoria has created a strong platform for renewable investment, and its energy transition depends on delivering integrated projects at scale. Fulham combines large-scale solar generation with battery storage, delivering reliable, low-cost energy while supporting regional jobs and investment in Gippsland.”</w:t>
      </w:r>
    </w:p>
    <w:p w14:paraId="1E38DF4E" w14:textId="77777777" w:rsidR="004677A5" w:rsidRPr="005A2EBA" w:rsidRDefault="004677A5">
      <w:pPr>
        <w:pStyle w:val="BodyText"/>
      </w:pPr>
      <w:r w:rsidRPr="005A2EBA">
        <w:t>Sam Reynolds, Chief Executive Officer, Fulham Solar</w:t>
      </w:r>
    </w:p>
    <w:p w14:paraId="06DB7367" w14:textId="77777777" w:rsidR="004677A5" w:rsidRPr="005A2EBA" w:rsidRDefault="004677A5">
      <w:pPr>
        <w:pStyle w:val="Heading2"/>
      </w:pPr>
      <w:r w:rsidRPr="005A2EBA">
        <w:t>Case study: Gannawarra Energy Storage System</w:t>
      </w:r>
    </w:p>
    <w:p w14:paraId="2BE6F582" w14:textId="77777777" w:rsidR="004677A5" w:rsidRPr="005A2EBA" w:rsidRDefault="004677A5">
      <w:pPr>
        <w:pStyle w:val="BodyText"/>
      </w:pPr>
      <w:r w:rsidRPr="005A2EBA">
        <w:t xml:space="preserve">The Gannawarra Energy Storage System is located at the Gannawarra Solar Farm in Wandella, Victoria. It was one of the first large-scale battery projects supported by the Victorian Government as part of its $25 million Energy Storage Initiative. The 25 MW/50 MWh battery was developed by Edify Energy and is jointly owned by Revolt Energy and </w:t>
      </w:r>
      <w:proofErr w:type="spellStart"/>
      <w:r w:rsidRPr="005A2EBA">
        <w:t>Gentari</w:t>
      </w:r>
      <w:proofErr w:type="spellEnd"/>
      <w:r w:rsidRPr="005A2EBA">
        <w:t>.</w:t>
      </w:r>
    </w:p>
    <w:p w14:paraId="566553D1" w14:textId="77777777" w:rsidR="004677A5" w:rsidRPr="005A2EBA" w:rsidRDefault="004677A5">
      <w:pPr>
        <w:pStyle w:val="BodyText"/>
      </w:pPr>
      <w:r w:rsidRPr="005A2EBA">
        <w:lastRenderedPageBreak/>
        <w:t xml:space="preserve">The project is managed by Edify Energy and has an offtake with </w:t>
      </w:r>
      <w:proofErr w:type="spellStart"/>
      <w:r w:rsidRPr="005A2EBA">
        <w:t>EnergyAustralia</w:t>
      </w:r>
      <w:proofErr w:type="spellEnd"/>
      <w:r w:rsidRPr="005A2EBA">
        <w:t>. This battery is used to smooth the output of the 60 MW Gannawarra Solar Farm, allowing the combined solar and battery system to provide power when there is insufficient sun.</w:t>
      </w:r>
    </w:p>
    <w:p w14:paraId="084D5FBB" w14:textId="77777777" w:rsidR="004677A5" w:rsidRPr="005A2EBA" w:rsidRDefault="004677A5">
      <w:pPr>
        <w:pStyle w:val="BodyText"/>
      </w:pPr>
      <w:r w:rsidRPr="005A2EBA">
        <w:t xml:space="preserve">For more information, visit the </w:t>
      </w:r>
      <w:hyperlink r:id="rId28" w:tooltip="Opens the Edify Energy web page about the Gannawarra Solar Farm" w:history="1">
        <w:r w:rsidRPr="005A2EBA">
          <w:rPr>
            <w:rStyle w:val="Hyperlink"/>
          </w:rPr>
          <w:t>Edify Energy Gannawarra project page</w:t>
        </w:r>
      </w:hyperlink>
      <w:r w:rsidRPr="005A2EBA">
        <w:t xml:space="preserve"> or the </w:t>
      </w:r>
      <w:hyperlink r:id="rId29" w:tooltip="Opens the Gentari web page about the Gannawarra Energy Storage System" w:history="1">
        <w:proofErr w:type="spellStart"/>
        <w:r w:rsidRPr="005A2EBA">
          <w:rPr>
            <w:rStyle w:val="Hyperlink"/>
          </w:rPr>
          <w:t>Gentari</w:t>
        </w:r>
        <w:proofErr w:type="spellEnd"/>
        <w:r w:rsidRPr="005A2EBA">
          <w:rPr>
            <w:rStyle w:val="Hyperlink"/>
          </w:rPr>
          <w:t xml:space="preserve"> Gannawarra Energy Storage System page</w:t>
        </w:r>
      </w:hyperlink>
      <w:r w:rsidRPr="005A2EBA">
        <w:t>.</w:t>
      </w:r>
    </w:p>
    <w:p w14:paraId="65D3F606" w14:textId="77777777" w:rsidR="003B5F16" w:rsidRPr="005A2EBA" w:rsidRDefault="003B5F16">
      <w:pPr>
        <w:pStyle w:val="Heading1"/>
        <w:pageBreakBefore/>
      </w:pPr>
      <w:bookmarkStart w:id="12" w:name="_Toc243488375"/>
      <w:r w:rsidRPr="005A2EBA">
        <w:lastRenderedPageBreak/>
        <w:t>Underwriting new renewable energy capacity</w:t>
      </w:r>
      <w:bookmarkEnd w:id="12"/>
    </w:p>
    <w:p w14:paraId="0A76CBDA" w14:textId="77777777" w:rsidR="004677A5" w:rsidRPr="005A2EBA" w:rsidRDefault="004677A5" w:rsidP="00E022BB">
      <w:pPr>
        <w:pStyle w:val="Introductoryparagraph"/>
        <w:spacing w:before="240" w:after="0"/>
      </w:pPr>
      <w:r w:rsidRPr="005A2EBA">
        <w:t>The Australian Government has set a renewable energy target of 82% by 2030. To achieve this goal, it is helping to de-risk projects through long-term revenue underwriting.</w:t>
      </w:r>
    </w:p>
    <w:p w14:paraId="0A772C83" w14:textId="77777777" w:rsidR="004677A5" w:rsidRPr="005A2EBA" w:rsidRDefault="004677A5" w:rsidP="00E022BB">
      <w:pPr>
        <w:pStyle w:val="Heading2"/>
        <w:spacing w:before="360" w:after="360"/>
      </w:pPr>
      <w:r w:rsidRPr="005A2EBA">
        <w:t>Capacity Investment Scheme (CIS)</w:t>
      </w:r>
    </w:p>
    <w:p w14:paraId="18F3478D" w14:textId="77777777" w:rsidR="004677A5" w:rsidRPr="005A2EBA" w:rsidRDefault="004677A5" w:rsidP="00E022BB">
      <w:pPr>
        <w:pStyle w:val="BodyText"/>
        <w:spacing w:after="280"/>
      </w:pPr>
      <w:r w:rsidRPr="005A2EBA">
        <w:t>The Capacity Investment Scheme (CIS) provides a national framework to underwrite 23 GW of renewable capacity and 9 GW of clean dispatchable capacity by 2030.</w:t>
      </w:r>
    </w:p>
    <w:p w14:paraId="480CBB46" w14:textId="77777777" w:rsidR="004677A5" w:rsidRPr="005A2EBA" w:rsidRDefault="004677A5" w:rsidP="00E022BB">
      <w:pPr>
        <w:pStyle w:val="BodyText"/>
        <w:spacing w:after="280"/>
      </w:pPr>
      <w:r w:rsidRPr="005A2EBA">
        <w:t>Competitive tenders for renewable energy and storage will be held approximately every 6 months. The Victorian Government and Australian Government have entered a bilateral Renewable Energy Transformation Agreement (RETA) which secures target allocations for Victorian projects in these tenders for at least 5 GW or 11 TWh of renewable energy and 1.7 GW of 4-hour equivalent storage.</w:t>
      </w:r>
    </w:p>
    <w:p w14:paraId="2B79381C" w14:textId="77777777" w:rsidR="004677A5" w:rsidRPr="005A2EBA" w:rsidRDefault="004677A5" w:rsidP="00E022BB">
      <w:pPr>
        <w:pStyle w:val="BodyText"/>
        <w:spacing w:after="280"/>
      </w:pPr>
      <w:r w:rsidRPr="005A2EBA">
        <w:t>To date in Victoria, the Commonwealth has awarded contracts for 5.9 GW of generation and storage capacity. An additional 2.4 GW of generation capacity is expected to be announced for Victoria from existing CIS tender rounds and future tender rounds commencing over the course of 2026 to meet Victoria’s target allocation.</w:t>
      </w:r>
    </w:p>
    <w:p w14:paraId="646A4F2E" w14:textId="77777777" w:rsidR="004677A5" w:rsidRPr="005A2EBA" w:rsidRDefault="004677A5" w:rsidP="00E022BB">
      <w:pPr>
        <w:pStyle w:val="BodyText"/>
        <w:spacing w:after="280"/>
      </w:pPr>
      <w:r w:rsidRPr="005A2EBA">
        <w:t>The final tender round is proposed to open in December 2026 with the indicative date announced in July 2027.</w:t>
      </w:r>
    </w:p>
    <w:p w14:paraId="5D6C7CB6" w14:textId="77777777" w:rsidR="004677A5" w:rsidRPr="005A2EBA" w:rsidRDefault="004677A5" w:rsidP="00E022BB">
      <w:pPr>
        <w:pStyle w:val="BodyText"/>
        <w:spacing w:after="280"/>
      </w:pPr>
      <w:r w:rsidRPr="005A2EBA">
        <w:t xml:space="preserve">For more information, visit the </w:t>
      </w:r>
      <w:hyperlink r:id="rId30" w:tooltip="Opens the Department of Climate Change, Energy, the Environment and Water web page about the Capacity Investment Scheme" w:history="1">
        <w:r w:rsidRPr="005A2EBA">
          <w:rPr>
            <w:rStyle w:val="Hyperlink"/>
          </w:rPr>
          <w:t>Capacity Investment Scheme page</w:t>
        </w:r>
      </w:hyperlink>
      <w:r w:rsidRPr="005A2EBA">
        <w:t>.</w:t>
      </w:r>
    </w:p>
    <w:p w14:paraId="25F94CA0" w14:textId="5E12B341" w:rsidR="004677A5" w:rsidRPr="005A2EBA" w:rsidRDefault="004677A5">
      <w:pPr>
        <w:pStyle w:val="Caption"/>
        <w:keepNext/>
      </w:pPr>
      <w:r w:rsidRPr="005A2EBA">
        <w:lastRenderedPageBreak/>
        <w:t xml:space="preserve">Table </w:t>
      </w:r>
      <w:fldSimple w:instr=" SEQ Table \* ARABIC \* MERGEFORMAT ">
        <w:r w:rsidR="003B5F16" w:rsidRPr="005A2EBA">
          <w:t>7</w:t>
        </w:r>
      </w:fldSimple>
      <w:r w:rsidRPr="005A2EBA">
        <w:t xml:space="preserve">: </w:t>
      </w:r>
      <w:r w:rsidRPr="005A2EBA">
        <w:rPr>
          <w:b w:val="0"/>
          <w:bCs/>
        </w:rPr>
        <w:t>Capacity Investment Scheme allocations for Victoria</w:t>
      </w:r>
    </w:p>
    <w:tbl>
      <w:tblPr>
        <w:tblStyle w:val="Style2"/>
        <w:tblW w:w="0" w:type="auto"/>
        <w:tblLook w:val="04A0" w:firstRow="1" w:lastRow="0" w:firstColumn="1" w:lastColumn="0" w:noHBand="0" w:noVBand="1"/>
        <w:tblCaption w:val="Capacity Investment Scheme allocations for Victoria"/>
        <w:tblDescription w:val="Table with 2 columns, Capacity and Description: 5.9 GW of generation and storage announced for Victoria through CIS tenders, and 2.4 GW of minimum remaining capacity allocation for Victoria."/>
      </w:tblPr>
      <w:tblGrid>
        <w:gridCol w:w="1833"/>
        <w:gridCol w:w="7785"/>
      </w:tblGrid>
      <w:tr w:rsidR="004677A5" w:rsidRPr="005A2EBA" w14:paraId="134A17CB" w14:textId="77777777" w:rsidTr="005A2EBA">
        <w:trPr>
          <w:cnfStyle w:val="100000000000" w:firstRow="1" w:lastRow="0" w:firstColumn="0" w:lastColumn="0" w:oddVBand="0" w:evenVBand="0" w:oddHBand="0" w:evenHBand="0" w:firstRowFirstColumn="0" w:firstRowLastColumn="0" w:lastRowFirstColumn="0" w:lastRowLastColumn="0"/>
          <w:cantSplit/>
          <w:tblHeader/>
        </w:trPr>
        <w:tc>
          <w:tcPr>
            <w:tcW w:w="1833" w:type="dxa"/>
          </w:tcPr>
          <w:p w14:paraId="67FD6F4A" w14:textId="77777777" w:rsidR="004677A5" w:rsidRPr="005A2EBA" w:rsidRDefault="004677A5" w:rsidP="005A2EBA">
            <w:pPr>
              <w:pStyle w:val="Tabletext"/>
              <w:spacing w:line="240" w:lineRule="auto"/>
              <w:jc w:val="center"/>
            </w:pPr>
            <w:r w:rsidRPr="005A2EBA">
              <w:t>Capacity</w:t>
            </w:r>
          </w:p>
        </w:tc>
        <w:tc>
          <w:tcPr>
            <w:tcW w:w="7785" w:type="dxa"/>
          </w:tcPr>
          <w:p w14:paraId="00A34992" w14:textId="77777777" w:rsidR="004677A5" w:rsidRPr="005A2EBA" w:rsidRDefault="004677A5" w:rsidP="0015223C">
            <w:pPr>
              <w:pStyle w:val="Tabletext"/>
              <w:spacing w:line="240" w:lineRule="auto"/>
            </w:pPr>
            <w:r w:rsidRPr="005A2EBA">
              <w:t>Description</w:t>
            </w:r>
          </w:p>
        </w:tc>
      </w:tr>
      <w:tr w:rsidR="004677A5" w:rsidRPr="005A2EBA" w14:paraId="0838E2AB" w14:textId="77777777" w:rsidTr="005A2EBA">
        <w:trPr>
          <w:cantSplit/>
        </w:trPr>
        <w:tc>
          <w:tcPr>
            <w:tcW w:w="1833" w:type="dxa"/>
          </w:tcPr>
          <w:p w14:paraId="1C7F919A" w14:textId="77777777" w:rsidR="004677A5" w:rsidRPr="005A2EBA" w:rsidRDefault="004677A5" w:rsidP="005A2EBA">
            <w:pPr>
              <w:pStyle w:val="Tabletext"/>
              <w:jc w:val="center"/>
              <w:rPr>
                <w:b/>
                <w:bCs/>
              </w:rPr>
            </w:pPr>
            <w:r w:rsidRPr="005A2EBA">
              <w:rPr>
                <w:b/>
                <w:bCs/>
              </w:rPr>
              <w:t>5.9 GW</w:t>
            </w:r>
          </w:p>
        </w:tc>
        <w:tc>
          <w:tcPr>
            <w:tcW w:w="7785" w:type="dxa"/>
          </w:tcPr>
          <w:p w14:paraId="65019187" w14:textId="77777777" w:rsidR="004677A5" w:rsidRPr="005A2EBA" w:rsidRDefault="004677A5">
            <w:pPr>
              <w:pStyle w:val="Tabletext"/>
            </w:pPr>
            <w:r w:rsidRPr="005A2EBA">
              <w:t>Generation and storage announced for Victoria through CIS tenders</w:t>
            </w:r>
            <w:r w:rsidRPr="005A2EBA">
              <w:rPr>
                <w:rStyle w:val="FootnoteReference"/>
              </w:rPr>
              <w:footnoteReference w:id="20"/>
            </w:r>
          </w:p>
        </w:tc>
      </w:tr>
      <w:tr w:rsidR="004677A5" w:rsidRPr="005A2EBA" w14:paraId="5615DAAB" w14:textId="77777777" w:rsidTr="005A2EBA">
        <w:trPr>
          <w:cantSplit/>
        </w:trPr>
        <w:tc>
          <w:tcPr>
            <w:tcW w:w="1833" w:type="dxa"/>
          </w:tcPr>
          <w:p w14:paraId="095C643C" w14:textId="77777777" w:rsidR="004677A5" w:rsidRPr="005A2EBA" w:rsidRDefault="004677A5" w:rsidP="005A2EBA">
            <w:pPr>
              <w:pStyle w:val="Tabletext"/>
              <w:jc w:val="center"/>
              <w:rPr>
                <w:b/>
                <w:bCs/>
              </w:rPr>
            </w:pPr>
            <w:r w:rsidRPr="005A2EBA">
              <w:rPr>
                <w:b/>
                <w:bCs/>
              </w:rPr>
              <w:t>2.4 GW</w:t>
            </w:r>
          </w:p>
        </w:tc>
        <w:tc>
          <w:tcPr>
            <w:tcW w:w="7785" w:type="dxa"/>
          </w:tcPr>
          <w:p w14:paraId="387E086C" w14:textId="77777777" w:rsidR="004677A5" w:rsidRPr="005A2EBA" w:rsidRDefault="004677A5">
            <w:pPr>
              <w:pStyle w:val="Tabletext"/>
            </w:pPr>
            <w:r w:rsidRPr="005A2EBA">
              <w:t>Victoria’s minimum remaining capacity allocation</w:t>
            </w:r>
            <w:r w:rsidRPr="005A2EBA">
              <w:rPr>
                <w:rStyle w:val="FootnoteReference"/>
              </w:rPr>
              <w:footnoteReference w:id="21"/>
            </w:r>
          </w:p>
        </w:tc>
      </w:tr>
    </w:tbl>
    <w:p w14:paraId="1F72BE3F" w14:textId="2E5E8B0A" w:rsidR="004677A5" w:rsidRPr="005A2EBA" w:rsidRDefault="004677A5" w:rsidP="00E022BB">
      <w:pPr>
        <w:pStyle w:val="Heading2"/>
        <w:spacing w:before="320"/>
      </w:pPr>
      <w:r w:rsidRPr="005A2EBA">
        <w:t>Electricity Service Entry Mechanism (ESEM)</w:t>
      </w:r>
    </w:p>
    <w:p w14:paraId="0FF92E7D" w14:textId="2B582262" w:rsidR="004677A5" w:rsidRPr="005A2EBA" w:rsidRDefault="004677A5" w:rsidP="00E022BB">
      <w:pPr>
        <w:pStyle w:val="BodyText"/>
        <w:spacing w:after="120"/>
      </w:pPr>
      <w:r w:rsidRPr="005A2EBA">
        <w:t>The Electricity Service Entry Mechanism (ESEM) is a proposed long-term investment framework designed to provide ongoing investment certainty following the CIS. State and Territory Energy Ministers (except Queensland) have agreed to target ESEM commencement by the end of 2027.</w:t>
      </w:r>
    </w:p>
    <w:p w14:paraId="65791C58" w14:textId="77777777" w:rsidR="004677A5" w:rsidRPr="005A2EBA" w:rsidRDefault="004677A5" w:rsidP="00E022BB">
      <w:pPr>
        <w:pStyle w:val="BodyText"/>
        <w:spacing w:after="120"/>
      </w:pPr>
      <w:r w:rsidRPr="005A2EBA">
        <w:t>It aims to support investment by bridging the ‘tenor gap’ – the mismatch between generators’ need for price certainty over a long period (15+ years), compared with market customers’ appetite to enter price hedging over the short-term (for example, up to 3 years). It will do this by awarding hedging contracts through competitive tenders for only the mid to later years (5+) of a project, then sell those contracts to market customers as the hedging period approaches. This ‘recycling’ of contracts, and their fungible nature, is a key innovation on previous underwrite schemes.</w:t>
      </w:r>
    </w:p>
    <w:p w14:paraId="724138E1" w14:textId="178F20C6" w:rsidR="004677A5" w:rsidRPr="005A2EBA" w:rsidRDefault="004677A5">
      <w:pPr>
        <w:pStyle w:val="Normalbeforebullets"/>
      </w:pPr>
      <w:r w:rsidRPr="005A2EBA">
        <w:t>The ESEM Administrator is expected to conduct competitive reverse auctions to procure 3</w:t>
      </w:r>
      <w:r w:rsidR="0015223C" w:rsidRPr="005A2EBA">
        <w:t> </w:t>
      </w:r>
      <w:r w:rsidRPr="005A2EBA">
        <w:t>specific services:</w:t>
      </w:r>
    </w:p>
    <w:p w14:paraId="4B2FF291" w14:textId="77777777" w:rsidR="004677A5" w:rsidRPr="005A2EBA" w:rsidRDefault="004677A5" w:rsidP="00E022BB">
      <w:pPr>
        <w:pStyle w:val="ListNumber"/>
        <w:spacing w:after="0"/>
      </w:pPr>
      <w:r w:rsidRPr="005A2EBA">
        <w:t>Bulk zero-emissions energy</w:t>
      </w:r>
    </w:p>
    <w:p w14:paraId="097994FF" w14:textId="77777777" w:rsidR="004677A5" w:rsidRPr="005A2EBA" w:rsidRDefault="004677A5" w:rsidP="00E022BB">
      <w:pPr>
        <w:pStyle w:val="ListNumber"/>
        <w:spacing w:after="0"/>
      </w:pPr>
      <w:r w:rsidRPr="005A2EBA">
        <w:t>Shaping services</w:t>
      </w:r>
    </w:p>
    <w:p w14:paraId="1855B8D4" w14:textId="77777777" w:rsidR="004677A5" w:rsidRPr="005A2EBA" w:rsidRDefault="004677A5">
      <w:pPr>
        <w:pStyle w:val="ListNumber"/>
      </w:pPr>
      <w:r w:rsidRPr="005A2EBA">
        <w:t>Firming services.</w:t>
      </w:r>
    </w:p>
    <w:p w14:paraId="2BA06DB7" w14:textId="77777777" w:rsidR="004677A5" w:rsidRPr="005A2EBA" w:rsidRDefault="004677A5">
      <w:pPr>
        <w:pStyle w:val="BodyText"/>
      </w:pPr>
      <w:r w:rsidRPr="005A2EBA">
        <w:lastRenderedPageBreak/>
        <w:t>The ESEM is being implemented by the Commonwealth and NEM jurisdictions, with amendments to the National Electricity Law anticipated for Q1 or Q2 2027, and the ESEM being fully operational by Q4 2027.</w:t>
      </w:r>
    </w:p>
    <w:p w14:paraId="449DD102" w14:textId="77777777" w:rsidR="004677A5" w:rsidRPr="005A2EBA" w:rsidRDefault="004677A5">
      <w:pPr>
        <w:pStyle w:val="BodyText"/>
      </w:pPr>
      <w:r w:rsidRPr="005A2EBA">
        <w:t xml:space="preserve">For more information, visit the </w:t>
      </w:r>
      <w:hyperlink r:id="rId31" w:tooltip="Opens the Department of Climate Change, Energy, the Environment and Water web page about the National Electricity Market wholesale market settings review" w:history="1">
        <w:r w:rsidRPr="005A2EBA">
          <w:rPr>
            <w:rStyle w:val="Hyperlink"/>
          </w:rPr>
          <w:t>NEM wholesale market settings review page</w:t>
        </w:r>
      </w:hyperlink>
      <w:r w:rsidRPr="005A2EBA">
        <w:t>.</w:t>
      </w:r>
    </w:p>
    <w:p w14:paraId="599309D9" w14:textId="77777777" w:rsidR="003B5F16" w:rsidRPr="005A2EBA" w:rsidRDefault="003B5F16">
      <w:pPr>
        <w:pStyle w:val="Heading1"/>
        <w:pageBreakBefore/>
      </w:pPr>
      <w:bookmarkStart w:id="13" w:name="_Toc243488376"/>
      <w:r w:rsidRPr="005A2EBA">
        <w:lastRenderedPageBreak/>
        <w:t>Access to government co-investment</w:t>
      </w:r>
      <w:bookmarkEnd w:id="13"/>
    </w:p>
    <w:p w14:paraId="798DCC45" w14:textId="77777777" w:rsidR="004677A5" w:rsidRPr="005A2EBA" w:rsidRDefault="004677A5">
      <w:pPr>
        <w:pStyle w:val="Introductoryparagraph"/>
      </w:pPr>
      <w:r w:rsidRPr="005A2EBA">
        <w:t>Australian Government Specialist Investment Vehicles (SIVs) provide debt, equity and grant support to help net-zero projects get off the ground and scale alongside private capital.</w:t>
      </w:r>
    </w:p>
    <w:p w14:paraId="4FE27E5C" w14:textId="77777777" w:rsidR="004677A5" w:rsidRPr="005A2EBA" w:rsidRDefault="004677A5">
      <w:pPr>
        <w:pStyle w:val="BodyText"/>
      </w:pPr>
      <w:r w:rsidRPr="005A2EBA">
        <w:t>The Victorian Government can connect you with the following organisations.</w:t>
      </w:r>
    </w:p>
    <w:p w14:paraId="3F165CAC" w14:textId="77777777" w:rsidR="004677A5" w:rsidRPr="005A2EBA" w:rsidRDefault="004677A5">
      <w:pPr>
        <w:pStyle w:val="Heading2"/>
      </w:pPr>
      <w:r w:rsidRPr="005A2EBA">
        <w:t>Clean Energy Finance Corporation (CEFC)</w:t>
      </w:r>
    </w:p>
    <w:p w14:paraId="57EE16BD" w14:textId="77777777" w:rsidR="004677A5" w:rsidRPr="005A2EBA" w:rsidRDefault="004677A5">
      <w:pPr>
        <w:pStyle w:val="BodyText"/>
      </w:pPr>
      <w:r w:rsidRPr="005A2EBA">
        <w:t>The CEFC is Australia’s specialist climate investor, helping cut emissions in the race towards net-zero by 2050. We invest in the latest technologies to generate, store, manage and transmit clean energy. Our discounted asset finance programs help put more Australians on the path to sustainability, in their homes and on the road. CEFC capital is also backing the net-zero transformation of our natural capital, infrastructure, property and resources sectors, while providing critical capital for the emerging climate tech businesses of tomorrow. With access to more than $33 billion from the Australian Government, the CEFC invests with commercial rigour and is governed by an independent board.</w:t>
      </w:r>
    </w:p>
    <w:p w14:paraId="63EB2BD9" w14:textId="77777777" w:rsidR="004677A5" w:rsidRPr="005A2EBA" w:rsidRDefault="004677A5">
      <w:pPr>
        <w:pStyle w:val="BodyText"/>
      </w:pPr>
      <w:r w:rsidRPr="005A2EBA">
        <w:t xml:space="preserve">For more information, visit the </w:t>
      </w:r>
      <w:hyperlink r:id="rId32" w:tooltip="Opens the Clean Energy Finance Corporation (CEFC) website" w:history="1">
        <w:r w:rsidRPr="005A2EBA">
          <w:rPr>
            <w:rStyle w:val="Hyperlink"/>
          </w:rPr>
          <w:t>Clean Energy Finance Corporation website</w:t>
        </w:r>
      </w:hyperlink>
      <w:r w:rsidRPr="005A2EBA">
        <w:t>.</w:t>
      </w:r>
    </w:p>
    <w:p w14:paraId="4FFDFFD8" w14:textId="77777777" w:rsidR="004677A5" w:rsidRPr="005A2EBA" w:rsidRDefault="004677A5">
      <w:pPr>
        <w:pStyle w:val="Heading2"/>
      </w:pPr>
      <w:r w:rsidRPr="005A2EBA">
        <w:t>National Reconstruction Fund Corporation (NRFC)</w:t>
      </w:r>
    </w:p>
    <w:p w14:paraId="5E4CDD67" w14:textId="77777777" w:rsidR="004677A5" w:rsidRPr="005A2EBA" w:rsidRDefault="004677A5">
      <w:pPr>
        <w:pStyle w:val="BodyText"/>
      </w:pPr>
      <w:r w:rsidRPr="005A2EBA">
        <w:t>The NRFC manages a $15 billion sovereign fund that provides financing to grow Australia’s advanced manufacturing base, including a dedicated $5 billion Net Zero Fund for renewable energy technologies, batteries, hydrogen and industrial decarbonisation projects.</w:t>
      </w:r>
    </w:p>
    <w:p w14:paraId="45D6B3C0" w14:textId="77777777" w:rsidR="004677A5" w:rsidRPr="005A2EBA" w:rsidRDefault="004677A5">
      <w:pPr>
        <w:pStyle w:val="BodyText"/>
      </w:pPr>
      <w:r w:rsidRPr="005A2EBA">
        <w:t xml:space="preserve">For more information, visit the </w:t>
      </w:r>
      <w:hyperlink r:id="rId33" w:tooltip="Opens the National Reconstruction Fund Corporation (NRFC) website" w:history="1">
        <w:r w:rsidRPr="005A2EBA">
          <w:rPr>
            <w:rStyle w:val="Hyperlink"/>
          </w:rPr>
          <w:t>National Reconstruction Fund Corporation website</w:t>
        </w:r>
      </w:hyperlink>
      <w:r w:rsidRPr="005A2EBA">
        <w:t>.</w:t>
      </w:r>
    </w:p>
    <w:p w14:paraId="58BAA5D7" w14:textId="77777777" w:rsidR="004677A5" w:rsidRPr="005A2EBA" w:rsidRDefault="004677A5">
      <w:pPr>
        <w:pStyle w:val="Heading2"/>
      </w:pPr>
      <w:r w:rsidRPr="005A2EBA">
        <w:lastRenderedPageBreak/>
        <w:t>Australian Renewable Energy Agency (ARENA)</w:t>
      </w:r>
    </w:p>
    <w:p w14:paraId="0B7901D3" w14:textId="77777777" w:rsidR="004677A5" w:rsidRPr="005A2EBA" w:rsidRDefault="004677A5">
      <w:pPr>
        <w:pStyle w:val="BodyText"/>
      </w:pPr>
      <w:r w:rsidRPr="005A2EBA">
        <w:t>ARENA accelerates innovation and deployment of renewable energy by funding pre-commercial, renewable solutions. This helps move ideas from concept to market and supports Australia’s emissions reduction. As part of its role, ARENA administers programs like the Future Made in Australia Innovation Fund and Hydrogen Headstart Program.</w:t>
      </w:r>
    </w:p>
    <w:p w14:paraId="3C47B187" w14:textId="77777777" w:rsidR="004677A5" w:rsidRPr="005A2EBA" w:rsidRDefault="004677A5">
      <w:pPr>
        <w:pStyle w:val="BodyText"/>
      </w:pPr>
      <w:r w:rsidRPr="005A2EBA">
        <w:t xml:space="preserve">For more information, visit the </w:t>
      </w:r>
      <w:hyperlink r:id="rId34" w:tooltip="Opens the Australian Renewable Energy Agency (ARENA) website" w:history="1">
        <w:r w:rsidRPr="005A2EBA">
          <w:rPr>
            <w:rStyle w:val="Hyperlink"/>
          </w:rPr>
          <w:t>Australian Renewable Energy Agency website</w:t>
        </w:r>
      </w:hyperlink>
      <w:r w:rsidRPr="005A2EBA">
        <w:t>.</w:t>
      </w:r>
    </w:p>
    <w:p w14:paraId="25725286" w14:textId="77777777" w:rsidR="004677A5" w:rsidRPr="005A2EBA" w:rsidRDefault="004677A5">
      <w:pPr>
        <w:pStyle w:val="Heading2"/>
      </w:pPr>
      <w:r w:rsidRPr="005A2EBA">
        <w:t>Australia’s Investor Front Door</w:t>
      </w:r>
    </w:p>
    <w:p w14:paraId="2DD4A749" w14:textId="77777777" w:rsidR="004677A5" w:rsidRPr="005A2EBA" w:rsidRDefault="004677A5">
      <w:pPr>
        <w:pStyle w:val="BodyText"/>
      </w:pPr>
      <w:r w:rsidRPr="005A2EBA">
        <w:t>Australia’s Investor Front Door streamlines the development of major, nationally significant projects by providing coordinated government support for investment and project delivery.</w:t>
      </w:r>
    </w:p>
    <w:p w14:paraId="522275BB" w14:textId="77777777" w:rsidR="004677A5" w:rsidRPr="005A2EBA" w:rsidRDefault="004677A5">
      <w:pPr>
        <w:pStyle w:val="BodyText"/>
      </w:pPr>
      <w:r w:rsidRPr="005A2EBA">
        <w:t xml:space="preserve">For more information, visit </w:t>
      </w:r>
      <w:hyperlink r:id="rId35" w:tooltip="Opens the Australian Government Department of Industry, Science and Resources web page for Australia’s Investor Front Door" w:history="1">
        <w:r w:rsidRPr="005A2EBA">
          <w:rPr>
            <w:rStyle w:val="Hyperlink"/>
          </w:rPr>
          <w:t>Australia’s Investor Front Door page</w:t>
        </w:r>
      </w:hyperlink>
      <w:r w:rsidRPr="005A2EBA">
        <w:t>.</w:t>
      </w:r>
    </w:p>
    <w:p w14:paraId="67E29441" w14:textId="77777777" w:rsidR="003B5F16" w:rsidRPr="005A2EBA" w:rsidRDefault="003B5F16">
      <w:pPr>
        <w:pStyle w:val="Heading1"/>
        <w:pageBreakBefore/>
      </w:pPr>
      <w:bookmarkStart w:id="14" w:name="_Toc243488377"/>
      <w:r w:rsidRPr="005A2EBA">
        <w:lastRenderedPageBreak/>
        <w:t>Fast-tracking planning approvals</w:t>
      </w:r>
      <w:bookmarkEnd w:id="14"/>
    </w:p>
    <w:p w14:paraId="468BAF90" w14:textId="77777777" w:rsidR="004677A5" w:rsidRPr="005A2EBA" w:rsidRDefault="004677A5">
      <w:pPr>
        <w:pStyle w:val="Introductoryparagraph"/>
      </w:pPr>
      <w:r w:rsidRPr="005A2EBA">
        <w:t>The Victorian Government is committed to getting your project through planning approvals as quickly as possible.</w:t>
      </w:r>
    </w:p>
    <w:p w14:paraId="77DAF768" w14:textId="77777777" w:rsidR="004677A5" w:rsidRPr="005A2EBA" w:rsidRDefault="004677A5">
      <w:pPr>
        <w:pStyle w:val="Heading2"/>
      </w:pPr>
      <w:r w:rsidRPr="005A2EBA">
        <w:t>Dedicated renewable energy planning pathways</w:t>
      </w:r>
    </w:p>
    <w:p w14:paraId="265257A7" w14:textId="77777777" w:rsidR="004677A5" w:rsidRPr="005A2EBA" w:rsidRDefault="004677A5">
      <w:pPr>
        <w:pStyle w:val="BodyText"/>
      </w:pPr>
      <w:r w:rsidRPr="005A2EBA">
        <w:t>Victoria’s Development Facilitation Program (DFP) is an accelerated planning pathway for the delivery of significant economic development, including renewable energy facilities and utility installations. This streamlined planning process provides greater certainty and can reduce assessment timeframes by approximately 9–12 months.</w:t>
      </w:r>
    </w:p>
    <w:p w14:paraId="3FF979B6" w14:textId="77777777" w:rsidR="004677A5" w:rsidRPr="005A2EBA" w:rsidRDefault="004677A5">
      <w:pPr>
        <w:pStyle w:val="Heading2"/>
      </w:pPr>
      <w:r w:rsidRPr="005A2EBA">
        <w:t>Faster, more focused and consistent environmental assessments in Victoria</w:t>
      </w:r>
    </w:p>
    <w:p w14:paraId="60BEFF00" w14:textId="77777777" w:rsidR="004677A5" w:rsidRPr="005A2EBA" w:rsidRDefault="004677A5">
      <w:pPr>
        <w:pStyle w:val="BodyText"/>
      </w:pPr>
      <w:r w:rsidRPr="005A2EBA">
        <w:t>Recent reforms have modernised Victoria’s environmental assessment processes. Supporting timely project delivery while maintaining robust environmental assessment and community engagement is a key priority.</w:t>
      </w:r>
    </w:p>
    <w:p w14:paraId="1A499292" w14:textId="77777777" w:rsidR="004677A5" w:rsidRPr="005A2EBA" w:rsidRDefault="004677A5">
      <w:pPr>
        <w:pStyle w:val="BodyText"/>
      </w:pPr>
      <w:r w:rsidRPr="005A2EBA">
        <w:t>This includes new digital streamlined interfaces between proponents and government agencies, and updated guidance, templates and governance arrangements to increase predictability, clarity, transparency and tracking.</w:t>
      </w:r>
    </w:p>
    <w:p w14:paraId="1388B047" w14:textId="77777777" w:rsidR="004677A5" w:rsidRPr="005A2EBA" w:rsidRDefault="004677A5">
      <w:pPr>
        <w:pStyle w:val="Heading2"/>
      </w:pPr>
      <w:r w:rsidRPr="005A2EBA">
        <w:t>Investment Coordinator-General</w:t>
      </w:r>
    </w:p>
    <w:p w14:paraId="7DDF40F9" w14:textId="77777777" w:rsidR="004677A5" w:rsidRPr="005A2EBA" w:rsidRDefault="004677A5">
      <w:pPr>
        <w:pStyle w:val="BodyText"/>
      </w:pPr>
      <w:r w:rsidRPr="005A2EBA">
        <w:t>The Investment Coordinator-General role and function sits within Invest Victoria and works across agencies to ensure approval deadlines are met and reduce delays.</w:t>
      </w:r>
    </w:p>
    <w:p w14:paraId="78CC7E99" w14:textId="77777777" w:rsidR="004677A5" w:rsidRPr="005A2EBA" w:rsidRDefault="004677A5">
      <w:pPr>
        <w:pStyle w:val="Heading2"/>
      </w:pPr>
      <w:r w:rsidRPr="005A2EBA">
        <w:lastRenderedPageBreak/>
        <w:t>Australian Government funding to fast-track approvals</w:t>
      </w:r>
    </w:p>
    <w:p w14:paraId="5821B43C" w14:textId="77777777" w:rsidR="004677A5" w:rsidRPr="005A2EBA" w:rsidRDefault="004677A5">
      <w:pPr>
        <w:pStyle w:val="BodyText"/>
      </w:pPr>
      <w:r w:rsidRPr="005A2EBA">
        <w:t>Victoria works closely with the Australian Government to facilitate projects. In 2024–25, the Australian Government’s Future Made in Australia allocated $134.2 million to better prioritise approvals for renewable energy projects of national significance, and support faster decisions on environment, cultural heritage and planning approvals.</w:t>
      </w:r>
    </w:p>
    <w:p w14:paraId="200C36FE" w14:textId="77777777" w:rsidR="004677A5" w:rsidRPr="005A2EBA" w:rsidRDefault="004677A5">
      <w:pPr>
        <w:pStyle w:val="BodyText"/>
      </w:pPr>
      <w:r w:rsidRPr="005A2EBA">
        <w:t>The Australian Government also committed over $70 million from 2026–27 to fast-track approvals in priority areas like energy and critical minerals.</w:t>
      </w:r>
    </w:p>
    <w:p w14:paraId="0FA675E8" w14:textId="655FFA5A" w:rsidR="004677A5" w:rsidRPr="005A2EBA" w:rsidRDefault="004677A5">
      <w:pPr>
        <w:pStyle w:val="Caption"/>
        <w:keepNext/>
      </w:pPr>
      <w:r w:rsidRPr="005A2EBA">
        <w:t xml:space="preserve">Table </w:t>
      </w:r>
      <w:fldSimple w:instr=" SEQ Table \* ARABIC \* MERGEFORMAT ">
        <w:r w:rsidR="003B5F16" w:rsidRPr="005A2EBA">
          <w:t>8</w:t>
        </w:r>
      </w:fldSimple>
      <w:r w:rsidRPr="005A2EBA">
        <w:t xml:space="preserve">: </w:t>
      </w:r>
      <w:r w:rsidRPr="005A2EBA">
        <w:rPr>
          <w:b w:val="0"/>
          <w:bCs/>
        </w:rPr>
        <w:t>Development Facilitation Program achievements since April 2024</w:t>
      </w:r>
    </w:p>
    <w:tbl>
      <w:tblPr>
        <w:tblStyle w:val="Style2"/>
        <w:tblW w:w="0" w:type="auto"/>
        <w:tblLook w:val="04A0" w:firstRow="1" w:lastRow="0" w:firstColumn="1" w:lastColumn="0" w:noHBand="0" w:noVBand="1"/>
        <w:tblCaption w:val="Development Facilitation Program achievements since April 2024"/>
        <w:tblDescription w:val="Table with 2 columns, Result and Measure, listing 3 Development Facilitation Program achievements since April 2024: less than 4 months of statutory days for approvals; 34 renewable energy projects approved; and more than $14 billion in investment."/>
      </w:tblPr>
      <w:tblGrid>
        <w:gridCol w:w="3200"/>
        <w:gridCol w:w="6418"/>
      </w:tblGrid>
      <w:tr w:rsidR="004677A5" w:rsidRPr="005A2EBA" w14:paraId="293B6AE6" w14:textId="77777777">
        <w:trPr>
          <w:cnfStyle w:val="100000000000" w:firstRow="1" w:lastRow="0" w:firstColumn="0" w:lastColumn="0" w:oddVBand="0" w:evenVBand="0" w:oddHBand="0" w:evenHBand="0" w:firstRowFirstColumn="0" w:firstRowLastColumn="0" w:lastRowFirstColumn="0" w:lastRowLastColumn="0"/>
          <w:cantSplit/>
          <w:tblHeader/>
        </w:trPr>
        <w:tc>
          <w:tcPr>
            <w:tcW w:w="3200" w:type="dxa"/>
          </w:tcPr>
          <w:p w14:paraId="000611A3" w14:textId="77777777" w:rsidR="004677A5" w:rsidRPr="005A2EBA" w:rsidRDefault="004677A5" w:rsidP="0015223C">
            <w:pPr>
              <w:pStyle w:val="Tabletext"/>
              <w:spacing w:line="240" w:lineRule="auto"/>
            </w:pPr>
            <w:r w:rsidRPr="005A2EBA">
              <w:t>Result</w:t>
            </w:r>
          </w:p>
        </w:tc>
        <w:tc>
          <w:tcPr>
            <w:tcW w:w="6418" w:type="dxa"/>
          </w:tcPr>
          <w:p w14:paraId="03DF5137" w14:textId="77777777" w:rsidR="004677A5" w:rsidRPr="005A2EBA" w:rsidRDefault="004677A5" w:rsidP="0015223C">
            <w:pPr>
              <w:pStyle w:val="Tabletext"/>
              <w:spacing w:line="240" w:lineRule="auto"/>
            </w:pPr>
            <w:r w:rsidRPr="005A2EBA">
              <w:t>Measure</w:t>
            </w:r>
          </w:p>
        </w:tc>
      </w:tr>
      <w:tr w:rsidR="004677A5" w:rsidRPr="005A2EBA" w14:paraId="01AE1821" w14:textId="77777777">
        <w:trPr>
          <w:cantSplit/>
        </w:trPr>
        <w:tc>
          <w:tcPr>
            <w:tcW w:w="3200" w:type="dxa"/>
          </w:tcPr>
          <w:p w14:paraId="6780B85C" w14:textId="77777777" w:rsidR="004677A5" w:rsidRPr="005A2EBA" w:rsidRDefault="004677A5">
            <w:pPr>
              <w:pStyle w:val="Tabletext"/>
            </w:pPr>
            <w:r w:rsidRPr="005A2EBA">
              <w:t>Less than 4 months</w:t>
            </w:r>
          </w:p>
        </w:tc>
        <w:tc>
          <w:tcPr>
            <w:tcW w:w="6418" w:type="dxa"/>
          </w:tcPr>
          <w:p w14:paraId="502DA209" w14:textId="77777777" w:rsidR="004677A5" w:rsidRPr="005A2EBA" w:rsidRDefault="004677A5">
            <w:pPr>
              <w:pStyle w:val="Tabletext"/>
            </w:pPr>
            <w:r w:rsidRPr="005A2EBA">
              <w:t>Statutory days for approvals</w:t>
            </w:r>
          </w:p>
        </w:tc>
      </w:tr>
      <w:tr w:rsidR="004677A5" w:rsidRPr="005A2EBA" w14:paraId="5BB781F5" w14:textId="77777777">
        <w:trPr>
          <w:cantSplit/>
        </w:trPr>
        <w:tc>
          <w:tcPr>
            <w:tcW w:w="3200" w:type="dxa"/>
          </w:tcPr>
          <w:p w14:paraId="0EE049D6" w14:textId="77777777" w:rsidR="004677A5" w:rsidRPr="005A2EBA" w:rsidRDefault="004677A5">
            <w:pPr>
              <w:pStyle w:val="Tabletext"/>
            </w:pPr>
            <w:r w:rsidRPr="005A2EBA">
              <w:t>34</w:t>
            </w:r>
          </w:p>
        </w:tc>
        <w:tc>
          <w:tcPr>
            <w:tcW w:w="6418" w:type="dxa"/>
          </w:tcPr>
          <w:p w14:paraId="4D7D51CA" w14:textId="77777777" w:rsidR="004677A5" w:rsidRPr="005A2EBA" w:rsidRDefault="004677A5">
            <w:pPr>
              <w:pStyle w:val="Tabletext"/>
            </w:pPr>
            <w:r w:rsidRPr="005A2EBA">
              <w:t>Renewable energy projects approved</w:t>
            </w:r>
          </w:p>
        </w:tc>
      </w:tr>
      <w:tr w:rsidR="004677A5" w:rsidRPr="005A2EBA" w14:paraId="017394F0" w14:textId="77777777">
        <w:trPr>
          <w:cantSplit/>
        </w:trPr>
        <w:tc>
          <w:tcPr>
            <w:tcW w:w="3200" w:type="dxa"/>
          </w:tcPr>
          <w:p w14:paraId="2A016A19" w14:textId="77777777" w:rsidR="004677A5" w:rsidRPr="005A2EBA" w:rsidRDefault="004677A5">
            <w:pPr>
              <w:pStyle w:val="Tabletext"/>
            </w:pPr>
            <w:r w:rsidRPr="005A2EBA">
              <w:t>More than $14 billion</w:t>
            </w:r>
          </w:p>
        </w:tc>
        <w:tc>
          <w:tcPr>
            <w:tcW w:w="6418" w:type="dxa"/>
          </w:tcPr>
          <w:p w14:paraId="13500F9C" w14:textId="77777777" w:rsidR="004677A5" w:rsidRPr="005A2EBA" w:rsidRDefault="004677A5">
            <w:pPr>
              <w:pStyle w:val="Tabletext"/>
            </w:pPr>
            <w:r w:rsidRPr="005A2EBA">
              <w:t>In investment</w:t>
            </w:r>
          </w:p>
        </w:tc>
      </w:tr>
    </w:tbl>
    <w:p w14:paraId="4A2576AE" w14:textId="77777777" w:rsidR="004677A5" w:rsidRPr="005A2EBA" w:rsidRDefault="004677A5" w:rsidP="0015223C">
      <w:pPr>
        <w:pStyle w:val="BodyText"/>
        <w:spacing w:before="240"/>
      </w:pPr>
      <w:r w:rsidRPr="005A2EBA">
        <w:rPr>
          <w:b/>
          <w:bCs/>
        </w:rPr>
        <w:t>Note:</w:t>
      </w:r>
      <w:r w:rsidRPr="005A2EBA">
        <w:t xml:space="preserve"> figures correct as of August 2026, Department of Transport and Planning.</w:t>
      </w:r>
    </w:p>
    <w:p w14:paraId="1A46D398" w14:textId="77777777" w:rsidR="004677A5" w:rsidRPr="005A2EBA" w:rsidRDefault="004677A5">
      <w:pPr>
        <w:pStyle w:val="Heading2"/>
      </w:pPr>
      <w:r w:rsidRPr="005A2EBA">
        <w:t>Better information, tools and guidance to manage biodiversity impacts of renewable energy projects</w:t>
      </w:r>
    </w:p>
    <w:p w14:paraId="2A30401E" w14:textId="77777777" w:rsidR="004677A5" w:rsidRPr="005A2EBA" w:rsidRDefault="004677A5">
      <w:pPr>
        <w:pStyle w:val="BodyText"/>
      </w:pPr>
      <w:r w:rsidRPr="005A2EBA">
        <w:t>Victoria has developed tools and guidance to help renewable energy projects manage biodiversity impacts with greater clarity and certainty. Ongoing work focuses on continued improvements to the information and guidance currently available.</w:t>
      </w:r>
    </w:p>
    <w:p w14:paraId="181886D5" w14:textId="77777777" w:rsidR="004677A5" w:rsidRPr="005A2EBA" w:rsidRDefault="004677A5">
      <w:pPr>
        <w:pStyle w:val="Heading3"/>
      </w:pPr>
      <w:r w:rsidRPr="005A2EBA">
        <w:t>Guidance to support faster renewable energy development</w:t>
      </w:r>
    </w:p>
    <w:p w14:paraId="7FF95B3D" w14:textId="77777777" w:rsidR="004677A5" w:rsidRPr="005A2EBA" w:rsidRDefault="004677A5" w:rsidP="008D239C">
      <w:pPr>
        <w:pStyle w:val="BodyText"/>
        <w:ind w:right="-143"/>
      </w:pPr>
      <w:r w:rsidRPr="005A2EBA">
        <w:t xml:space="preserve">Published in May 2025, the </w:t>
      </w:r>
      <w:r w:rsidRPr="005A2EBA">
        <w:rPr>
          <w:i/>
        </w:rPr>
        <w:t>Handbook for the development of renewable energy in Victoria</w:t>
      </w:r>
      <w:r w:rsidRPr="005A2EBA">
        <w:t xml:space="preserve"> outlines a risk-based approach to identifying, assessing and managing biodiversity impacts.</w:t>
      </w:r>
    </w:p>
    <w:p w14:paraId="1C2E2667" w14:textId="77777777" w:rsidR="004677A5" w:rsidRPr="005A2EBA" w:rsidRDefault="004677A5">
      <w:pPr>
        <w:pStyle w:val="BodyText"/>
      </w:pPr>
      <w:r w:rsidRPr="005A2EBA">
        <w:lastRenderedPageBreak/>
        <w:t xml:space="preserve">For more information, visit the </w:t>
      </w:r>
      <w:hyperlink r:id="rId36" w:tooltip="Opens the Victorian Government environment website page about managing the impacts of renewable energy on the environment" w:history="1">
        <w:r w:rsidRPr="005A2EBA">
          <w:rPr>
            <w:rStyle w:val="Hyperlink"/>
          </w:rPr>
          <w:t>managing impacts of renewable energy on the environment page</w:t>
        </w:r>
      </w:hyperlink>
      <w:r w:rsidRPr="005A2EBA">
        <w:t>.</w:t>
      </w:r>
    </w:p>
    <w:p w14:paraId="3183FED5" w14:textId="77777777" w:rsidR="004677A5" w:rsidRPr="005A2EBA" w:rsidRDefault="004677A5">
      <w:pPr>
        <w:pStyle w:val="Heading3"/>
      </w:pPr>
      <w:r w:rsidRPr="005A2EBA">
        <w:t>Biodiversity mapping to support lower-risk project siting</w:t>
      </w:r>
    </w:p>
    <w:p w14:paraId="2FD3FACF" w14:textId="77777777" w:rsidR="004677A5" w:rsidRPr="005A2EBA" w:rsidRDefault="004677A5">
      <w:pPr>
        <w:pStyle w:val="BodyText"/>
      </w:pPr>
      <w:r w:rsidRPr="005A2EBA">
        <w:t>Victoria’s Habitat Value and Marine Biodiversity Values maps can be used to consider the relative value of biodiversity in different areas, to help site and design infrastructure that minimises impacts.</w:t>
      </w:r>
    </w:p>
    <w:p w14:paraId="7249B156" w14:textId="77777777" w:rsidR="004677A5" w:rsidRPr="005A2EBA" w:rsidRDefault="004677A5" w:rsidP="0015223C">
      <w:pPr>
        <w:pStyle w:val="BodyText"/>
        <w:ind w:right="-143"/>
      </w:pPr>
      <w:r w:rsidRPr="005A2EBA">
        <w:t xml:space="preserve">For more information, visit the </w:t>
      </w:r>
      <w:hyperlink r:id="rId37" w:tooltip="Opens the Victorian Government environment website page about Habitat Value mapping" w:history="1">
        <w:r w:rsidRPr="005A2EBA">
          <w:rPr>
            <w:rStyle w:val="Hyperlink"/>
          </w:rPr>
          <w:t>Habitat Value page</w:t>
        </w:r>
      </w:hyperlink>
      <w:r w:rsidRPr="005A2EBA">
        <w:t xml:space="preserve"> and the </w:t>
      </w:r>
      <w:hyperlink r:id="rId38" w:tooltip="Opens the Victorian Government marine and coasts website page about Marine Biodiversity Values mapping" w:history="1">
        <w:r w:rsidRPr="005A2EBA">
          <w:rPr>
            <w:rStyle w:val="Hyperlink"/>
          </w:rPr>
          <w:t>Marine Biodiversity Values page</w:t>
        </w:r>
      </w:hyperlink>
      <w:r w:rsidRPr="005A2EBA">
        <w:t>.</w:t>
      </w:r>
    </w:p>
    <w:p w14:paraId="10251DCA" w14:textId="77777777" w:rsidR="004677A5" w:rsidRPr="005A2EBA" w:rsidRDefault="004677A5">
      <w:pPr>
        <w:pStyle w:val="Heading3"/>
      </w:pPr>
      <w:r w:rsidRPr="005A2EBA">
        <w:t>Research to reduce development risk</w:t>
      </w:r>
    </w:p>
    <w:p w14:paraId="7AF49749" w14:textId="77777777" w:rsidR="004677A5" w:rsidRPr="005A2EBA" w:rsidRDefault="004677A5">
      <w:pPr>
        <w:pStyle w:val="BodyText"/>
      </w:pPr>
      <w:r w:rsidRPr="005A2EBA">
        <w:t xml:space="preserve">Victoria continues to undertake and release targeted research to help developers and </w:t>
      </w:r>
      <w:proofErr w:type="gramStart"/>
      <w:r w:rsidRPr="005A2EBA">
        <w:t>decision-makers</w:t>
      </w:r>
      <w:proofErr w:type="gramEnd"/>
      <w:r w:rsidRPr="005A2EBA">
        <w:t xml:space="preserve"> better understand biodiversity impacts for onshore renewable energy development.</w:t>
      </w:r>
    </w:p>
    <w:p w14:paraId="145CC19C" w14:textId="77777777" w:rsidR="004677A5" w:rsidRPr="005A2EBA" w:rsidRDefault="004677A5">
      <w:pPr>
        <w:pStyle w:val="BodyText"/>
      </w:pPr>
      <w:r w:rsidRPr="005A2EBA">
        <w:t xml:space="preserve">For more information, visit the </w:t>
      </w:r>
      <w:hyperlink r:id="rId39" w:tooltip="Opens the Arthur Rylah Institute web page about science for renewable energy policy" w:history="1">
        <w:r w:rsidRPr="005A2EBA">
          <w:rPr>
            <w:rStyle w:val="Hyperlink"/>
          </w:rPr>
          <w:t>Science for renewable energy policy page</w:t>
        </w:r>
      </w:hyperlink>
      <w:r w:rsidRPr="005A2EBA">
        <w:t>.</w:t>
      </w:r>
    </w:p>
    <w:p w14:paraId="32F4A538" w14:textId="77777777" w:rsidR="003B5F16" w:rsidRPr="005A2EBA" w:rsidRDefault="003B5F16">
      <w:pPr>
        <w:pStyle w:val="Heading1"/>
        <w:pageBreakBefore/>
      </w:pPr>
      <w:bookmarkStart w:id="15" w:name="_Toc243488378"/>
      <w:r w:rsidRPr="005A2EBA">
        <w:lastRenderedPageBreak/>
        <w:t>SEC: Investing to accelerate the transition and the market</w:t>
      </w:r>
      <w:bookmarkEnd w:id="15"/>
    </w:p>
    <w:p w14:paraId="37AACEF7" w14:textId="77777777" w:rsidR="003B5F16" w:rsidRPr="005A2EBA" w:rsidRDefault="003B5F16">
      <w:pPr>
        <w:pStyle w:val="Introductoryparagraph"/>
      </w:pPr>
      <w:r w:rsidRPr="005A2EBA">
        <w:t>SEC’s investment focus is on achieving sustainable returns, while enabling the market and delivering broader benefits to Victorians.</w:t>
      </w:r>
    </w:p>
    <w:p w14:paraId="2ED2996C" w14:textId="77777777" w:rsidR="003B5F16" w:rsidRPr="005A2EBA" w:rsidRDefault="003B5F16">
      <w:pPr>
        <w:pStyle w:val="BodyText"/>
      </w:pPr>
      <w:r w:rsidRPr="005A2EBA">
        <w:t>As a Victorian Government-owned renewable energy company, SEC’s investments address system gaps, crowd-in private capital and support a broader market response to the energy transition.</w:t>
      </w:r>
    </w:p>
    <w:p w14:paraId="605486D8" w14:textId="77777777" w:rsidR="003B5F16" w:rsidRPr="005A2EBA" w:rsidRDefault="003B5F16">
      <w:pPr>
        <w:pStyle w:val="Normalbeforebullets"/>
      </w:pPr>
      <w:r w:rsidRPr="005A2EBA">
        <w:t>SEC operates across 3 domains:</w:t>
      </w:r>
    </w:p>
    <w:p w14:paraId="07662C03" w14:textId="77777777" w:rsidR="003B5F16" w:rsidRPr="005A2EBA" w:rsidRDefault="003B5F16" w:rsidP="008D239C">
      <w:pPr>
        <w:pStyle w:val="ListNumber"/>
        <w:numPr>
          <w:ilvl w:val="0"/>
          <w:numId w:val="37"/>
        </w:numPr>
        <w:tabs>
          <w:tab w:val="clear" w:pos="2345"/>
          <w:tab w:val="num" w:pos="360"/>
        </w:tabs>
        <w:ind w:left="360"/>
      </w:pPr>
      <w:r w:rsidRPr="005A2EBA">
        <w:t>Scaled investment in renewable generation and storage projects</w:t>
      </w:r>
    </w:p>
    <w:p w14:paraId="75B32975" w14:textId="77777777" w:rsidR="003B5F16" w:rsidRPr="005A2EBA" w:rsidRDefault="003B5F16" w:rsidP="008D239C">
      <w:pPr>
        <w:pStyle w:val="ListNumber"/>
        <w:numPr>
          <w:ilvl w:val="0"/>
          <w:numId w:val="37"/>
        </w:numPr>
        <w:tabs>
          <w:tab w:val="clear" w:pos="2345"/>
          <w:tab w:val="num" w:pos="360"/>
        </w:tabs>
        <w:ind w:left="360"/>
      </w:pPr>
      <w:r w:rsidRPr="005A2EBA">
        <w:t>Enabling decarbonisation for businesses and industry</w:t>
      </w:r>
    </w:p>
    <w:p w14:paraId="754A5A72" w14:textId="77777777" w:rsidR="003B5F16" w:rsidRPr="005A2EBA" w:rsidRDefault="003B5F16" w:rsidP="008D239C">
      <w:pPr>
        <w:pStyle w:val="ListNumber"/>
        <w:numPr>
          <w:ilvl w:val="0"/>
          <w:numId w:val="37"/>
        </w:numPr>
        <w:tabs>
          <w:tab w:val="clear" w:pos="2345"/>
          <w:tab w:val="num" w:pos="360"/>
        </w:tabs>
        <w:ind w:left="360"/>
      </w:pPr>
      <w:r w:rsidRPr="005A2EBA">
        <w:t>Driving electrification of households at scale.</w:t>
      </w:r>
    </w:p>
    <w:p w14:paraId="5E1E34D2" w14:textId="77777777" w:rsidR="003B5F16" w:rsidRPr="005A2EBA" w:rsidRDefault="003B5F16">
      <w:pPr>
        <w:pStyle w:val="Heading2"/>
      </w:pPr>
      <w:r w:rsidRPr="005A2EBA">
        <w:t>Scaled investment in renewable generation and storage projects</w:t>
      </w:r>
    </w:p>
    <w:p w14:paraId="47DD3B9A" w14:textId="77777777" w:rsidR="003B5F16" w:rsidRPr="005A2EBA" w:rsidRDefault="003B5F16">
      <w:pPr>
        <w:pStyle w:val="BodyText"/>
      </w:pPr>
      <w:r w:rsidRPr="005A2EBA">
        <w:t>SEC is investing to deliver 4.5 GW of renewable energy and storage capacity, with over 1 GW already built or under construction. These investments have helped to add critical storage capacity, strengthen energy security and support regional economic growth, including jobs, training and community benefit-sharing.</w:t>
      </w:r>
    </w:p>
    <w:p w14:paraId="0D444F3A" w14:textId="77777777" w:rsidR="003B5F16" w:rsidRPr="005A2EBA" w:rsidRDefault="003B5F16">
      <w:pPr>
        <w:pStyle w:val="Heading2"/>
      </w:pPr>
      <w:r w:rsidRPr="005A2EBA">
        <w:t>Enabling decarbonisation for businesses and industry</w:t>
      </w:r>
    </w:p>
    <w:p w14:paraId="10A0141A" w14:textId="77777777" w:rsidR="003B5F16" w:rsidRPr="005A2EBA" w:rsidRDefault="003B5F16">
      <w:pPr>
        <w:pStyle w:val="BodyText"/>
      </w:pPr>
      <w:r w:rsidRPr="005A2EBA">
        <w:t>SEC provides renewable retail and wholesale electricity solutions to commercial and industrial customers to help businesses reduce costs and emissions.</w:t>
      </w:r>
    </w:p>
    <w:p w14:paraId="682FED7A" w14:textId="77777777" w:rsidR="003B5F16" w:rsidRPr="005A2EBA" w:rsidRDefault="003B5F16">
      <w:pPr>
        <w:pStyle w:val="Heading2"/>
      </w:pPr>
      <w:r w:rsidRPr="005A2EBA">
        <w:lastRenderedPageBreak/>
        <w:t>Driving electrification of households at scale</w:t>
      </w:r>
    </w:p>
    <w:p w14:paraId="11B65ED4" w14:textId="77777777" w:rsidR="003B5F16" w:rsidRPr="005A2EBA" w:rsidRDefault="003B5F16">
      <w:pPr>
        <w:pStyle w:val="BodyText"/>
      </w:pPr>
      <w:r w:rsidRPr="005A2EBA">
        <w:t>SEC supports households switch from gas to electric appliances through Easy Electric SEC, a digital platform and SEC-endorsed installer network, reducing energy costs and emissions.</w:t>
      </w:r>
    </w:p>
    <w:p w14:paraId="1C60A802" w14:textId="77777777" w:rsidR="003B5F16" w:rsidRPr="005A2EBA" w:rsidRDefault="003B5F16">
      <w:pPr>
        <w:pStyle w:val="Heading2"/>
      </w:pPr>
      <w:r w:rsidRPr="005A2EBA">
        <w:t>Examples of current projects</w:t>
      </w:r>
    </w:p>
    <w:p w14:paraId="431A2905" w14:textId="77777777" w:rsidR="003B5F16" w:rsidRPr="005A2EBA" w:rsidRDefault="003B5F16">
      <w:pPr>
        <w:pStyle w:val="Heading3"/>
      </w:pPr>
      <w:r w:rsidRPr="005A2EBA">
        <w:t>Melbourne Renewable Energy Hub</w:t>
      </w:r>
    </w:p>
    <w:p w14:paraId="5DA48BEB" w14:textId="77777777" w:rsidR="003B5F16" w:rsidRPr="005A2EBA" w:rsidRDefault="003B5F16">
      <w:pPr>
        <w:pStyle w:val="BodyText"/>
      </w:pPr>
      <w:r w:rsidRPr="005A2EBA">
        <w:t>SEC’s first investment, the Melbourne Renewable Energy Hub, was the first financial close of a 4-hour BESS in the NEM. SEC’s $245 million investment helped fast track construction and doubled the storage duration of one of the project’s 3 battery components from 2 to 4 hours. The 600 MW battery provides 1.6 GWh of storage – enough to power 200,000 homes during the evening peak period.</w:t>
      </w:r>
    </w:p>
    <w:p w14:paraId="0C988DD1" w14:textId="77777777" w:rsidR="003B5F16" w:rsidRPr="005A2EBA" w:rsidRDefault="003B5F16">
      <w:pPr>
        <w:pStyle w:val="Heading3"/>
      </w:pPr>
      <w:r w:rsidRPr="005A2EBA">
        <w:t>SEC Renewable Energy Park – Horsham</w:t>
      </w:r>
    </w:p>
    <w:p w14:paraId="53853D6D" w14:textId="77777777" w:rsidR="003B5F16" w:rsidRPr="005A2EBA" w:rsidRDefault="003B5F16">
      <w:pPr>
        <w:pStyle w:val="BodyText"/>
      </w:pPr>
      <w:r w:rsidRPr="005A2EBA">
        <w:t>SEC Renewable Energy Park – Horsham is a 100% publicly owned utility-scale renewable energy project in Victoria’s Wimmera region. The project comprises a 119 MW solar farm and a 100 MW/200 MWh battery energy storage system. Once operational in 2027, the facility will be capable of generating around 242,000 megawatt hours of renewable energy a year – enough renewable energy to power around 51,000 homes.</w:t>
      </w:r>
    </w:p>
    <w:p w14:paraId="399268C6" w14:textId="77777777" w:rsidR="003B5F16" w:rsidRPr="005A2EBA" w:rsidRDefault="003B5F16">
      <w:pPr>
        <w:pStyle w:val="Heading3"/>
      </w:pPr>
      <w:r w:rsidRPr="005A2EBA">
        <w:t xml:space="preserve">SEC </w:t>
      </w:r>
      <w:proofErr w:type="spellStart"/>
      <w:r w:rsidRPr="005A2EBA">
        <w:t>Delburn</w:t>
      </w:r>
      <w:proofErr w:type="spellEnd"/>
      <w:r w:rsidRPr="005A2EBA">
        <w:t xml:space="preserve"> Wind Farm</w:t>
      </w:r>
    </w:p>
    <w:p w14:paraId="40CA362B" w14:textId="77777777" w:rsidR="003B5F16" w:rsidRPr="005A2EBA" w:rsidRDefault="003B5F16">
      <w:pPr>
        <w:pStyle w:val="BodyText"/>
      </w:pPr>
      <w:r w:rsidRPr="005A2EBA">
        <w:t xml:space="preserve">The SEC </w:t>
      </w:r>
      <w:proofErr w:type="spellStart"/>
      <w:r w:rsidRPr="005A2EBA">
        <w:t>Delburn</w:t>
      </w:r>
      <w:proofErr w:type="spellEnd"/>
      <w:r w:rsidRPr="005A2EBA">
        <w:t xml:space="preserve"> Wind Farm is creating significant opportunities for local businesses through construction and supply contracts. Once operational in 2028, the project will deliver up to 205 MW of renewable electricity.</w:t>
      </w:r>
    </w:p>
    <w:p w14:paraId="288CD8FA" w14:textId="77777777" w:rsidR="003B5F16" w:rsidRPr="005A2EBA" w:rsidRDefault="003B5F16">
      <w:pPr>
        <w:pStyle w:val="Heading3"/>
      </w:pPr>
      <w:r w:rsidRPr="005A2EBA">
        <w:lastRenderedPageBreak/>
        <w:t>SEC Energy Works</w:t>
      </w:r>
    </w:p>
    <w:p w14:paraId="3E6CC1FE" w14:textId="77777777" w:rsidR="003B5F16" w:rsidRPr="005A2EBA" w:rsidRDefault="003B5F16">
      <w:pPr>
        <w:pStyle w:val="BodyText"/>
      </w:pPr>
      <w:r w:rsidRPr="005A2EBA">
        <w:t>SEC Energy Works is a new energy innovation precinct in Victoria’s Latrobe Valley. It will provide a space for SEC to partner with industry to develop a range of new energy infrastructure and storage technologies that our future energy system will require. In partnership with global clean technology company, Energy Dome, SEC’s first project will be a closed-loop, compressed CO</w:t>
      </w:r>
      <w:r w:rsidRPr="005A2EBA">
        <w:rPr>
          <w:vertAlign w:val="subscript"/>
        </w:rPr>
        <w:t>2</w:t>
      </w:r>
      <w:r w:rsidRPr="005A2EBA">
        <w:t xml:space="preserve"> long-duration energy storage solution that will be capable of continuously supplying electricity for 10 to 12 hours.</w:t>
      </w:r>
    </w:p>
    <w:p w14:paraId="6D5AF893" w14:textId="77777777" w:rsidR="003B5F16" w:rsidRPr="005A2EBA" w:rsidRDefault="003B5F16">
      <w:pPr>
        <w:pStyle w:val="Heading3"/>
      </w:pPr>
      <w:r w:rsidRPr="005A2EBA">
        <w:t>Baranduda Electrical Energy Reserve</w:t>
      </w:r>
    </w:p>
    <w:p w14:paraId="55FF0E4C" w14:textId="77777777" w:rsidR="003B5F16" w:rsidRPr="005A2EBA" w:rsidRDefault="003B5F16">
      <w:pPr>
        <w:pStyle w:val="BodyText"/>
      </w:pPr>
      <w:r w:rsidRPr="005A2EBA">
        <w:t>The Baranduda Electrical Energy Reserve is a utility-scale battery that will deliver 400 MW of capacity and store 1.86 GWh of energy. Once operational in late 2028, Baranduda will be capable of storing enough energy to power more than 200,000 Victorian homes through the evening peak.</w:t>
      </w:r>
    </w:p>
    <w:p w14:paraId="4D6D64D7" w14:textId="77777777" w:rsidR="003B5F16" w:rsidRPr="005A2EBA" w:rsidRDefault="003B5F16">
      <w:pPr>
        <w:pStyle w:val="Heading1"/>
        <w:pageBreakBefore/>
      </w:pPr>
      <w:bookmarkStart w:id="16" w:name="_Toc243488379"/>
      <w:r w:rsidRPr="005A2EBA">
        <w:lastRenderedPageBreak/>
        <w:t>Victoria’s new Renewable Energy Zones</w:t>
      </w:r>
      <w:bookmarkEnd w:id="16"/>
    </w:p>
    <w:p w14:paraId="2BBE92CA" w14:textId="77777777" w:rsidR="003B5F16" w:rsidRPr="005A2EBA" w:rsidRDefault="003B5F16">
      <w:pPr>
        <w:pStyle w:val="Introductoryparagraph"/>
      </w:pPr>
      <w:r w:rsidRPr="005A2EBA">
        <w:t xml:space="preserve">VicGrid is implementing the </w:t>
      </w:r>
      <w:r w:rsidRPr="005A2EBA">
        <w:rPr>
          <w:i/>
        </w:rPr>
        <w:t>Victorian Transmission Plan</w:t>
      </w:r>
      <w:r w:rsidRPr="005A2EBA">
        <w:t>, a long-term strategic plan for transmission and renewable energy zone development in Victoria.</w:t>
      </w:r>
    </w:p>
    <w:p w14:paraId="49122301" w14:textId="77777777" w:rsidR="003B5F16" w:rsidRPr="005A2EBA" w:rsidRDefault="003B5F16">
      <w:pPr>
        <w:pStyle w:val="BodyText"/>
      </w:pPr>
      <w:r w:rsidRPr="005A2EBA">
        <w:t>This plan will ensure Victoria builds the right amount of energy infrastructure in the right places at the right time to support the transition to renewable energy.</w:t>
      </w:r>
    </w:p>
    <w:p w14:paraId="57D5AC1D" w14:textId="77777777" w:rsidR="003B5F16" w:rsidRPr="005A2EBA" w:rsidRDefault="003B5F16">
      <w:pPr>
        <w:pStyle w:val="BodyText"/>
      </w:pPr>
      <w:r w:rsidRPr="005A2EBA">
        <w:t xml:space="preserve">The Victorian Government has declared 5 renewable energy zones, along with the shoreline renewable energy zone to connect offshore wind projects in Gippsland, that were proposed in the 2025 </w:t>
      </w:r>
      <w:r w:rsidRPr="005A2EBA">
        <w:rPr>
          <w:i/>
        </w:rPr>
        <w:t>Victorian Transmission Plan</w:t>
      </w:r>
      <w:r w:rsidRPr="005A2EBA">
        <w:t>.</w:t>
      </w:r>
    </w:p>
    <w:p w14:paraId="3B38AAB4" w14:textId="77777777" w:rsidR="003B5F16" w:rsidRPr="005A2EBA" w:rsidRDefault="003B5F16">
      <w:pPr>
        <w:pStyle w:val="BodyText"/>
      </w:pPr>
      <w:r w:rsidRPr="005A2EBA">
        <w:t>The Gippsland Shoreline Renewable Energy Zone is different from other renewable energy zones. It is a defined planning area for offshore wind developers to run underground cables from the shoreline to the electricity grid.</w:t>
      </w:r>
    </w:p>
    <w:p w14:paraId="07F990E3" w14:textId="77777777" w:rsidR="003B5F16" w:rsidRPr="005A2EBA" w:rsidRDefault="003B5F16">
      <w:pPr>
        <w:pStyle w:val="BodyText"/>
      </w:pPr>
      <w:r w:rsidRPr="005A2EBA">
        <w:t>Renewable energy zones are areas identified as most suitable to host new renewable energy generation, such as wind turbines, solar farms, and battery storage.</w:t>
      </w:r>
    </w:p>
    <w:p w14:paraId="0C38119C" w14:textId="77777777" w:rsidR="003B5F16" w:rsidRPr="005A2EBA" w:rsidRDefault="003B5F16">
      <w:pPr>
        <w:pStyle w:val="Normalbeforebullets"/>
      </w:pPr>
      <w:r w:rsidRPr="005A2EBA">
        <w:t>Renewable energy zones will:</w:t>
      </w:r>
    </w:p>
    <w:p w14:paraId="5E08498A" w14:textId="77777777" w:rsidR="003B5F16" w:rsidRPr="005A2EBA" w:rsidRDefault="003B5F16">
      <w:pPr>
        <w:pStyle w:val="ListBullet"/>
      </w:pPr>
      <w:r w:rsidRPr="005A2EBA">
        <w:t>ensure better coordination of renewable projects and reduce the need for unnecessary transmission lines and other infrastructure</w:t>
      </w:r>
    </w:p>
    <w:p w14:paraId="7EFA11FD" w14:textId="77777777" w:rsidR="003B5F16" w:rsidRPr="005A2EBA" w:rsidRDefault="003B5F16">
      <w:pPr>
        <w:pStyle w:val="ListBullet"/>
      </w:pPr>
      <w:r w:rsidRPr="005A2EBA">
        <w:t>enable VicGrid to implement clear rules that manage how projects gain access to the grid, including expectations for how developers engage with community</w:t>
      </w:r>
    </w:p>
    <w:p w14:paraId="5A911576" w14:textId="77777777" w:rsidR="003B5F16" w:rsidRPr="005A2EBA" w:rsidRDefault="003B5F16">
      <w:pPr>
        <w:pStyle w:val="ListBullet"/>
      </w:pPr>
      <w:r w:rsidRPr="005A2EBA">
        <w:t>provide greater certainty about how and where renewables projects should be built</w:t>
      </w:r>
    </w:p>
    <w:p w14:paraId="0AF14821" w14:textId="77777777" w:rsidR="003B5F16" w:rsidRPr="005A2EBA" w:rsidRDefault="003B5F16">
      <w:pPr>
        <w:pStyle w:val="LastBulletinList"/>
      </w:pPr>
      <w:r w:rsidRPr="005A2EBA">
        <w:t>unlock new economic benefits for regional communities and Traditional Owners.</w:t>
      </w:r>
    </w:p>
    <w:p w14:paraId="6568E1EB" w14:textId="67479675" w:rsidR="003B5F16" w:rsidRPr="005A2EBA" w:rsidRDefault="003B5F16">
      <w:pPr>
        <w:pStyle w:val="Caption"/>
        <w:keepNext/>
      </w:pPr>
      <w:bookmarkStart w:id="17" w:name="_Ref243570386"/>
      <w:r w:rsidRPr="005A2EBA">
        <w:lastRenderedPageBreak/>
        <w:t xml:space="preserve">Figure </w:t>
      </w:r>
      <w:fldSimple w:instr=" SEQ Figure \* ARABIC \* MERGEFORMAT ">
        <w:r w:rsidRPr="005A2EBA">
          <w:t>4</w:t>
        </w:r>
      </w:fldSimple>
      <w:bookmarkEnd w:id="17"/>
      <w:r w:rsidRPr="005A2EBA">
        <w:t xml:space="preserve">: </w:t>
      </w:r>
      <w:r w:rsidRPr="005A2EBA">
        <w:rPr>
          <w:b w:val="0"/>
          <w:bCs/>
        </w:rPr>
        <w:t>Victoria’s renewable energy zones and transmission network</w:t>
      </w:r>
    </w:p>
    <w:p w14:paraId="12F37004" w14:textId="201D033A" w:rsidR="002329CC" w:rsidRPr="005A2EBA" w:rsidRDefault="002329CC">
      <w:pPr>
        <w:pStyle w:val="BodyText"/>
        <w:rPr>
          <w:highlight w:val="yellow"/>
        </w:rPr>
      </w:pPr>
      <w:r w:rsidRPr="005A2EBA">
        <w:rPr>
          <w:noProof/>
        </w:rPr>
        <w:drawing>
          <wp:inline distT="0" distB="0" distL="0" distR="0" wp14:anchorId="14117D46" wp14:editId="000E330D">
            <wp:extent cx="6120130" cy="4873625"/>
            <wp:effectExtent l="12700" t="12700" r="13970" b="15875"/>
            <wp:docPr id="1977069861" name="Picture 1" descr="Map shows Victoria’s renewable energy zones, offshore wind areas, transmission corridors, existing lines, projects under development and major roa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069861" name="Picture 1" descr="Map shows Victoria’s renewable energy zones, offshore wind areas, transmission corridors, existing lines, projects under development and major roads."/>
                    <pic:cNvPicPr/>
                  </pic:nvPicPr>
                  <pic:blipFill>
                    <a:blip r:embed="rId40"/>
                    <a:stretch>
                      <a:fillRect/>
                    </a:stretch>
                  </pic:blipFill>
                  <pic:spPr>
                    <a:xfrm>
                      <a:off x="0" y="0"/>
                      <a:ext cx="6120130" cy="4873625"/>
                    </a:xfrm>
                    <a:prstGeom prst="rect">
                      <a:avLst/>
                    </a:prstGeom>
                    <a:ln>
                      <a:solidFill>
                        <a:schemeClr val="tx1"/>
                      </a:solidFill>
                    </a:ln>
                  </pic:spPr>
                </pic:pic>
              </a:graphicData>
            </a:graphic>
          </wp:inline>
        </w:drawing>
      </w:r>
    </w:p>
    <w:p w14:paraId="0CAEA676" w14:textId="09C6CF32" w:rsidR="003B5F16" w:rsidRPr="00A800E2" w:rsidRDefault="002329CC">
      <w:pPr>
        <w:pStyle w:val="Normalbeforebullets"/>
      </w:pPr>
      <w:r w:rsidRPr="00A800E2">
        <w:fldChar w:fldCharType="begin"/>
      </w:r>
      <w:r w:rsidRPr="00A800E2">
        <w:instrText xml:space="preserve"> REF _Ref243570386 \h </w:instrText>
      </w:r>
      <w:r w:rsidRPr="00A800E2">
        <w:fldChar w:fldCharType="separate"/>
      </w:r>
      <w:r w:rsidRPr="00A800E2">
        <w:t>Figure 4</w:t>
      </w:r>
      <w:r w:rsidRPr="00A800E2">
        <w:fldChar w:fldCharType="end"/>
      </w:r>
      <w:r w:rsidR="003B5F16" w:rsidRPr="00A800E2">
        <w:t xml:space="preserve"> is a map of Victoria’s renewable energy zones (REZ) and transmission network. It</w:t>
      </w:r>
      <w:r w:rsidRPr="00A800E2">
        <w:t> </w:t>
      </w:r>
      <w:r w:rsidR="003B5F16" w:rsidRPr="00A800E2">
        <w:t>shows:</w:t>
      </w:r>
    </w:p>
    <w:p w14:paraId="2334BE48" w14:textId="77777777" w:rsidR="003B5F16" w:rsidRPr="005A2EBA" w:rsidRDefault="003B5F16">
      <w:pPr>
        <w:pStyle w:val="ListBullet"/>
      </w:pPr>
      <w:r w:rsidRPr="005A2EBA">
        <w:t>Western REZ: west of Stawell and north of Horsham, in western Victoria</w:t>
      </w:r>
    </w:p>
    <w:p w14:paraId="39749996" w14:textId="77777777" w:rsidR="003B5F16" w:rsidRPr="005A2EBA" w:rsidRDefault="003B5F16">
      <w:pPr>
        <w:pStyle w:val="ListBullet"/>
      </w:pPr>
      <w:proofErr w:type="gramStart"/>
      <w:r w:rsidRPr="005A2EBA">
        <w:t>North West</w:t>
      </w:r>
      <w:proofErr w:type="gramEnd"/>
      <w:r w:rsidRPr="005A2EBA">
        <w:t xml:space="preserve"> REZ: around Swan Hill and Kerang, in northern Victoria</w:t>
      </w:r>
    </w:p>
    <w:p w14:paraId="4934E9A1" w14:textId="77777777" w:rsidR="003B5F16" w:rsidRPr="005A2EBA" w:rsidRDefault="003B5F16">
      <w:pPr>
        <w:pStyle w:val="ListBullet"/>
      </w:pPr>
      <w:r w:rsidRPr="005A2EBA">
        <w:t>Central Highlands REZ: between Stawell and Ballarat</w:t>
      </w:r>
    </w:p>
    <w:p w14:paraId="0DF3B309" w14:textId="77777777" w:rsidR="003B5F16" w:rsidRPr="005A2EBA" w:rsidRDefault="003B5F16">
      <w:pPr>
        <w:pStyle w:val="ListBullet"/>
      </w:pPr>
      <w:proofErr w:type="gramStart"/>
      <w:r w:rsidRPr="005A2EBA">
        <w:t>South West</w:t>
      </w:r>
      <w:proofErr w:type="gramEnd"/>
      <w:r w:rsidRPr="005A2EBA">
        <w:t xml:space="preserve"> REZ: between Hamilton and Colac, in south-west Victoria</w:t>
      </w:r>
    </w:p>
    <w:p w14:paraId="5928292C" w14:textId="77777777" w:rsidR="003B5F16" w:rsidRPr="005A2EBA" w:rsidRDefault="003B5F16">
      <w:pPr>
        <w:pStyle w:val="ListBullet"/>
      </w:pPr>
      <w:r w:rsidRPr="005A2EBA">
        <w:t>Gippsland REZ: around Traralgon and Sale, in eastern Victoria</w:t>
      </w:r>
    </w:p>
    <w:p w14:paraId="74C07312" w14:textId="77777777" w:rsidR="003B5F16" w:rsidRPr="005A2EBA" w:rsidRDefault="003B5F16">
      <w:pPr>
        <w:pStyle w:val="ListBullet"/>
      </w:pPr>
      <w:r w:rsidRPr="005A2EBA">
        <w:t>Gippsland Shoreline REZ: on the Gippsland coast south of Sale, connecting to the offshore wind transmission corridor</w:t>
      </w:r>
    </w:p>
    <w:p w14:paraId="160B5D92" w14:textId="77777777" w:rsidR="003B5F16" w:rsidRPr="005A2EBA" w:rsidRDefault="003B5F16">
      <w:pPr>
        <w:pStyle w:val="ListBullet"/>
      </w:pPr>
      <w:r w:rsidRPr="005A2EBA">
        <w:lastRenderedPageBreak/>
        <w:t xml:space="preserve">existing 220 kV, 330 kV and 500 kV transmission lines radiating from Melbourne to regional centres, and transmission projects under development, including links through the Western, </w:t>
      </w:r>
      <w:proofErr w:type="gramStart"/>
      <w:r w:rsidRPr="005A2EBA">
        <w:t>North West</w:t>
      </w:r>
      <w:proofErr w:type="gramEnd"/>
      <w:r w:rsidRPr="005A2EBA">
        <w:t xml:space="preserve"> and Central Highlands REZs</w:t>
      </w:r>
    </w:p>
    <w:p w14:paraId="4D117065" w14:textId="77777777" w:rsidR="003B5F16" w:rsidRPr="005A2EBA" w:rsidRDefault="003B5F16">
      <w:pPr>
        <w:pStyle w:val="LastBulletinList"/>
      </w:pPr>
      <w:r w:rsidRPr="005A2EBA">
        <w:t>the Southern Ocean declared offshore wind area off Portland and the Gippsland declared offshore wind area off the Gippsland coast, with the draft preferred route for offshore wind transmission.</w:t>
      </w:r>
    </w:p>
    <w:p w14:paraId="58F2CE06" w14:textId="77777777" w:rsidR="003B5F16" w:rsidRPr="005A2EBA" w:rsidRDefault="003B5F16">
      <w:pPr>
        <w:pStyle w:val="Heading1"/>
        <w:pageBreakBefore/>
      </w:pPr>
      <w:bookmarkStart w:id="18" w:name="_Toc243488380"/>
      <w:r w:rsidRPr="005A2EBA">
        <w:lastRenderedPageBreak/>
        <w:t>VicGrid – Shaping Victoria’s future grid</w:t>
      </w:r>
      <w:bookmarkEnd w:id="18"/>
    </w:p>
    <w:p w14:paraId="114DA9F7" w14:textId="77777777" w:rsidR="003B5F16" w:rsidRPr="005A2EBA" w:rsidRDefault="003B5F16">
      <w:pPr>
        <w:pStyle w:val="Introductoryparagraph"/>
      </w:pPr>
      <w:r w:rsidRPr="005A2EBA">
        <w:t>VicGrid is changing the way renewable energy zones are planned and developed, and delivering the infrastructure Victoria needs to unlock more renewable energy resources.</w:t>
      </w:r>
    </w:p>
    <w:p w14:paraId="6B7E2246" w14:textId="77777777" w:rsidR="003B5F16" w:rsidRPr="005A2EBA" w:rsidRDefault="003B5F16">
      <w:pPr>
        <w:pStyle w:val="Heading2"/>
      </w:pPr>
      <w:proofErr w:type="spellStart"/>
      <w:r w:rsidRPr="005A2EBA">
        <w:t>VicGrid’s</w:t>
      </w:r>
      <w:proofErr w:type="spellEnd"/>
      <w:r w:rsidRPr="005A2EBA">
        <w:t xml:space="preserve"> flagship projects</w:t>
      </w:r>
    </w:p>
    <w:p w14:paraId="60F5C473" w14:textId="77777777" w:rsidR="003B5F16" w:rsidRPr="005A2EBA" w:rsidRDefault="003B5F16">
      <w:pPr>
        <w:pStyle w:val="Normalbeforebullets"/>
      </w:pPr>
      <w:r w:rsidRPr="005A2EBA">
        <w:t>VicGrid is working on flagship projects that will not only unlock significant new generation and storage, but present strong investment opportunities. Flagship projects include:</w:t>
      </w:r>
    </w:p>
    <w:p w14:paraId="4F7E54B5" w14:textId="77777777" w:rsidR="003B5F16" w:rsidRPr="005A2EBA" w:rsidRDefault="003B5F16">
      <w:pPr>
        <w:pStyle w:val="ListBullet"/>
      </w:pPr>
      <w:r w:rsidRPr="005A2EBA">
        <w:t>investing $480 million in a portfolio of projects across the state to strengthen and modernise Victoria’s grid</w:t>
      </w:r>
    </w:p>
    <w:p w14:paraId="3C8470EE" w14:textId="77777777" w:rsidR="003B5F16" w:rsidRPr="005A2EBA" w:rsidRDefault="003B5F16">
      <w:pPr>
        <w:pStyle w:val="ListBullet"/>
      </w:pPr>
      <w:r w:rsidRPr="005A2EBA">
        <w:t>leading the development of Gippsland offshore wind transmission infrastructure</w:t>
      </w:r>
    </w:p>
    <w:p w14:paraId="3FED37BF" w14:textId="77777777" w:rsidR="003B5F16" w:rsidRPr="005A2EBA" w:rsidRDefault="003B5F16">
      <w:pPr>
        <w:pStyle w:val="ListBullet"/>
      </w:pPr>
      <w:r w:rsidRPr="005A2EBA">
        <w:t>working with the Australian Energy Market Operator (AEMO) to deliver crucial new transmission projects including the Victoria to New South Wales Interconnector West (VNI West) and the Western Renewables Link (WRL)</w:t>
      </w:r>
    </w:p>
    <w:p w14:paraId="0A8079B3" w14:textId="77777777" w:rsidR="003B5F16" w:rsidRPr="005A2EBA" w:rsidRDefault="003B5F16">
      <w:pPr>
        <w:pStyle w:val="ListBullet"/>
      </w:pPr>
      <w:r w:rsidRPr="005A2EBA">
        <w:t>investing in the Marinus Link interconnector between Victoria and Tasmania to enhance energy reliability and affordability</w:t>
      </w:r>
    </w:p>
    <w:p w14:paraId="7DC97D4C" w14:textId="77777777" w:rsidR="003B5F16" w:rsidRPr="005A2EBA" w:rsidRDefault="003B5F16">
      <w:pPr>
        <w:pStyle w:val="LastBulletinList"/>
      </w:pPr>
      <w:r w:rsidRPr="005A2EBA">
        <w:t xml:space="preserve">rebuilding existing transmission lines and delivering new lines identified in the </w:t>
      </w:r>
      <w:r w:rsidRPr="005A2EBA">
        <w:rPr>
          <w:i/>
        </w:rPr>
        <w:t>Victorian Transmission Plan</w:t>
      </w:r>
      <w:r w:rsidRPr="005A2EBA">
        <w:t>.</w:t>
      </w:r>
    </w:p>
    <w:p w14:paraId="16657A5C" w14:textId="77777777" w:rsidR="003B5F16" w:rsidRPr="005A2EBA" w:rsidRDefault="003B5F16">
      <w:pPr>
        <w:pStyle w:val="Heading1"/>
        <w:pageBreakBefore/>
      </w:pPr>
      <w:bookmarkStart w:id="19" w:name="_Toc243488381"/>
      <w:r w:rsidRPr="005A2EBA">
        <w:lastRenderedPageBreak/>
        <w:t>Investing in a Future Made in Australia</w:t>
      </w:r>
      <w:bookmarkEnd w:id="19"/>
    </w:p>
    <w:p w14:paraId="0467D9F4" w14:textId="77777777" w:rsidR="003B5F16" w:rsidRPr="005A2EBA" w:rsidRDefault="003B5F16">
      <w:pPr>
        <w:pStyle w:val="Introductoryparagraph"/>
      </w:pPr>
      <w:r w:rsidRPr="005A2EBA">
        <w:t>The Australian Government is investing to transform the nation into a renewable energy superpower.</w:t>
      </w:r>
    </w:p>
    <w:p w14:paraId="1F211D77" w14:textId="77777777" w:rsidR="003B5F16" w:rsidRPr="005A2EBA" w:rsidRDefault="003B5F16">
      <w:pPr>
        <w:pStyle w:val="BodyText"/>
      </w:pPr>
      <w:r w:rsidRPr="005A2EBA">
        <w:t>In the 2024–25 Federal budget, $22.7 billion was announced for initiatives that are part of a Future Made in Australia package designed to maximise the economic and industrial benefits of the net-zero transition. It is focused on facilitating private sector investment and building a stronger, more diversified and more resilient economy powered by renewable energy.</w:t>
      </w:r>
    </w:p>
    <w:p w14:paraId="54742C71" w14:textId="77777777" w:rsidR="003B5F16" w:rsidRPr="005A2EBA" w:rsidRDefault="003B5F16">
      <w:pPr>
        <w:pStyle w:val="BodyText"/>
      </w:pPr>
      <w:r w:rsidRPr="005A2EBA">
        <w:t xml:space="preserve">For more information, visit the </w:t>
      </w:r>
      <w:hyperlink r:id="rId41" w:tooltip="Opens the Australian Government Treasury web page about Future Made in Australia" w:history="1">
        <w:r w:rsidRPr="005A2EBA">
          <w:rPr>
            <w:rStyle w:val="Hyperlink"/>
          </w:rPr>
          <w:t>Future Made in Australia page</w:t>
        </w:r>
      </w:hyperlink>
      <w:r w:rsidRPr="005A2EBA">
        <w:t>.</w:t>
      </w:r>
    </w:p>
    <w:p w14:paraId="07D9C648" w14:textId="71664044" w:rsidR="003B5F16" w:rsidRPr="005A2EBA" w:rsidRDefault="003B5F16">
      <w:pPr>
        <w:pStyle w:val="Caption"/>
        <w:keepNext/>
      </w:pPr>
      <w:r w:rsidRPr="005A2EBA">
        <w:t xml:space="preserve">Table </w:t>
      </w:r>
      <w:fldSimple w:instr=" SEQ Table \* ARABIC \* MERGEFORMAT ">
        <w:r w:rsidRPr="005A2EBA">
          <w:t>9</w:t>
        </w:r>
      </w:fldSimple>
      <w:r w:rsidRPr="005A2EBA">
        <w:t xml:space="preserve">: </w:t>
      </w:r>
      <w:r w:rsidRPr="005A2EBA">
        <w:rPr>
          <w:b w:val="0"/>
          <w:bCs/>
        </w:rPr>
        <w:t>Future Made in Australia commitments</w:t>
      </w:r>
    </w:p>
    <w:tbl>
      <w:tblPr>
        <w:tblStyle w:val="Style2"/>
        <w:tblW w:w="0" w:type="auto"/>
        <w:tblLook w:val="04A0" w:firstRow="1" w:lastRow="0" w:firstColumn="1" w:lastColumn="0" w:noHBand="0" w:noVBand="1"/>
        <w:tblCaption w:val="Future Made in Australia commitments"/>
        <w:tblDescription w:val="Table with 2 columns, Funding and Commitment, listing 6 Australian Government commitments: $1.5 billion through the Future Made in Australia Innovation Fund; up to $1 billion for domestic solar manufacturing; $3 billion for early-mover renewable hydrogen projects under Hydrogen Headstart; $13.7 billion in hydrogen and critical minerals production tax incentives; a $2 billion green aluminium production credit; and a $1 billion Green Iron Investment Fund."/>
      </w:tblPr>
      <w:tblGrid>
        <w:gridCol w:w="2117"/>
        <w:gridCol w:w="7501"/>
      </w:tblGrid>
      <w:tr w:rsidR="003B5F16" w:rsidRPr="005A2EBA" w14:paraId="4B5334C0" w14:textId="77777777" w:rsidTr="002329CC">
        <w:trPr>
          <w:cnfStyle w:val="100000000000" w:firstRow="1" w:lastRow="0" w:firstColumn="0" w:lastColumn="0" w:oddVBand="0" w:evenVBand="0" w:oddHBand="0" w:evenHBand="0" w:firstRowFirstColumn="0" w:firstRowLastColumn="0" w:lastRowFirstColumn="0" w:lastRowLastColumn="0"/>
          <w:cantSplit/>
          <w:tblHeader/>
        </w:trPr>
        <w:tc>
          <w:tcPr>
            <w:tcW w:w="2117" w:type="dxa"/>
          </w:tcPr>
          <w:p w14:paraId="48985E25" w14:textId="77777777" w:rsidR="003B5F16" w:rsidRPr="005A2EBA" w:rsidRDefault="003B5F16" w:rsidP="002329CC">
            <w:pPr>
              <w:pStyle w:val="Tabletext"/>
              <w:spacing w:line="240" w:lineRule="auto"/>
            </w:pPr>
            <w:r w:rsidRPr="005A2EBA">
              <w:t>Funding</w:t>
            </w:r>
          </w:p>
        </w:tc>
        <w:tc>
          <w:tcPr>
            <w:tcW w:w="7501" w:type="dxa"/>
          </w:tcPr>
          <w:p w14:paraId="18608ECE" w14:textId="77777777" w:rsidR="003B5F16" w:rsidRPr="005A2EBA" w:rsidRDefault="003B5F16" w:rsidP="002329CC">
            <w:pPr>
              <w:pStyle w:val="Tabletext"/>
              <w:spacing w:line="240" w:lineRule="auto"/>
            </w:pPr>
            <w:r w:rsidRPr="005A2EBA">
              <w:t>Commitment</w:t>
            </w:r>
          </w:p>
        </w:tc>
      </w:tr>
      <w:tr w:rsidR="003B5F16" w:rsidRPr="005A2EBA" w14:paraId="63B786D2" w14:textId="77777777" w:rsidTr="002329CC">
        <w:trPr>
          <w:cantSplit/>
        </w:trPr>
        <w:tc>
          <w:tcPr>
            <w:tcW w:w="2117" w:type="dxa"/>
          </w:tcPr>
          <w:p w14:paraId="521B8144" w14:textId="77777777" w:rsidR="003B5F16" w:rsidRPr="005A2EBA" w:rsidRDefault="003B5F16">
            <w:pPr>
              <w:pStyle w:val="Tabletext"/>
            </w:pPr>
            <w:r w:rsidRPr="005A2EBA">
              <w:t>$1.5 billion</w:t>
            </w:r>
          </w:p>
        </w:tc>
        <w:tc>
          <w:tcPr>
            <w:tcW w:w="7501" w:type="dxa"/>
          </w:tcPr>
          <w:p w14:paraId="043AED8A" w14:textId="77777777" w:rsidR="003B5F16" w:rsidRPr="005A2EBA" w:rsidRDefault="003B5F16">
            <w:pPr>
              <w:pStyle w:val="Tabletext"/>
            </w:pPr>
            <w:r w:rsidRPr="005A2EBA">
              <w:t>Support for priority areas through the Future Made in Australia Innovation Fund: $250 million for low carbon liquid fuels, $500 million for clean energy technology manufacturing capabilities and $750 million for green metals</w:t>
            </w:r>
          </w:p>
        </w:tc>
      </w:tr>
      <w:tr w:rsidR="003B5F16" w:rsidRPr="005A2EBA" w14:paraId="18B791B3" w14:textId="77777777" w:rsidTr="002329CC">
        <w:trPr>
          <w:cantSplit/>
        </w:trPr>
        <w:tc>
          <w:tcPr>
            <w:tcW w:w="2117" w:type="dxa"/>
          </w:tcPr>
          <w:p w14:paraId="12BC0F44" w14:textId="77777777" w:rsidR="003B5F16" w:rsidRPr="005A2EBA" w:rsidRDefault="003B5F16">
            <w:pPr>
              <w:pStyle w:val="Tabletext"/>
            </w:pPr>
            <w:r w:rsidRPr="005A2EBA">
              <w:t>Up to $1 billion</w:t>
            </w:r>
          </w:p>
        </w:tc>
        <w:tc>
          <w:tcPr>
            <w:tcW w:w="7501" w:type="dxa"/>
          </w:tcPr>
          <w:p w14:paraId="53A26989" w14:textId="77777777" w:rsidR="003B5F16" w:rsidRPr="005A2EBA" w:rsidRDefault="003B5F16">
            <w:pPr>
              <w:pStyle w:val="Tabletext"/>
            </w:pPr>
            <w:r w:rsidRPr="005A2EBA">
              <w:t>To scale domestic solar manufacturing and strengthen solar panel supply chains through production incentives and grants</w:t>
            </w:r>
          </w:p>
        </w:tc>
      </w:tr>
      <w:tr w:rsidR="003B5F16" w:rsidRPr="005A2EBA" w14:paraId="5D9F1AA8" w14:textId="77777777" w:rsidTr="002329CC">
        <w:trPr>
          <w:cantSplit/>
        </w:trPr>
        <w:tc>
          <w:tcPr>
            <w:tcW w:w="2117" w:type="dxa"/>
          </w:tcPr>
          <w:p w14:paraId="555D4D34" w14:textId="77777777" w:rsidR="003B5F16" w:rsidRPr="005A2EBA" w:rsidRDefault="003B5F16">
            <w:pPr>
              <w:pStyle w:val="Tabletext"/>
            </w:pPr>
            <w:r w:rsidRPr="005A2EBA">
              <w:t>$3 billion</w:t>
            </w:r>
          </w:p>
        </w:tc>
        <w:tc>
          <w:tcPr>
            <w:tcW w:w="7501" w:type="dxa"/>
          </w:tcPr>
          <w:p w14:paraId="7767A12C" w14:textId="77777777" w:rsidR="003B5F16" w:rsidRPr="005A2EBA" w:rsidRDefault="003B5F16">
            <w:pPr>
              <w:pStyle w:val="Tabletext"/>
            </w:pPr>
            <w:r w:rsidRPr="005A2EBA">
              <w:t>For early-mover renewable hydrogen projects, under the Hydrogen Headstart program</w:t>
            </w:r>
          </w:p>
        </w:tc>
      </w:tr>
      <w:tr w:rsidR="003B5F16" w:rsidRPr="005A2EBA" w14:paraId="1A290458" w14:textId="77777777" w:rsidTr="002329CC">
        <w:trPr>
          <w:cantSplit/>
        </w:trPr>
        <w:tc>
          <w:tcPr>
            <w:tcW w:w="2117" w:type="dxa"/>
          </w:tcPr>
          <w:p w14:paraId="3BCE7AAB" w14:textId="77777777" w:rsidR="003B5F16" w:rsidRPr="005A2EBA" w:rsidRDefault="003B5F16">
            <w:pPr>
              <w:pStyle w:val="Tabletext"/>
            </w:pPr>
            <w:r w:rsidRPr="005A2EBA">
              <w:t>$13.7 billion</w:t>
            </w:r>
          </w:p>
        </w:tc>
        <w:tc>
          <w:tcPr>
            <w:tcW w:w="7501" w:type="dxa"/>
          </w:tcPr>
          <w:p w14:paraId="7B44D194" w14:textId="77777777" w:rsidR="003B5F16" w:rsidRPr="005A2EBA" w:rsidRDefault="003B5F16">
            <w:pPr>
              <w:pStyle w:val="Tabletext"/>
            </w:pPr>
            <w:r w:rsidRPr="005A2EBA">
              <w:t>In hydrogen and critical minerals production tax incentives</w:t>
            </w:r>
          </w:p>
        </w:tc>
      </w:tr>
      <w:tr w:rsidR="003B5F16" w:rsidRPr="005A2EBA" w14:paraId="5AB44F19" w14:textId="77777777" w:rsidTr="002329CC">
        <w:trPr>
          <w:cantSplit/>
        </w:trPr>
        <w:tc>
          <w:tcPr>
            <w:tcW w:w="2117" w:type="dxa"/>
          </w:tcPr>
          <w:p w14:paraId="329854E6" w14:textId="77777777" w:rsidR="003B5F16" w:rsidRPr="005A2EBA" w:rsidRDefault="003B5F16">
            <w:pPr>
              <w:pStyle w:val="Tabletext"/>
            </w:pPr>
            <w:r w:rsidRPr="005A2EBA">
              <w:t>$2 billion</w:t>
            </w:r>
          </w:p>
        </w:tc>
        <w:tc>
          <w:tcPr>
            <w:tcW w:w="7501" w:type="dxa"/>
          </w:tcPr>
          <w:p w14:paraId="18FDC67C" w14:textId="77777777" w:rsidR="003B5F16" w:rsidRPr="005A2EBA" w:rsidRDefault="003B5F16">
            <w:pPr>
              <w:pStyle w:val="Tabletext"/>
            </w:pPr>
            <w:r w:rsidRPr="005A2EBA">
              <w:t>Green aluminium production credit to position Australian aluminium as some of the greenest in the world</w:t>
            </w:r>
          </w:p>
        </w:tc>
      </w:tr>
      <w:tr w:rsidR="003B5F16" w:rsidRPr="005A2EBA" w14:paraId="5883BEB9" w14:textId="77777777" w:rsidTr="002329CC">
        <w:trPr>
          <w:cantSplit/>
        </w:trPr>
        <w:tc>
          <w:tcPr>
            <w:tcW w:w="2117" w:type="dxa"/>
          </w:tcPr>
          <w:p w14:paraId="524B59EF" w14:textId="77777777" w:rsidR="003B5F16" w:rsidRPr="005A2EBA" w:rsidRDefault="003B5F16">
            <w:pPr>
              <w:pStyle w:val="Tabletext"/>
            </w:pPr>
            <w:r w:rsidRPr="005A2EBA">
              <w:t>$1 billion</w:t>
            </w:r>
          </w:p>
        </w:tc>
        <w:tc>
          <w:tcPr>
            <w:tcW w:w="7501" w:type="dxa"/>
          </w:tcPr>
          <w:p w14:paraId="2FC5F639" w14:textId="77777777" w:rsidR="003B5F16" w:rsidRPr="005A2EBA" w:rsidRDefault="003B5F16">
            <w:pPr>
              <w:pStyle w:val="Tabletext"/>
            </w:pPr>
            <w:r w:rsidRPr="005A2EBA">
              <w:t>Green Iron Investment Fund to set up new facilities and supply chains</w:t>
            </w:r>
          </w:p>
        </w:tc>
      </w:tr>
    </w:tbl>
    <w:p w14:paraId="43175AAD" w14:textId="77777777" w:rsidR="003B5F16" w:rsidRPr="005A2EBA" w:rsidRDefault="003B5F16">
      <w:pPr>
        <w:pStyle w:val="Heading1"/>
        <w:pageBreakBefore/>
      </w:pPr>
      <w:bookmarkStart w:id="20" w:name="_Toc243488382"/>
      <w:r w:rsidRPr="005A2EBA">
        <w:lastRenderedPageBreak/>
        <w:t>Manufacturing and recycling opportunities</w:t>
      </w:r>
      <w:bookmarkEnd w:id="20"/>
    </w:p>
    <w:p w14:paraId="06569060" w14:textId="77777777" w:rsidR="003B5F16" w:rsidRPr="005A2EBA" w:rsidRDefault="003B5F16">
      <w:pPr>
        <w:pStyle w:val="Introductoryparagraph"/>
      </w:pPr>
      <w:r w:rsidRPr="005A2EBA">
        <w:t>Victoria’s renewable energy transition is driving demand for wind turbines, solar panels and batteries, creating market opportunities for original equipment manufacturers.</w:t>
      </w:r>
    </w:p>
    <w:p w14:paraId="41ED6DFE" w14:textId="77777777" w:rsidR="003B5F16" w:rsidRPr="005A2EBA" w:rsidRDefault="003B5F16">
      <w:pPr>
        <w:pStyle w:val="BodyText"/>
      </w:pPr>
      <w:r w:rsidRPr="005A2EBA">
        <w:t>Growing Victorian demand for wind turbines, solar panels and batteries provides market opportunities and pipeline certainty for original equipment manufacturers.</w:t>
      </w:r>
    </w:p>
    <w:p w14:paraId="4CA18F2D" w14:textId="3C87A8DC" w:rsidR="003B5F16" w:rsidRPr="005A2EBA" w:rsidRDefault="003B5F16">
      <w:pPr>
        <w:pStyle w:val="Caption"/>
        <w:keepNext/>
      </w:pPr>
      <w:r w:rsidRPr="005A2EBA">
        <w:t xml:space="preserve">Table </w:t>
      </w:r>
      <w:fldSimple w:instr=" SEQ Table \* ARABIC \* MERGEFORMAT ">
        <w:r w:rsidRPr="005A2EBA">
          <w:t>10</w:t>
        </w:r>
      </w:fldSimple>
      <w:r w:rsidRPr="005A2EBA">
        <w:t xml:space="preserve">: </w:t>
      </w:r>
      <w:r w:rsidRPr="005A2EBA">
        <w:rPr>
          <w:b w:val="0"/>
          <w:bCs/>
        </w:rPr>
        <w:t>Additional utility-scale equipment Victoria is estimated to need by 2035</w:t>
      </w:r>
    </w:p>
    <w:tbl>
      <w:tblPr>
        <w:tblStyle w:val="Style2"/>
        <w:tblW w:w="0" w:type="auto"/>
        <w:tblLook w:val="04A0" w:firstRow="1" w:lastRow="0" w:firstColumn="1" w:lastColumn="0" w:noHBand="0" w:noVBand="1"/>
        <w:tblCaption w:val="Additional utility-scale equipment Victoria is estimated to need by 2035"/>
        <w:tblDescription w:val="Table with 2 columns, Equipment and Approximate number required: about 800 onshore wind turbines, 4.3 million utility-scale solar PV panels and 3,300 utility-scale battery packs."/>
      </w:tblPr>
      <w:tblGrid>
        <w:gridCol w:w="4800"/>
        <w:gridCol w:w="4818"/>
      </w:tblGrid>
      <w:tr w:rsidR="003B5F16" w:rsidRPr="005A2EBA" w14:paraId="03A8E3D1" w14:textId="77777777">
        <w:trPr>
          <w:cnfStyle w:val="100000000000" w:firstRow="1" w:lastRow="0" w:firstColumn="0" w:lastColumn="0" w:oddVBand="0" w:evenVBand="0" w:oddHBand="0" w:evenHBand="0" w:firstRowFirstColumn="0" w:firstRowLastColumn="0" w:lastRowFirstColumn="0" w:lastRowLastColumn="0"/>
          <w:cantSplit/>
          <w:tblHeader/>
        </w:trPr>
        <w:tc>
          <w:tcPr>
            <w:tcW w:w="4800" w:type="dxa"/>
          </w:tcPr>
          <w:p w14:paraId="6CFE8C62" w14:textId="77777777" w:rsidR="003B5F16" w:rsidRPr="005A2EBA" w:rsidRDefault="003B5F16">
            <w:pPr>
              <w:pStyle w:val="Tabletext"/>
            </w:pPr>
            <w:r w:rsidRPr="005A2EBA">
              <w:t>Equipment</w:t>
            </w:r>
          </w:p>
        </w:tc>
        <w:tc>
          <w:tcPr>
            <w:tcW w:w="4818" w:type="dxa"/>
          </w:tcPr>
          <w:p w14:paraId="7C5C8009" w14:textId="77777777" w:rsidR="003B5F16" w:rsidRPr="005A2EBA" w:rsidRDefault="003B5F16">
            <w:pPr>
              <w:pStyle w:val="Tabletext"/>
            </w:pPr>
            <w:r w:rsidRPr="005A2EBA">
              <w:t>Approximate number required</w:t>
            </w:r>
          </w:p>
        </w:tc>
      </w:tr>
      <w:tr w:rsidR="003B5F16" w:rsidRPr="005A2EBA" w14:paraId="7284A8D6" w14:textId="77777777">
        <w:trPr>
          <w:cantSplit/>
        </w:trPr>
        <w:tc>
          <w:tcPr>
            <w:tcW w:w="4800" w:type="dxa"/>
          </w:tcPr>
          <w:p w14:paraId="013876DC" w14:textId="77777777" w:rsidR="003B5F16" w:rsidRPr="005A2EBA" w:rsidRDefault="003B5F16">
            <w:pPr>
              <w:pStyle w:val="Tabletext"/>
            </w:pPr>
            <w:r w:rsidRPr="005A2EBA">
              <w:t>Onshore wind turbines</w:t>
            </w:r>
          </w:p>
        </w:tc>
        <w:tc>
          <w:tcPr>
            <w:tcW w:w="4818" w:type="dxa"/>
          </w:tcPr>
          <w:p w14:paraId="6E3496A8" w14:textId="77777777" w:rsidR="003B5F16" w:rsidRPr="005A2EBA" w:rsidRDefault="003B5F16">
            <w:pPr>
              <w:pStyle w:val="Tabletext"/>
            </w:pPr>
            <w:r w:rsidRPr="005A2EBA">
              <w:t>800</w:t>
            </w:r>
          </w:p>
        </w:tc>
      </w:tr>
      <w:tr w:rsidR="003B5F16" w:rsidRPr="005A2EBA" w14:paraId="298D966D" w14:textId="77777777">
        <w:trPr>
          <w:cantSplit/>
        </w:trPr>
        <w:tc>
          <w:tcPr>
            <w:tcW w:w="4800" w:type="dxa"/>
          </w:tcPr>
          <w:p w14:paraId="664DFE12" w14:textId="77777777" w:rsidR="003B5F16" w:rsidRPr="005A2EBA" w:rsidRDefault="003B5F16">
            <w:pPr>
              <w:pStyle w:val="Tabletext"/>
            </w:pPr>
            <w:r w:rsidRPr="005A2EBA">
              <w:t>Utility-scale solar PV panels</w:t>
            </w:r>
          </w:p>
        </w:tc>
        <w:tc>
          <w:tcPr>
            <w:tcW w:w="4818" w:type="dxa"/>
          </w:tcPr>
          <w:p w14:paraId="5918DAC5" w14:textId="77777777" w:rsidR="003B5F16" w:rsidRPr="005A2EBA" w:rsidRDefault="003B5F16">
            <w:pPr>
              <w:pStyle w:val="Tabletext"/>
            </w:pPr>
            <w:r w:rsidRPr="005A2EBA">
              <w:t>4.3 million</w:t>
            </w:r>
          </w:p>
        </w:tc>
      </w:tr>
      <w:tr w:rsidR="003B5F16" w:rsidRPr="005A2EBA" w14:paraId="553B5037" w14:textId="77777777">
        <w:trPr>
          <w:cantSplit/>
        </w:trPr>
        <w:tc>
          <w:tcPr>
            <w:tcW w:w="4800" w:type="dxa"/>
          </w:tcPr>
          <w:p w14:paraId="37D0ABCA" w14:textId="77777777" w:rsidR="003B5F16" w:rsidRPr="005A2EBA" w:rsidRDefault="003B5F16">
            <w:pPr>
              <w:pStyle w:val="Tabletext"/>
            </w:pPr>
            <w:r w:rsidRPr="005A2EBA">
              <w:t>Utility-scale battery packs</w:t>
            </w:r>
          </w:p>
        </w:tc>
        <w:tc>
          <w:tcPr>
            <w:tcW w:w="4818" w:type="dxa"/>
          </w:tcPr>
          <w:p w14:paraId="5B5B3634" w14:textId="77777777" w:rsidR="003B5F16" w:rsidRPr="005A2EBA" w:rsidRDefault="003B5F16">
            <w:pPr>
              <w:pStyle w:val="Tabletext"/>
            </w:pPr>
            <w:r w:rsidRPr="005A2EBA">
              <w:t>3,300</w:t>
            </w:r>
            <w:r w:rsidRPr="005A2EBA">
              <w:rPr>
                <w:rStyle w:val="FootnoteReference"/>
              </w:rPr>
              <w:footnoteReference w:id="22"/>
            </w:r>
          </w:p>
        </w:tc>
      </w:tr>
    </w:tbl>
    <w:p w14:paraId="5F813A53" w14:textId="77777777" w:rsidR="003B5F16" w:rsidRPr="005A2EBA" w:rsidRDefault="003B5F16" w:rsidP="002329CC">
      <w:pPr>
        <w:pStyle w:val="Heading2"/>
        <w:spacing w:before="480"/>
      </w:pPr>
      <w:r w:rsidRPr="005A2EBA">
        <w:t>Manufacturing opportunities</w:t>
      </w:r>
    </w:p>
    <w:p w14:paraId="7BA77504" w14:textId="77777777" w:rsidR="003B5F16" w:rsidRPr="005A2EBA" w:rsidRDefault="003B5F16">
      <w:pPr>
        <w:pStyle w:val="ListBullet"/>
      </w:pPr>
      <w:r w:rsidRPr="005A2EBA">
        <w:t>A $39 billion manufacturing sector that supports more than 275,000 jobs, and exports goods valued at over $11 billion.</w:t>
      </w:r>
      <w:r w:rsidRPr="005A2EBA">
        <w:rPr>
          <w:rStyle w:val="FootnoteReference"/>
        </w:rPr>
        <w:footnoteReference w:id="23"/>
      </w:r>
    </w:p>
    <w:p w14:paraId="624105C0" w14:textId="77777777" w:rsidR="003B5F16" w:rsidRPr="005A2EBA" w:rsidRDefault="003B5F16">
      <w:pPr>
        <w:pStyle w:val="ListBullet"/>
      </w:pPr>
      <w:r w:rsidRPr="005A2EBA">
        <w:t>Legislated renewable generation and storage targets create long-term pipeline certainty to manufacture and supply utility-scale battery packs, PV panels, wind turbine components and supporting infrastructure.</w:t>
      </w:r>
    </w:p>
    <w:p w14:paraId="738674C8" w14:textId="77777777" w:rsidR="003B5F16" w:rsidRPr="005A2EBA" w:rsidRDefault="003B5F16">
      <w:pPr>
        <w:pStyle w:val="ListBullet"/>
      </w:pPr>
      <w:r w:rsidRPr="005A2EBA">
        <w:lastRenderedPageBreak/>
        <w:t xml:space="preserve">World-class, purpose-built research and innovation centres support battery design and development. Visit the </w:t>
      </w:r>
      <w:hyperlink r:id="rId42" w:tooltip="Opens the Deakin University Battery Research and Innovation Hub website" w:history="1">
        <w:r w:rsidRPr="005A2EBA">
          <w:rPr>
            <w:rStyle w:val="Hyperlink"/>
          </w:rPr>
          <w:t>Battery Research and Innovation Hub website</w:t>
        </w:r>
      </w:hyperlink>
      <w:r w:rsidRPr="005A2EBA">
        <w:t>.</w:t>
      </w:r>
    </w:p>
    <w:p w14:paraId="083B1B4A" w14:textId="77777777" w:rsidR="003B5F16" w:rsidRPr="005A2EBA" w:rsidRDefault="003B5F16">
      <w:pPr>
        <w:pStyle w:val="LastBulletinList"/>
      </w:pPr>
      <w:r w:rsidRPr="005A2EBA">
        <w:t xml:space="preserve">Critical minerals provide a ‘mine to manufacture’ opportunity, including rare earths essential for permanent magnets used in wind turbines, EV motors and advanced energy technologies. Visit the </w:t>
      </w:r>
      <w:hyperlink r:id="rId43" w:tooltip="Opens the Resources Victoria web page about critical minerals" w:history="1">
        <w:r w:rsidRPr="005A2EBA">
          <w:rPr>
            <w:rStyle w:val="Hyperlink"/>
          </w:rPr>
          <w:t>Resources Victoria critical minerals page</w:t>
        </w:r>
      </w:hyperlink>
      <w:r w:rsidRPr="005A2EBA">
        <w:t>.</w:t>
      </w:r>
    </w:p>
    <w:p w14:paraId="5E92984F" w14:textId="77777777" w:rsidR="003B5F16" w:rsidRPr="005A2EBA" w:rsidRDefault="003B5F16">
      <w:pPr>
        <w:pStyle w:val="Heading2"/>
      </w:pPr>
      <w:r w:rsidRPr="005A2EBA">
        <w:t>Recycling opportunities</w:t>
      </w:r>
    </w:p>
    <w:p w14:paraId="38E9F1E8" w14:textId="77777777" w:rsidR="003B5F16" w:rsidRPr="005A2EBA" w:rsidRDefault="003B5F16">
      <w:pPr>
        <w:pStyle w:val="Heading3"/>
      </w:pPr>
      <w:r w:rsidRPr="005A2EBA">
        <w:t>Significant emerging waste streams</w:t>
      </w:r>
    </w:p>
    <w:p w14:paraId="01F217A5" w14:textId="77777777" w:rsidR="003B5F16" w:rsidRPr="005A2EBA" w:rsidRDefault="003B5F16">
      <w:pPr>
        <w:pStyle w:val="BodyText"/>
      </w:pPr>
      <w:r w:rsidRPr="005A2EBA">
        <w:t>Large future volumes of end-of-life infrastructure, including PV panels, turbines and batteries, presenting a scalable resource recovery opportunity.</w:t>
      </w:r>
    </w:p>
    <w:p w14:paraId="3F81B78F" w14:textId="77777777" w:rsidR="003B5F16" w:rsidRPr="005A2EBA" w:rsidRDefault="003B5F16">
      <w:pPr>
        <w:pStyle w:val="Heading3"/>
      </w:pPr>
      <w:r w:rsidRPr="005A2EBA">
        <w:t>High value materials recovery potential</w:t>
      </w:r>
    </w:p>
    <w:p w14:paraId="6E6BBFA4" w14:textId="77777777" w:rsidR="003B5F16" w:rsidRPr="005A2EBA" w:rsidRDefault="003B5F16">
      <w:pPr>
        <w:pStyle w:val="BodyText"/>
      </w:pPr>
      <w:r w:rsidRPr="005A2EBA">
        <w:t>Recoverable critical and strategic materials (for example, lithium, cobalt, copper, aluminium, silicon and silver) that can be recycled and reused in manufacturing supply chains.</w:t>
      </w:r>
    </w:p>
    <w:p w14:paraId="36A3ED7D" w14:textId="77777777" w:rsidR="003B5F16" w:rsidRPr="005A2EBA" w:rsidRDefault="003B5F16">
      <w:pPr>
        <w:pStyle w:val="Heading3"/>
      </w:pPr>
      <w:r w:rsidRPr="005A2EBA">
        <w:t>Policy and regulatory drivers</w:t>
      </w:r>
    </w:p>
    <w:p w14:paraId="49DAB870" w14:textId="77777777" w:rsidR="003B5F16" w:rsidRPr="005A2EBA" w:rsidRDefault="003B5F16">
      <w:pPr>
        <w:pStyle w:val="BodyText"/>
      </w:pPr>
      <w:r w:rsidRPr="005A2EBA">
        <w:t>Victoria’s circular economy policy and e-waste landfill ban increase demand for recycling solutions, supported by targeted funding and innovation programs to commercialise new technologies.</w:t>
      </w:r>
    </w:p>
    <w:p w14:paraId="66E28D55" w14:textId="77777777" w:rsidR="003B5F16" w:rsidRPr="005A2EBA" w:rsidRDefault="003B5F16">
      <w:pPr>
        <w:pStyle w:val="Heading2"/>
      </w:pPr>
      <w:r w:rsidRPr="005A2EBA">
        <w:t>Case study: Lotus Recycling</w:t>
      </w:r>
    </w:p>
    <w:p w14:paraId="1C54DE42" w14:textId="77777777" w:rsidR="003B5F16" w:rsidRPr="005A2EBA" w:rsidRDefault="003B5F16">
      <w:pPr>
        <w:pStyle w:val="BodyText"/>
      </w:pPr>
      <w:r w:rsidRPr="005A2EBA">
        <w:t>Lotus Energy Recycling (LER) was established in 2020 to recover valuable minerals from end-of-life solar panels and support a circular renewable economy. Based in Campbellfield, Melbourne, LER is Australia’s first fully operational solar recycling facility recovering over 97% of material.</w:t>
      </w:r>
    </w:p>
    <w:p w14:paraId="7EDF3E6C" w14:textId="77777777" w:rsidR="003B5F16" w:rsidRPr="005A2EBA" w:rsidRDefault="003B5F16">
      <w:pPr>
        <w:pStyle w:val="BodyText"/>
      </w:pPr>
      <w:r w:rsidRPr="005A2EBA">
        <w:lastRenderedPageBreak/>
        <w:t>LER responsibly recycles solar panels and e-waste, while following strict environmental standards. Current material recovery includes copper, aluminium, glass and silicon while future initiatives focus on sustainable silver extraction and Nano-Silicon production for next-generation lithium-ion batteries through partnerships in Germany and Canada.</w:t>
      </w:r>
    </w:p>
    <w:p w14:paraId="556ABB21" w14:textId="77777777" w:rsidR="003B5F16" w:rsidRPr="005A2EBA" w:rsidRDefault="003B5F16">
      <w:pPr>
        <w:pStyle w:val="BodyText"/>
      </w:pPr>
      <w:r w:rsidRPr="005A2EBA">
        <w:t xml:space="preserve">For more information, visit the </w:t>
      </w:r>
      <w:hyperlink r:id="rId44" w:tooltip="Opens the Lotus Energy Recycling website" w:history="1">
        <w:r w:rsidRPr="005A2EBA">
          <w:rPr>
            <w:rStyle w:val="Hyperlink"/>
          </w:rPr>
          <w:t>Lotus Energy Recycling website</w:t>
        </w:r>
      </w:hyperlink>
      <w:r w:rsidRPr="005A2EBA">
        <w:t>.</w:t>
      </w:r>
    </w:p>
    <w:p w14:paraId="7A99D19A" w14:textId="77777777" w:rsidR="003B5F16" w:rsidRPr="005A2EBA" w:rsidRDefault="003B5F16">
      <w:pPr>
        <w:pStyle w:val="Quote"/>
      </w:pPr>
      <w:r w:rsidRPr="005A2EBA">
        <w:t>“Our decision to establish operations in Victoria was driven by the state’s strong commitment to renewable energy, sustainability, and innovation. By building our recycling facility in Melbourne, we are creating a local circular economy that recaptures valuable materials from end-of-life solar panels and transforms them into the resources needed for the next generation of clean energy technologies.”</w:t>
      </w:r>
    </w:p>
    <w:p w14:paraId="7A0B015F" w14:textId="77777777" w:rsidR="003B5F16" w:rsidRPr="005A2EBA" w:rsidRDefault="003B5F16">
      <w:pPr>
        <w:pStyle w:val="BodyText"/>
      </w:pPr>
      <w:r w:rsidRPr="005A2EBA">
        <w:t>Anthony Vippond, Chief Executive Officer, Lotus Recycling</w:t>
      </w:r>
    </w:p>
    <w:p w14:paraId="58C50E43" w14:textId="77777777" w:rsidR="003B5F16" w:rsidRPr="005A2EBA" w:rsidRDefault="003B5F16">
      <w:pPr>
        <w:pStyle w:val="Heading1"/>
        <w:pageBreakBefore/>
      </w:pPr>
      <w:bookmarkStart w:id="21" w:name="_Toc243488383"/>
      <w:r w:rsidRPr="005A2EBA">
        <w:lastRenderedPageBreak/>
        <w:t>Research and innovation capabilities</w:t>
      </w:r>
      <w:bookmarkEnd w:id="21"/>
    </w:p>
    <w:p w14:paraId="2C7EBF75" w14:textId="77777777" w:rsidR="003B5F16" w:rsidRPr="005A2EBA" w:rsidRDefault="003B5F16">
      <w:pPr>
        <w:pStyle w:val="Introductoryparagraph"/>
      </w:pPr>
      <w:r w:rsidRPr="005A2EBA">
        <w:t>Victoria has strong research and development capabilities across its universities and has a leading innovation ecosystem.</w:t>
      </w:r>
    </w:p>
    <w:p w14:paraId="1583C1D3" w14:textId="77777777" w:rsidR="003B5F16" w:rsidRPr="005A2EBA" w:rsidRDefault="003B5F16">
      <w:pPr>
        <w:pStyle w:val="Heading2"/>
      </w:pPr>
      <w:r w:rsidRPr="005A2EBA">
        <w:t>World-class research organisations</w:t>
      </w:r>
    </w:p>
    <w:p w14:paraId="7AAF78B7" w14:textId="77777777" w:rsidR="003B5F16" w:rsidRPr="005A2EBA" w:rsidRDefault="003B5F16">
      <w:pPr>
        <w:pStyle w:val="Normalbeforebullets"/>
      </w:pPr>
      <w:r w:rsidRPr="005A2EBA">
        <w:t>Victorian universities and research organisations are delivering cutting-edge innovation across the full spectrum of storage and generation technologies. This includes:</w:t>
      </w:r>
    </w:p>
    <w:p w14:paraId="38B7061B" w14:textId="77777777" w:rsidR="003B5F16" w:rsidRPr="005A2EBA" w:rsidRDefault="003B5F16">
      <w:pPr>
        <w:pStyle w:val="ListBullet"/>
      </w:pPr>
      <w:r w:rsidRPr="005A2EBA">
        <w:t>Deakin University’s Battery Research and Innovation Hub (see below)</w:t>
      </w:r>
    </w:p>
    <w:p w14:paraId="60721CCA" w14:textId="77777777" w:rsidR="003B5F16" w:rsidRPr="005A2EBA" w:rsidRDefault="003B5F16">
      <w:pPr>
        <w:pStyle w:val="ListBullet"/>
      </w:pPr>
      <w:r w:rsidRPr="005A2EBA">
        <w:t xml:space="preserve">Commonwealth Scientific and Industrial Research Organisation (CSIRO). For more information, visit the </w:t>
      </w:r>
      <w:hyperlink r:id="rId45" w:tooltip="Opens the CSIRO web page about its research" w:history="1">
        <w:r w:rsidRPr="005A2EBA">
          <w:rPr>
            <w:rStyle w:val="Hyperlink"/>
          </w:rPr>
          <w:t>CSIRO research page</w:t>
        </w:r>
      </w:hyperlink>
      <w:r w:rsidRPr="005A2EBA">
        <w:t>.</w:t>
      </w:r>
    </w:p>
    <w:p w14:paraId="14C74934" w14:textId="77777777" w:rsidR="003B5F16" w:rsidRPr="005A2EBA" w:rsidRDefault="003B5F16">
      <w:pPr>
        <w:pStyle w:val="ListBullet"/>
      </w:pPr>
      <w:r w:rsidRPr="005A2EBA">
        <w:t xml:space="preserve">RMIT’s Centre for Advanced Materials and Industrial Chemistry (CAMIC). For more information, visit the </w:t>
      </w:r>
      <w:hyperlink r:id="rId46" w:tooltip="Opens the RMIT University web page for the Centre for Advanced Materials and Industrial Chemistry" w:history="1">
        <w:r w:rsidRPr="005A2EBA">
          <w:rPr>
            <w:rStyle w:val="Hyperlink"/>
          </w:rPr>
          <w:t>RMIT CAMIC page</w:t>
        </w:r>
      </w:hyperlink>
      <w:r w:rsidRPr="005A2EBA">
        <w:t>.</w:t>
      </w:r>
    </w:p>
    <w:p w14:paraId="3C4FFEDF" w14:textId="77777777" w:rsidR="003B5F16" w:rsidRPr="005A2EBA" w:rsidRDefault="003B5F16">
      <w:pPr>
        <w:pStyle w:val="ListBullet"/>
      </w:pPr>
      <w:r w:rsidRPr="005A2EBA">
        <w:t xml:space="preserve">The University of Melbourne’s Melbourne Energy Institute. For more information, visit the </w:t>
      </w:r>
      <w:hyperlink r:id="rId47" w:tooltip="Opens the University of Melbourne’s Melbourne Energy Institute website" w:history="1">
        <w:r w:rsidRPr="005A2EBA">
          <w:rPr>
            <w:rStyle w:val="Hyperlink"/>
          </w:rPr>
          <w:t>Melbourne Energy Institute website</w:t>
        </w:r>
      </w:hyperlink>
      <w:r w:rsidRPr="005A2EBA">
        <w:t>.</w:t>
      </w:r>
    </w:p>
    <w:p w14:paraId="63F18694" w14:textId="77777777" w:rsidR="003B5F16" w:rsidRPr="005A2EBA" w:rsidRDefault="003B5F16">
      <w:pPr>
        <w:pStyle w:val="LastBulletinList"/>
      </w:pPr>
      <w:r w:rsidRPr="005A2EBA">
        <w:t xml:space="preserve">Monash University’s Monash Energy Institute. For more information, visit the </w:t>
      </w:r>
      <w:hyperlink r:id="rId48" w:tooltip="Opens the Monash University Monash Energy Institute website" w:history="1">
        <w:r w:rsidRPr="005A2EBA">
          <w:rPr>
            <w:rStyle w:val="Hyperlink"/>
          </w:rPr>
          <w:t>Monash Energy Institute website</w:t>
        </w:r>
      </w:hyperlink>
      <w:r w:rsidRPr="005A2EBA">
        <w:t>.</w:t>
      </w:r>
    </w:p>
    <w:p w14:paraId="43C4C63D" w14:textId="77777777" w:rsidR="003B5F16" w:rsidRPr="005A2EBA" w:rsidRDefault="003B5F16">
      <w:pPr>
        <w:pStyle w:val="Heading2"/>
      </w:pPr>
      <w:r w:rsidRPr="005A2EBA">
        <w:t>Battery Research and Innovation Hub</w:t>
      </w:r>
    </w:p>
    <w:p w14:paraId="6EF5F044" w14:textId="77777777" w:rsidR="003B5F16" w:rsidRPr="005A2EBA" w:rsidRDefault="003B5F16">
      <w:pPr>
        <w:pStyle w:val="BodyText"/>
      </w:pPr>
      <w:r w:rsidRPr="005A2EBA">
        <w:t>The Battery Research and Innovation Hub, managed by the Deakin Institute for Frontier Materials, provides world-class equipment for advanced battery prototyping and the commercialisation of energy storage technologies.</w:t>
      </w:r>
    </w:p>
    <w:p w14:paraId="6C0F664C" w14:textId="77777777" w:rsidR="003B5F16" w:rsidRPr="005A2EBA" w:rsidRDefault="003B5F16">
      <w:pPr>
        <w:pStyle w:val="BodyText"/>
      </w:pPr>
      <w:r w:rsidRPr="005A2EBA">
        <w:t xml:space="preserve">The hub includes a research laboratory for new battery design and </w:t>
      </w:r>
      <w:proofErr w:type="gramStart"/>
      <w:r w:rsidRPr="005A2EBA">
        <w:t>development,</w:t>
      </w:r>
      <w:proofErr w:type="gramEnd"/>
      <w:r w:rsidRPr="005A2EBA">
        <w:t xml:space="preserve"> prototyping and a cell and systems test facility for multiple battery types and sizes.</w:t>
      </w:r>
    </w:p>
    <w:p w14:paraId="25D46CB8" w14:textId="77777777" w:rsidR="003B5F16" w:rsidRPr="005A2EBA" w:rsidRDefault="003B5F16">
      <w:pPr>
        <w:pStyle w:val="BodyText"/>
      </w:pPr>
      <w:r w:rsidRPr="005A2EBA">
        <w:lastRenderedPageBreak/>
        <w:t>Research can be tailored to meet specific industry needs and consumer demands as batteries continue to evolve from small personal use items to powering our modes of transport and electricity supply.</w:t>
      </w:r>
    </w:p>
    <w:p w14:paraId="615B931A" w14:textId="77777777" w:rsidR="003B5F16" w:rsidRPr="005A2EBA" w:rsidRDefault="003B5F16">
      <w:pPr>
        <w:pStyle w:val="BodyText"/>
      </w:pPr>
      <w:r w:rsidRPr="005A2EBA">
        <w:t xml:space="preserve">For more information, visit the </w:t>
      </w:r>
      <w:hyperlink r:id="rId49" w:tooltip="Opens the Deakin University Battery Research and Innovation Hub website" w:history="1">
        <w:r w:rsidRPr="005A2EBA">
          <w:rPr>
            <w:rStyle w:val="Hyperlink"/>
          </w:rPr>
          <w:t>Battery Research and Innovation Hub website</w:t>
        </w:r>
      </w:hyperlink>
      <w:r w:rsidRPr="005A2EBA">
        <w:t>.</w:t>
      </w:r>
    </w:p>
    <w:p w14:paraId="1127387F" w14:textId="77777777" w:rsidR="003B5F16" w:rsidRPr="005A2EBA" w:rsidRDefault="003B5F16">
      <w:pPr>
        <w:pStyle w:val="Heading2"/>
      </w:pPr>
      <w:r w:rsidRPr="005A2EBA">
        <w:t>Case study: Solstice AI</w:t>
      </w:r>
    </w:p>
    <w:p w14:paraId="28AF10C4" w14:textId="77777777" w:rsidR="003B5F16" w:rsidRPr="005A2EBA" w:rsidRDefault="003B5F16">
      <w:pPr>
        <w:pStyle w:val="BodyText"/>
      </w:pPr>
      <w:r w:rsidRPr="005A2EBA">
        <w:t>Solstice AI provides the intelligence layer for energy systems increasingly affected by variable solar energy. By applying artificial intelligence to satellite imagery, Solstice AI forecasts cloud movement and solar generation with high accuracy, helping solar farms, virtual power plants, energy traders, and network operators manage increasingly volatile energy systems.</w:t>
      </w:r>
    </w:p>
    <w:p w14:paraId="5F23049F" w14:textId="77777777" w:rsidR="003B5F16" w:rsidRPr="005A2EBA" w:rsidRDefault="003B5F16">
      <w:pPr>
        <w:pStyle w:val="BodyText"/>
      </w:pPr>
      <w:r w:rsidRPr="005A2EBA">
        <w:t xml:space="preserve">Founded in Melbourne in 2022, Solstice AI leveraged technology originally developed in PhD research at the University of Melbourne. With additional support from </w:t>
      </w:r>
      <w:proofErr w:type="spellStart"/>
      <w:r w:rsidRPr="005A2EBA">
        <w:t>LaunchVic</w:t>
      </w:r>
      <w:proofErr w:type="spellEnd"/>
      <w:r w:rsidRPr="005A2EBA">
        <w:t xml:space="preserve">, the University of Melbourne’s MAP startup accelerator, and Australia’s </w:t>
      </w:r>
      <w:proofErr w:type="spellStart"/>
      <w:r w:rsidRPr="005A2EBA">
        <w:t>EnergyLab</w:t>
      </w:r>
      <w:proofErr w:type="spellEnd"/>
      <w:r w:rsidRPr="005A2EBA">
        <w:t xml:space="preserve"> startup accelerator, the company has grown from an early-stage forecasting concept into a commercial energy technology business working with industry partners across Australia and overseas.</w:t>
      </w:r>
    </w:p>
    <w:p w14:paraId="5D75244C" w14:textId="77777777" w:rsidR="003B5F16" w:rsidRPr="005A2EBA" w:rsidRDefault="003B5F16">
      <w:pPr>
        <w:pStyle w:val="BodyText"/>
      </w:pPr>
      <w:r w:rsidRPr="005A2EBA">
        <w:t xml:space="preserve">For more information, visit the </w:t>
      </w:r>
      <w:hyperlink r:id="rId50" w:tooltip="Opens the Solstice AI website" w:history="1">
        <w:r w:rsidRPr="005A2EBA">
          <w:rPr>
            <w:rStyle w:val="Hyperlink"/>
          </w:rPr>
          <w:t>Solstice AI website</w:t>
        </w:r>
      </w:hyperlink>
      <w:r w:rsidRPr="005A2EBA">
        <w:t>.</w:t>
      </w:r>
    </w:p>
    <w:p w14:paraId="71FE5DF5" w14:textId="77777777" w:rsidR="003B5F16" w:rsidRPr="005A2EBA" w:rsidRDefault="003B5F16">
      <w:pPr>
        <w:pStyle w:val="Quote"/>
      </w:pPr>
      <w:r w:rsidRPr="005A2EBA">
        <w:t>“Melbourne has been the ideal place to launch our company — combining world-leading solar and battery adoption with world-class research and a vibrant, supportive startup ecosystem.”</w:t>
      </w:r>
    </w:p>
    <w:p w14:paraId="466784DA" w14:textId="77777777" w:rsidR="003B5F16" w:rsidRPr="005A2EBA" w:rsidRDefault="003B5F16">
      <w:pPr>
        <w:pStyle w:val="BodyText"/>
      </w:pPr>
      <w:r w:rsidRPr="005A2EBA">
        <w:t>Dr Julian de Hoog, Co-founder and Chief Executive Officer, Solstice AI</w:t>
      </w:r>
    </w:p>
    <w:p w14:paraId="0C607AFC" w14:textId="77777777" w:rsidR="003B5F16" w:rsidRPr="005A2EBA" w:rsidRDefault="003B5F16">
      <w:pPr>
        <w:pStyle w:val="Heading2"/>
      </w:pPr>
      <w:r w:rsidRPr="005A2EBA">
        <w:lastRenderedPageBreak/>
        <w:t>Fast-growing startup ecosystem</w:t>
      </w:r>
    </w:p>
    <w:p w14:paraId="6C5ADC94" w14:textId="77777777" w:rsidR="003B5F16" w:rsidRPr="005A2EBA" w:rsidRDefault="003B5F16">
      <w:pPr>
        <w:pStyle w:val="BodyText"/>
      </w:pPr>
      <w:r w:rsidRPr="005A2EBA">
        <w:t>Victoria’s startup ecosystem (including startups, scaleups and unicorns) is valued at $143 billion. It is one of the world’s fastest growing ecosystems, home to more than 4,300 start-ups.</w:t>
      </w:r>
      <w:r w:rsidRPr="005A2EBA">
        <w:rPr>
          <w:rStyle w:val="FootnoteReference"/>
        </w:rPr>
        <w:footnoteReference w:id="24"/>
      </w:r>
    </w:p>
    <w:p w14:paraId="6D1370A6" w14:textId="77777777" w:rsidR="003B5F16" w:rsidRPr="005A2EBA" w:rsidRDefault="003B5F16">
      <w:pPr>
        <w:pStyle w:val="Heading1"/>
        <w:pageBreakBefore/>
      </w:pPr>
      <w:bookmarkStart w:id="22" w:name="_Toc243488384"/>
      <w:r w:rsidRPr="005A2EBA">
        <w:lastRenderedPageBreak/>
        <w:t>Access to Victoria’s world-class renewable energy talent</w:t>
      </w:r>
      <w:bookmarkEnd w:id="22"/>
    </w:p>
    <w:p w14:paraId="74AD7D80" w14:textId="77777777" w:rsidR="003B5F16" w:rsidRPr="005A2EBA" w:rsidRDefault="003B5F16">
      <w:pPr>
        <w:pStyle w:val="Introductoryparagraph"/>
      </w:pPr>
      <w:r w:rsidRPr="005A2EBA">
        <w:t>Our growing, highly skilled workforce drives project delivery and fosters industry growth.</w:t>
      </w:r>
    </w:p>
    <w:p w14:paraId="3EB47B9B" w14:textId="77777777" w:rsidR="003B5F16" w:rsidRPr="005A2EBA" w:rsidRDefault="003B5F16">
      <w:pPr>
        <w:pStyle w:val="Normalbeforebullets"/>
      </w:pPr>
      <w:r w:rsidRPr="005A2EBA">
        <w:t>To meet the needs of the sector, our energy workforce is predicted to grow by 53% to 68,000 between 2026 and 2040.</w:t>
      </w:r>
      <w:r w:rsidRPr="005A2EBA">
        <w:rPr>
          <w:rStyle w:val="FootnoteReference"/>
        </w:rPr>
        <w:footnoteReference w:id="25"/>
      </w:r>
      <w:r w:rsidRPr="005A2EBA">
        <w:t xml:space="preserve"> The Victorian Government has committed to significant new skills and workforce initiatives to ensure the workforce is available when and where it’s needed, including:</w:t>
      </w:r>
    </w:p>
    <w:p w14:paraId="2CF6B690" w14:textId="77777777" w:rsidR="003B5F16" w:rsidRPr="005A2EBA" w:rsidRDefault="003B5F16">
      <w:pPr>
        <w:pStyle w:val="ListBullet"/>
      </w:pPr>
      <w:r w:rsidRPr="005A2EBA">
        <w:t>investing $5 million in Solar Victoria’s Electrification Skills Program</w:t>
      </w:r>
    </w:p>
    <w:p w14:paraId="0FC67035" w14:textId="77777777" w:rsidR="003B5F16" w:rsidRPr="005A2EBA" w:rsidRDefault="003B5F16">
      <w:pPr>
        <w:pStyle w:val="ListBullet"/>
      </w:pPr>
      <w:r w:rsidRPr="005A2EBA">
        <w:t>investing $25 million toward the $50 million Victorian Renewable Energy technical and further education (TAFE) Centre of Excellence</w:t>
      </w:r>
    </w:p>
    <w:p w14:paraId="4ACB5614" w14:textId="77777777" w:rsidR="003B5F16" w:rsidRPr="005A2EBA" w:rsidRDefault="003B5F16">
      <w:pPr>
        <w:pStyle w:val="ListBullet"/>
      </w:pPr>
      <w:r w:rsidRPr="005A2EBA">
        <w:t>releasing regular energy workforce data to support informed decision-making and boost investor confidence</w:t>
      </w:r>
    </w:p>
    <w:p w14:paraId="75B21946" w14:textId="77777777" w:rsidR="003B5F16" w:rsidRPr="005A2EBA" w:rsidRDefault="003B5F16">
      <w:pPr>
        <w:pStyle w:val="ListBullet"/>
      </w:pPr>
      <w:r w:rsidRPr="005A2EBA">
        <w:t>developing new energy training pathways through the $7 million for new vocational education and training (VET) certificates in renewable energy projects</w:t>
      </w:r>
    </w:p>
    <w:p w14:paraId="4C8094BB" w14:textId="77777777" w:rsidR="003B5F16" w:rsidRPr="005A2EBA" w:rsidRDefault="003B5F16">
      <w:pPr>
        <w:pStyle w:val="ListBullet"/>
      </w:pPr>
      <w:r w:rsidRPr="005A2EBA">
        <w:t>simplifying pathways for skilled workers to move to Victoria through improved qualification recognition and Victoria’s Skilled Migration Visa Nomination Program</w:t>
      </w:r>
    </w:p>
    <w:p w14:paraId="7BD69EF9" w14:textId="77777777" w:rsidR="003B5F16" w:rsidRPr="005A2EBA" w:rsidRDefault="003B5F16">
      <w:pPr>
        <w:pStyle w:val="LastBulletinList"/>
      </w:pPr>
      <w:r w:rsidRPr="005A2EBA">
        <w:t>investing $10 million toward the $40 million National Training Centre in New Energy Skills.</w:t>
      </w:r>
    </w:p>
    <w:p w14:paraId="739DBCE0" w14:textId="77777777" w:rsidR="003B5F16" w:rsidRPr="005A2EBA" w:rsidRDefault="003B5F16">
      <w:pPr>
        <w:pStyle w:val="Heading2"/>
      </w:pPr>
      <w:r w:rsidRPr="005A2EBA">
        <w:lastRenderedPageBreak/>
        <w:t>Victorian Energy Jobs Plan</w:t>
      </w:r>
    </w:p>
    <w:p w14:paraId="0563D856" w14:textId="77777777" w:rsidR="003B5F16" w:rsidRPr="005A2EBA" w:rsidRDefault="003B5F16">
      <w:pPr>
        <w:pStyle w:val="BodyText"/>
      </w:pPr>
      <w:r w:rsidRPr="005A2EBA">
        <w:t>The Victorian Energy Jobs Plan provides a framework for developing the robust, future-ready energy workforce needed to deliver the transition and strengthen investment confidence.</w:t>
      </w:r>
    </w:p>
    <w:p w14:paraId="626F1190" w14:textId="77777777" w:rsidR="003B5F16" w:rsidRPr="005A2EBA" w:rsidRDefault="003B5F16">
      <w:pPr>
        <w:pStyle w:val="BodyText"/>
      </w:pPr>
      <w:r w:rsidRPr="005A2EBA">
        <w:t xml:space="preserve">For more information, visit the </w:t>
      </w:r>
      <w:hyperlink r:id="rId51" w:tooltip="Opens the Victorian Government energy website page about the Victorian Energy Jobs Plan" w:history="1">
        <w:r w:rsidRPr="005A2EBA">
          <w:rPr>
            <w:rStyle w:val="Hyperlink"/>
          </w:rPr>
          <w:t>Victorian Energy Jobs Plan page</w:t>
        </w:r>
      </w:hyperlink>
      <w:r w:rsidRPr="005A2EBA">
        <w:t>.</w:t>
      </w:r>
    </w:p>
    <w:p w14:paraId="5A01B59A" w14:textId="77777777" w:rsidR="003B5F16" w:rsidRPr="005A2EBA" w:rsidRDefault="003B5F16">
      <w:pPr>
        <w:pStyle w:val="Heading2"/>
      </w:pPr>
      <w:r w:rsidRPr="005A2EBA">
        <w:t>Sparking Change: The Women in Energy Strategy</w:t>
      </w:r>
    </w:p>
    <w:p w14:paraId="0EA0AB31" w14:textId="77777777" w:rsidR="003B5F16" w:rsidRPr="005A2EBA" w:rsidRDefault="003B5F16">
      <w:pPr>
        <w:pStyle w:val="BodyText"/>
      </w:pPr>
      <w:r w:rsidRPr="005A2EBA">
        <w:t>The Women in Energy Strategy recognises that attracting and retaining more women in the renewable energy workforce provides significant benefit to this growing sector. It aims to drive significant change for women in energy through Victoria’s energy transition.</w:t>
      </w:r>
    </w:p>
    <w:p w14:paraId="44D42CE6" w14:textId="77777777" w:rsidR="003B5F16" w:rsidRPr="005A2EBA" w:rsidRDefault="003B5F16">
      <w:pPr>
        <w:pStyle w:val="BodyText"/>
      </w:pPr>
      <w:r w:rsidRPr="005A2EBA">
        <w:t xml:space="preserve">For more information, visit the </w:t>
      </w:r>
      <w:hyperlink r:id="rId52" w:tooltip="Opens the Victorian Government energy website page about Sparking Change: The Women in Energy Strategy" w:history="1">
        <w:r w:rsidRPr="005A2EBA">
          <w:rPr>
            <w:rStyle w:val="Hyperlink"/>
          </w:rPr>
          <w:t>Women in Energy Strategy page</w:t>
        </w:r>
      </w:hyperlink>
      <w:r w:rsidRPr="005A2EBA">
        <w:t>.</w:t>
      </w:r>
    </w:p>
    <w:p w14:paraId="00375D84" w14:textId="77777777" w:rsidR="003B5F16" w:rsidRPr="005A2EBA" w:rsidRDefault="003B5F16">
      <w:pPr>
        <w:pStyle w:val="Heading1"/>
        <w:pageBreakBefore/>
      </w:pPr>
      <w:bookmarkStart w:id="23" w:name="_Toc243488385"/>
      <w:r w:rsidRPr="005A2EBA">
        <w:lastRenderedPageBreak/>
        <w:t>A clear pathway to partner with First Peoples</w:t>
      </w:r>
      <w:bookmarkEnd w:id="23"/>
    </w:p>
    <w:p w14:paraId="0539A3CC" w14:textId="77777777" w:rsidR="003B5F16" w:rsidRPr="005A2EBA" w:rsidRDefault="003B5F16">
      <w:pPr>
        <w:pStyle w:val="Heading2"/>
      </w:pPr>
      <w:r w:rsidRPr="005A2EBA">
        <w:t>Victorian Traditional Owners are actively involved in the energy transition</w:t>
      </w:r>
    </w:p>
    <w:p w14:paraId="0F4D7E16" w14:textId="77777777" w:rsidR="003B5F16" w:rsidRPr="005A2EBA" w:rsidRDefault="003B5F16">
      <w:pPr>
        <w:pStyle w:val="BodyText"/>
      </w:pPr>
      <w:r w:rsidRPr="005A2EBA">
        <w:t>Investments have been made in developing frameworks and localised plans for the energy transition to create clear pathways for development in Victoria.</w:t>
      </w:r>
    </w:p>
    <w:p w14:paraId="2AEAD594" w14:textId="77777777" w:rsidR="003B5F16" w:rsidRPr="005A2EBA" w:rsidRDefault="003B5F16">
      <w:pPr>
        <w:pStyle w:val="BodyText"/>
      </w:pPr>
      <w:r w:rsidRPr="005A2EBA">
        <w:t>Traditional Owner Corporations have clearly defined strategies and processes for partnering to achieve best development outcomes in Victoria.</w:t>
      </w:r>
    </w:p>
    <w:p w14:paraId="0E106277" w14:textId="77777777" w:rsidR="003B5F16" w:rsidRPr="005A2EBA" w:rsidRDefault="003B5F16">
      <w:pPr>
        <w:pStyle w:val="Heading2"/>
      </w:pPr>
      <w:r w:rsidRPr="005A2EBA">
        <w:t>Access to specialist support</w:t>
      </w:r>
    </w:p>
    <w:p w14:paraId="259E1E96" w14:textId="77777777" w:rsidR="003B5F16" w:rsidRPr="005A2EBA" w:rsidRDefault="003B5F16">
      <w:pPr>
        <w:pStyle w:val="Normalbeforebullets"/>
      </w:pPr>
      <w:r w:rsidRPr="005A2EBA">
        <w:t>DEECA has invested in dedicated First Peoples energy specialists who can help developers and investors:</w:t>
      </w:r>
    </w:p>
    <w:p w14:paraId="3E08328A" w14:textId="77777777" w:rsidR="003B5F16" w:rsidRPr="005A2EBA" w:rsidRDefault="003B5F16">
      <w:pPr>
        <w:pStyle w:val="ListBullet"/>
      </w:pPr>
      <w:r w:rsidRPr="005A2EBA">
        <w:t>understand Traditional Owner priorities and aspirations</w:t>
      </w:r>
    </w:p>
    <w:p w14:paraId="5B87AE00" w14:textId="77777777" w:rsidR="003B5F16" w:rsidRPr="005A2EBA" w:rsidRDefault="003B5F16">
      <w:pPr>
        <w:pStyle w:val="ListBullet"/>
      </w:pPr>
      <w:r w:rsidRPr="005A2EBA">
        <w:t>navigate engagement and partnership processes</w:t>
      </w:r>
    </w:p>
    <w:p w14:paraId="7F2B15FB" w14:textId="77777777" w:rsidR="003B5F16" w:rsidRPr="005A2EBA" w:rsidRDefault="003B5F16">
      <w:pPr>
        <w:pStyle w:val="LastBulletinList"/>
      </w:pPr>
      <w:r w:rsidRPr="005A2EBA">
        <w:t>build strong, long-term relationships that support project success.</w:t>
      </w:r>
    </w:p>
    <w:p w14:paraId="32F7322C" w14:textId="77777777" w:rsidR="003B5F16" w:rsidRPr="005A2EBA" w:rsidRDefault="003B5F16">
      <w:pPr>
        <w:pStyle w:val="BodyText"/>
      </w:pPr>
      <w:r w:rsidRPr="005A2EBA">
        <w:t xml:space="preserve">For more information, visit the </w:t>
      </w:r>
      <w:hyperlink r:id="rId53" w:tooltip="Opens the Victorian Government energy website page about First Peoples and energy" w:history="1">
        <w:r w:rsidRPr="005A2EBA">
          <w:rPr>
            <w:rStyle w:val="Hyperlink"/>
          </w:rPr>
          <w:t>First Peoples energy page</w:t>
        </w:r>
      </w:hyperlink>
      <w:r w:rsidRPr="005A2EBA">
        <w:t>.</w:t>
      </w:r>
    </w:p>
    <w:p w14:paraId="504CA2B7" w14:textId="77777777" w:rsidR="003B5F16" w:rsidRPr="005A2EBA" w:rsidRDefault="003B5F16">
      <w:pPr>
        <w:pStyle w:val="Heading2"/>
      </w:pPr>
      <w:r w:rsidRPr="005A2EBA">
        <w:t>Clear guidance from Traditional Owners</w:t>
      </w:r>
    </w:p>
    <w:p w14:paraId="270B336E" w14:textId="77777777" w:rsidR="003B5F16" w:rsidRPr="005A2EBA" w:rsidRDefault="003B5F16">
      <w:pPr>
        <w:pStyle w:val="Normalbeforebullets"/>
      </w:pPr>
      <w:r w:rsidRPr="005A2EBA">
        <w:t>Many Traditional Owner Corporations have published guidance and planning documents that help proponents:</w:t>
      </w:r>
    </w:p>
    <w:p w14:paraId="73C0BA7B" w14:textId="77777777" w:rsidR="003B5F16" w:rsidRPr="005A2EBA" w:rsidRDefault="003B5F16">
      <w:pPr>
        <w:pStyle w:val="ListBullet"/>
      </w:pPr>
      <w:r w:rsidRPr="005A2EBA">
        <w:t>identify community priorities and aspirations</w:t>
      </w:r>
    </w:p>
    <w:p w14:paraId="43BEF160" w14:textId="77777777" w:rsidR="003B5F16" w:rsidRPr="005A2EBA" w:rsidRDefault="003B5F16">
      <w:pPr>
        <w:pStyle w:val="ListBullet"/>
      </w:pPr>
      <w:r w:rsidRPr="005A2EBA">
        <w:t>understand preferred engagement and partnership models</w:t>
      </w:r>
    </w:p>
    <w:p w14:paraId="0F3ED0E9" w14:textId="77777777" w:rsidR="003B5F16" w:rsidRPr="005A2EBA" w:rsidRDefault="003B5F16">
      <w:pPr>
        <w:pStyle w:val="LastBulletinList"/>
      </w:pPr>
      <w:r w:rsidRPr="005A2EBA">
        <w:t>align projects with local economic, social and cultural outcomes.</w:t>
      </w:r>
    </w:p>
    <w:p w14:paraId="77E136BC" w14:textId="77777777" w:rsidR="003B5F16" w:rsidRPr="005A2EBA" w:rsidRDefault="003B5F16">
      <w:pPr>
        <w:pStyle w:val="Heading2"/>
      </w:pPr>
      <w:r w:rsidRPr="005A2EBA">
        <w:lastRenderedPageBreak/>
        <w:t>Strong government policy and guidance</w:t>
      </w:r>
    </w:p>
    <w:p w14:paraId="15FDBE10" w14:textId="77777777" w:rsidR="003B5F16" w:rsidRPr="005A2EBA" w:rsidRDefault="003B5F16">
      <w:pPr>
        <w:pStyle w:val="BodyText"/>
      </w:pPr>
      <w:r w:rsidRPr="005A2EBA">
        <w:t>Victoria has established strategic policies and guidance to support collaboration with First Peoples throughout the renewable energy development lifecycle, reducing uncertainty and creating stronger foundations for project development, investment confidence and long-term social value.</w:t>
      </w:r>
    </w:p>
    <w:p w14:paraId="427137B7" w14:textId="77777777" w:rsidR="003B5F16" w:rsidRPr="005A2EBA" w:rsidRDefault="003B5F16">
      <w:pPr>
        <w:pStyle w:val="Heading3"/>
      </w:pPr>
      <w:r w:rsidRPr="005A2EBA">
        <w:t>First Peoples Renewable Energy Strategic Plan</w:t>
      </w:r>
    </w:p>
    <w:p w14:paraId="0C734166" w14:textId="77777777" w:rsidR="003B5F16" w:rsidRPr="005A2EBA" w:rsidRDefault="003B5F16">
      <w:pPr>
        <w:pStyle w:val="BodyText"/>
      </w:pPr>
      <w:r w:rsidRPr="005A2EBA">
        <w:t>Identifies First Peoples priorities and desired outcomes within Victoria’s renewable transition.</w:t>
      </w:r>
    </w:p>
    <w:p w14:paraId="3CA09855" w14:textId="77777777" w:rsidR="003B5F16" w:rsidRPr="005A2EBA" w:rsidRDefault="003B5F16">
      <w:pPr>
        <w:pStyle w:val="BodyText"/>
      </w:pPr>
      <w:r w:rsidRPr="005A2EBA">
        <w:t xml:space="preserve">For more information, visit the </w:t>
      </w:r>
      <w:hyperlink r:id="rId54" w:tooltip="Opens the Victorian Government energy website page with First Peoples energy resources, including the First Peoples Renewable Energy Strategic Plan" w:history="1">
        <w:r w:rsidRPr="005A2EBA">
          <w:rPr>
            <w:rStyle w:val="Hyperlink"/>
          </w:rPr>
          <w:t>First Peoples resources page</w:t>
        </w:r>
      </w:hyperlink>
      <w:r w:rsidRPr="005A2EBA">
        <w:t>.</w:t>
      </w:r>
    </w:p>
    <w:p w14:paraId="7800CA25" w14:textId="77777777" w:rsidR="003B5F16" w:rsidRPr="005A2EBA" w:rsidRDefault="003B5F16">
      <w:pPr>
        <w:pStyle w:val="Heading3"/>
      </w:pPr>
      <w:r w:rsidRPr="005A2EBA">
        <w:t>Community Engagement and Social Value Guidelines</w:t>
      </w:r>
    </w:p>
    <w:p w14:paraId="5157E267" w14:textId="77777777" w:rsidR="003B5F16" w:rsidRPr="005A2EBA" w:rsidRDefault="003B5F16">
      <w:pPr>
        <w:pStyle w:val="BodyText"/>
      </w:pPr>
      <w:r w:rsidRPr="005A2EBA">
        <w:t>Clear guidance on engagement pathways and creating social value in renewable development.</w:t>
      </w:r>
    </w:p>
    <w:p w14:paraId="33957817" w14:textId="77777777" w:rsidR="003B5F16" w:rsidRPr="005A2EBA" w:rsidRDefault="003B5F16">
      <w:pPr>
        <w:pStyle w:val="BodyText"/>
      </w:pPr>
      <w:r w:rsidRPr="005A2EBA">
        <w:t xml:space="preserve">For more information, visit the </w:t>
      </w:r>
      <w:hyperlink r:id="rId55" w:tooltip="Opens the VicGrid news story about driving better community engagement and benefits from renewable energy projects" w:history="1">
        <w:r w:rsidRPr="005A2EBA">
          <w:rPr>
            <w:rStyle w:val="Hyperlink"/>
          </w:rPr>
          <w:t>VicGrid news story about driving better community engagement and benefits from renewable energy projects</w:t>
        </w:r>
      </w:hyperlink>
      <w:r w:rsidRPr="005A2EBA">
        <w:t>.</w:t>
      </w:r>
    </w:p>
    <w:p w14:paraId="16B2F93B" w14:textId="77777777" w:rsidR="003B5F16" w:rsidRPr="005A2EBA" w:rsidRDefault="003B5F16">
      <w:pPr>
        <w:pStyle w:val="Heading1"/>
        <w:pageBreakBefore/>
      </w:pPr>
      <w:bookmarkStart w:id="24" w:name="_Toc243488386"/>
      <w:r w:rsidRPr="005A2EBA">
        <w:lastRenderedPageBreak/>
        <w:t>Key Victorian Government entities</w:t>
      </w:r>
      <w:bookmarkEnd w:id="24"/>
    </w:p>
    <w:p w14:paraId="391C334D" w14:textId="77777777" w:rsidR="003B5F16" w:rsidRPr="005A2EBA" w:rsidRDefault="003B5F16">
      <w:pPr>
        <w:pStyle w:val="Introductoryparagraph"/>
      </w:pPr>
      <w:r w:rsidRPr="005A2EBA">
        <w:t>We can help facilitate connections with key Victorian Government entities and industry members across our renewable energy sector.</w:t>
      </w:r>
    </w:p>
    <w:p w14:paraId="09E8D443" w14:textId="77777777" w:rsidR="003B5F16" w:rsidRPr="005A2EBA" w:rsidRDefault="003B5F16">
      <w:pPr>
        <w:pStyle w:val="Heading2"/>
      </w:pPr>
      <w:r w:rsidRPr="005A2EBA">
        <w:t>Department of Energy, Environment and Climate Action (DEECA)</w:t>
      </w:r>
    </w:p>
    <w:p w14:paraId="4423C629" w14:textId="77777777" w:rsidR="003B5F16" w:rsidRPr="005A2EBA" w:rsidRDefault="003B5F16">
      <w:pPr>
        <w:pStyle w:val="BodyText"/>
      </w:pPr>
      <w:r w:rsidRPr="005A2EBA">
        <w:t>DEECA works with industry and the community to develop Victoria’s secure and sustainable energy future.</w:t>
      </w:r>
    </w:p>
    <w:p w14:paraId="2B75F919" w14:textId="77777777" w:rsidR="003B5F16" w:rsidRPr="005A2EBA" w:rsidRDefault="003B5F16">
      <w:pPr>
        <w:pStyle w:val="BodyText"/>
      </w:pPr>
      <w:r w:rsidRPr="005A2EBA">
        <w:t xml:space="preserve">For information on Victoria’s energy policy landscape and facilitated connections across the Victorian Government and renewable energy sector, contact the Business and Industry Engagement team at: </w:t>
      </w:r>
      <w:hyperlink r:id="rId56" w:tooltip="Send an email to the DEECA Business and Industry Engagement team" w:history="1">
        <w:r w:rsidRPr="005A2EBA">
          <w:rPr>
            <w:rStyle w:val="Hyperlink"/>
          </w:rPr>
          <w:t>BIE@deeca.vic.gov.au</w:t>
        </w:r>
      </w:hyperlink>
    </w:p>
    <w:p w14:paraId="67E204A1" w14:textId="77777777" w:rsidR="003B5F16" w:rsidRPr="005A2EBA" w:rsidRDefault="003B5F16">
      <w:pPr>
        <w:pStyle w:val="BodyText"/>
      </w:pPr>
      <w:r w:rsidRPr="005A2EBA">
        <w:t xml:space="preserve">For more information, visit the </w:t>
      </w:r>
      <w:hyperlink r:id="rId57" w:tooltip="Opens the Victorian Government energy website page about renewable energy investment opportunities" w:history="1">
        <w:r w:rsidRPr="005A2EBA">
          <w:rPr>
            <w:rStyle w:val="Hyperlink"/>
          </w:rPr>
          <w:t>renewable energy investment opportunities page</w:t>
        </w:r>
      </w:hyperlink>
      <w:r w:rsidRPr="005A2EBA">
        <w:t>.</w:t>
      </w:r>
    </w:p>
    <w:p w14:paraId="64D87871" w14:textId="77777777" w:rsidR="003B5F16" w:rsidRPr="005A2EBA" w:rsidRDefault="003B5F16">
      <w:pPr>
        <w:pStyle w:val="Heading2"/>
      </w:pPr>
      <w:r w:rsidRPr="005A2EBA">
        <w:t>Offshore Wind Energy Victoria</w:t>
      </w:r>
    </w:p>
    <w:p w14:paraId="5F916CBA" w14:textId="77777777" w:rsidR="003B5F16" w:rsidRPr="005A2EBA" w:rsidRDefault="003B5F16">
      <w:pPr>
        <w:pStyle w:val="BodyText"/>
      </w:pPr>
      <w:r w:rsidRPr="005A2EBA">
        <w:t>Offshore Wind Energy Victoria (OWEV) has been established as the single point of entry for industry and community engagement on offshore wind.</w:t>
      </w:r>
    </w:p>
    <w:p w14:paraId="69050810" w14:textId="77777777" w:rsidR="003B5F16" w:rsidRPr="005A2EBA" w:rsidRDefault="003B5F16">
      <w:pPr>
        <w:pStyle w:val="BodyText"/>
      </w:pPr>
      <w:r w:rsidRPr="005A2EBA">
        <w:t xml:space="preserve">For more information, visit the </w:t>
      </w:r>
      <w:hyperlink r:id="rId58" w:tooltip="Opens the Victorian Government energy website page for Offshore Wind Energy Victoria" w:history="1">
        <w:r w:rsidRPr="005A2EBA">
          <w:rPr>
            <w:rStyle w:val="Hyperlink"/>
          </w:rPr>
          <w:t>Offshore Wind Energy Victoria page</w:t>
        </w:r>
      </w:hyperlink>
      <w:r w:rsidRPr="005A2EBA">
        <w:t>.</w:t>
      </w:r>
    </w:p>
    <w:p w14:paraId="01134E9E" w14:textId="77777777" w:rsidR="003B5F16" w:rsidRPr="005A2EBA" w:rsidRDefault="003B5F16">
      <w:pPr>
        <w:pStyle w:val="Heading2"/>
      </w:pPr>
      <w:r w:rsidRPr="005A2EBA">
        <w:t>Solar Victoria</w:t>
      </w:r>
    </w:p>
    <w:p w14:paraId="5CBBC017" w14:textId="77777777" w:rsidR="003B5F16" w:rsidRPr="005A2EBA" w:rsidRDefault="003B5F16">
      <w:pPr>
        <w:pStyle w:val="BodyText"/>
      </w:pPr>
      <w:r w:rsidRPr="005A2EBA">
        <w:t>Solar Victoria is responsible for the delivery of the Victorian Government’s $1.3 billion Solar Homes Program – one of the most ambitious and transformative renewable energy programs in Australia.</w:t>
      </w:r>
    </w:p>
    <w:p w14:paraId="29C51125" w14:textId="77777777" w:rsidR="003B5F16" w:rsidRPr="005A2EBA" w:rsidRDefault="003B5F16">
      <w:pPr>
        <w:pStyle w:val="BodyText"/>
      </w:pPr>
      <w:r w:rsidRPr="005A2EBA">
        <w:t xml:space="preserve">For more information, visit the </w:t>
      </w:r>
      <w:hyperlink r:id="rId59" w:tooltip="Opens the Solar Victoria website" w:history="1">
        <w:r w:rsidRPr="005A2EBA">
          <w:rPr>
            <w:rStyle w:val="Hyperlink"/>
          </w:rPr>
          <w:t>Solar Victoria website</w:t>
        </w:r>
      </w:hyperlink>
      <w:r w:rsidRPr="005A2EBA">
        <w:t>.</w:t>
      </w:r>
    </w:p>
    <w:p w14:paraId="082F6EC5" w14:textId="77777777" w:rsidR="003B5F16" w:rsidRPr="005A2EBA" w:rsidRDefault="003B5F16">
      <w:pPr>
        <w:pStyle w:val="Heading2"/>
      </w:pPr>
      <w:r w:rsidRPr="005A2EBA">
        <w:lastRenderedPageBreak/>
        <w:t>VicGrid</w:t>
      </w:r>
    </w:p>
    <w:p w14:paraId="1EB92322" w14:textId="77777777" w:rsidR="003B5F16" w:rsidRPr="005A2EBA" w:rsidRDefault="003B5F16">
      <w:pPr>
        <w:pStyle w:val="BodyText"/>
      </w:pPr>
      <w:r w:rsidRPr="005A2EBA">
        <w:t>VicGrid coordinates the planning and development of Victorian Renewable Energy Zones (REZs). It is also investing $480 million that will be used to strengthen the grid and develop each REZ.</w:t>
      </w:r>
    </w:p>
    <w:p w14:paraId="3F857F3B" w14:textId="77777777" w:rsidR="003B5F16" w:rsidRPr="005A2EBA" w:rsidRDefault="003B5F16">
      <w:pPr>
        <w:pStyle w:val="BodyText"/>
      </w:pPr>
      <w:r w:rsidRPr="005A2EBA">
        <w:t xml:space="preserve">For more information, visit the </w:t>
      </w:r>
      <w:hyperlink r:id="rId60" w:tooltip="Opens the Victorian Government energy website page about Victoria’s renewable energy zones" w:history="1">
        <w:r w:rsidRPr="005A2EBA">
          <w:rPr>
            <w:rStyle w:val="Hyperlink"/>
          </w:rPr>
          <w:t>renewable energy zones page</w:t>
        </w:r>
      </w:hyperlink>
      <w:r w:rsidRPr="005A2EBA">
        <w:t>.</w:t>
      </w:r>
    </w:p>
    <w:p w14:paraId="7F6ED6E4" w14:textId="77777777" w:rsidR="003B5F16" w:rsidRPr="005A2EBA" w:rsidRDefault="003B5F16">
      <w:pPr>
        <w:pStyle w:val="Heading2"/>
      </w:pPr>
      <w:r w:rsidRPr="005A2EBA">
        <w:t>Invest Victoria</w:t>
      </w:r>
    </w:p>
    <w:p w14:paraId="5A36EE93" w14:textId="77777777" w:rsidR="003B5F16" w:rsidRPr="005A2EBA" w:rsidRDefault="003B5F16">
      <w:pPr>
        <w:pStyle w:val="Normalbeforebullets"/>
      </w:pPr>
      <w:r w:rsidRPr="005A2EBA">
        <w:t>Invest Victoria is the Victorian Government’s investment attraction agency. Services include:</w:t>
      </w:r>
    </w:p>
    <w:p w14:paraId="086B6016" w14:textId="77777777" w:rsidR="003B5F16" w:rsidRPr="005A2EBA" w:rsidRDefault="003B5F16">
      <w:pPr>
        <w:pStyle w:val="ListBullet"/>
      </w:pPr>
      <w:r w:rsidRPr="005A2EBA">
        <w:t>market regulatory information</w:t>
      </w:r>
    </w:p>
    <w:p w14:paraId="1A51E7F0" w14:textId="77777777" w:rsidR="003B5F16" w:rsidRPr="005A2EBA" w:rsidRDefault="003B5F16">
      <w:pPr>
        <w:pStyle w:val="ListBullet"/>
      </w:pPr>
      <w:r w:rsidRPr="005A2EBA">
        <w:t>statutory approvals coordination</w:t>
      </w:r>
    </w:p>
    <w:p w14:paraId="533BA1A7" w14:textId="77777777" w:rsidR="003B5F16" w:rsidRPr="005A2EBA" w:rsidRDefault="003B5F16">
      <w:pPr>
        <w:pStyle w:val="ListBullet"/>
      </w:pPr>
      <w:r w:rsidRPr="005A2EBA">
        <w:t>site location services</w:t>
      </w:r>
    </w:p>
    <w:p w14:paraId="31B557BD" w14:textId="77777777" w:rsidR="003B5F16" w:rsidRPr="005A2EBA" w:rsidRDefault="003B5F16">
      <w:pPr>
        <w:pStyle w:val="ListBullet"/>
      </w:pPr>
      <w:r w:rsidRPr="005A2EBA">
        <w:t>identification of infrastructure and utility requirements</w:t>
      </w:r>
    </w:p>
    <w:p w14:paraId="14F3BFDC" w14:textId="77777777" w:rsidR="003B5F16" w:rsidRPr="005A2EBA" w:rsidRDefault="003B5F16">
      <w:pPr>
        <w:pStyle w:val="LastBulletinList"/>
      </w:pPr>
      <w:r w:rsidRPr="005A2EBA">
        <w:t>advocacy within government.</w:t>
      </w:r>
    </w:p>
    <w:p w14:paraId="6614185C" w14:textId="77777777" w:rsidR="003B5F16" w:rsidRPr="005A2EBA" w:rsidRDefault="003B5F16">
      <w:pPr>
        <w:pStyle w:val="BodyText"/>
      </w:pPr>
      <w:r w:rsidRPr="005A2EBA">
        <w:t xml:space="preserve">For more information, visit the </w:t>
      </w:r>
      <w:hyperlink r:id="rId61" w:tooltip="Opens the Invest Victoria website" w:history="1">
        <w:r w:rsidRPr="005A2EBA">
          <w:rPr>
            <w:rStyle w:val="Hyperlink"/>
          </w:rPr>
          <w:t>Invest Victoria website</w:t>
        </w:r>
      </w:hyperlink>
      <w:r w:rsidRPr="005A2EBA">
        <w:t>.</w:t>
      </w:r>
    </w:p>
    <w:p w14:paraId="2BF77F87" w14:textId="77777777" w:rsidR="003B5F16" w:rsidRPr="005A2EBA" w:rsidRDefault="003B5F16">
      <w:pPr>
        <w:pStyle w:val="Heading2"/>
      </w:pPr>
      <w:r w:rsidRPr="005A2EBA">
        <w:t>Investment Coordinator-General</w:t>
      </w:r>
    </w:p>
    <w:p w14:paraId="50E42C6B" w14:textId="77777777" w:rsidR="003B5F16" w:rsidRPr="005A2EBA" w:rsidRDefault="003B5F16">
      <w:pPr>
        <w:pStyle w:val="BodyText"/>
      </w:pPr>
      <w:r w:rsidRPr="005A2EBA">
        <w:t>The Investment Coordinator-General role and function also sits within Invest Victoria, working across agencies to ensure approvals deadlines are met and helping to reduce delays.</w:t>
      </w:r>
    </w:p>
    <w:p w14:paraId="5C88DE8F" w14:textId="77777777" w:rsidR="003B5F16" w:rsidRPr="005A2EBA" w:rsidRDefault="003B5F16">
      <w:pPr>
        <w:pStyle w:val="BodyText"/>
      </w:pPr>
      <w:r w:rsidRPr="005A2EBA">
        <w:t xml:space="preserve">For more information, visit </w:t>
      </w:r>
      <w:hyperlink r:id="rId62" w:tooltip="Opens the Department of Jobs, Skills, Industry and Regions web page about Victoria’s Investment Coordinator-General" w:history="1">
        <w:r w:rsidRPr="005A2EBA">
          <w:rPr>
            <w:rStyle w:val="Hyperlink"/>
          </w:rPr>
          <w:t>Victoria’s Investment Coordinator-General page</w:t>
        </w:r>
      </w:hyperlink>
      <w:r w:rsidRPr="005A2EBA">
        <w:t>.</w:t>
      </w:r>
    </w:p>
    <w:p w14:paraId="09CEFE0D" w14:textId="77777777" w:rsidR="003B5F16" w:rsidRPr="005A2EBA" w:rsidRDefault="003B5F16">
      <w:pPr>
        <w:pStyle w:val="Heading2"/>
      </w:pPr>
      <w:r w:rsidRPr="005A2EBA">
        <w:lastRenderedPageBreak/>
        <w:t>Innovation Victoria</w:t>
      </w:r>
    </w:p>
    <w:p w14:paraId="64F4F3FD" w14:textId="77777777" w:rsidR="003B5F16" w:rsidRPr="005A2EBA" w:rsidRDefault="003B5F16">
      <w:pPr>
        <w:pStyle w:val="BodyText"/>
      </w:pPr>
      <w:r w:rsidRPr="005A2EBA">
        <w:t>Innovation Victoria is the Victorian Government’s single front door for innovation, supporting founders, researchers, entrepreneurs and investors from early idea through to commercialisation and scale. It provides the capability uplift, connections and capital pathways to accelerate the commercialisation from idea to growth, scale and global opportunity.</w:t>
      </w:r>
    </w:p>
    <w:p w14:paraId="244124C0" w14:textId="77777777" w:rsidR="003B5F16" w:rsidRPr="005A2EBA" w:rsidRDefault="003B5F16">
      <w:pPr>
        <w:pStyle w:val="BodyText"/>
      </w:pPr>
      <w:r w:rsidRPr="005A2EBA">
        <w:t xml:space="preserve">For more information, visit the </w:t>
      </w:r>
      <w:hyperlink r:id="rId63" w:tooltip="Opens the Innovation Victoria website" w:history="1">
        <w:r w:rsidRPr="005A2EBA">
          <w:rPr>
            <w:rStyle w:val="Hyperlink"/>
          </w:rPr>
          <w:t>Innovation Victoria website</w:t>
        </w:r>
      </w:hyperlink>
      <w:r w:rsidRPr="005A2EBA">
        <w:t>.</w:t>
      </w:r>
    </w:p>
    <w:p w14:paraId="722BAC8B" w14:textId="77777777" w:rsidR="003B5F16" w:rsidRPr="005A2EBA" w:rsidRDefault="003B5F16">
      <w:pPr>
        <w:pStyle w:val="Heading2"/>
      </w:pPr>
      <w:r w:rsidRPr="005A2EBA">
        <w:t>SEC</w:t>
      </w:r>
    </w:p>
    <w:p w14:paraId="108745B0" w14:textId="77777777" w:rsidR="003B5F16" w:rsidRPr="005A2EBA" w:rsidRDefault="003B5F16">
      <w:pPr>
        <w:pStyle w:val="BodyText"/>
      </w:pPr>
      <w:r w:rsidRPr="005A2EBA">
        <w:t>SEC is a Victorian Government-owned renewable energy company. It is partnering with the private sector to deliver 4.5 GW of new renewable energy and storage projects with an initial investment of $1 billion.</w:t>
      </w:r>
    </w:p>
    <w:p w14:paraId="308927B6" w14:textId="77777777" w:rsidR="003B5F16" w:rsidRPr="005A2EBA" w:rsidRDefault="003B5F16">
      <w:pPr>
        <w:pStyle w:val="BodyText"/>
      </w:pPr>
      <w:r w:rsidRPr="005A2EBA">
        <w:t xml:space="preserve">For more information, visit the </w:t>
      </w:r>
      <w:hyperlink r:id="rId64" w:tooltip="Opens the State Electricity Commission (SEC) website" w:history="1">
        <w:r w:rsidRPr="005A2EBA">
          <w:rPr>
            <w:rStyle w:val="Hyperlink"/>
          </w:rPr>
          <w:t>SEC website</w:t>
        </w:r>
      </w:hyperlink>
      <w:r w:rsidRPr="005A2EBA">
        <w:t>.</w:t>
      </w:r>
    </w:p>
    <w:p w14:paraId="644E7C96" w14:textId="77777777" w:rsidR="003B5F16" w:rsidRPr="005A2EBA" w:rsidRDefault="003B5F16">
      <w:pPr>
        <w:pStyle w:val="Heading1"/>
        <w:pageBreakBefore/>
      </w:pPr>
      <w:bookmarkStart w:id="25" w:name="_Toc243488387"/>
      <w:r w:rsidRPr="005A2EBA">
        <w:lastRenderedPageBreak/>
        <w:t>Subsector packs</w:t>
      </w:r>
      <w:bookmarkEnd w:id="25"/>
    </w:p>
    <w:p w14:paraId="6294994A" w14:textId="77777777" w:rsidR="003B5F16" w:rsidRPr="005A2EBA" w:rsidRDefault="003B5F16">
      <w:pPr>
        <w:pStyle w:val="BodyText"/>
      </w:pPr>
      <w:r w:rsidRPr="005A2EBA">
        <w:t xml:space="preserve">To access the Renewable Energy subsector packs, please visit the </w:t>
      </w:r>
      <w:hyperlink r:id="rId65" w:tooltip="Opens the Victorian Government energy website page where the renewable energy subsector packs can be downloaded" w:history="1">
        <w:r w:rsidRPr="005A2EBA">
          <w:rPr>
            <w:rStyle w:val="Hyperlink"/>
          </w:rPr>
          <w:t>renewable energy subsector packs page</w:t>
        </w:r>
      </w:hyperlink>
      <w:r w:rsidRPr="005A2EBA">
        <w:t>.</w:t>
      </w:r>
    </w:p>
    <w:p w14:paraId="79C98A97" w14:textId="77777777" w:rsidR="003B5F16" w:rsidRPr="005A2EBA" w:rsidRDefault="003B5F16">
      <w:pPr>
        <w:pStyle w:val="Normalbeforebullets"/>
      </w:pPr>
      <w:r w:rsidRPr="005A2EBA">
        <w:t>The following subsector packs are available:</w:t>
      </w:r>
    </w:p>
    <w:p w14:paraId="43D6B379" w14:textId="77777777" w:rsidR="003B5F16" w:rsidRPr="005A2EBA" w:rsidRDefault="003B5F16">
      <w:pPr>
        <w:pStyle w:val="ListBullet"/>
      </w:pPr>
      <w:r w:rsidRPr="005A2EBA">
        <w:t>Distributed Energy Resources and EVs</w:t>
      </w:r>
    </w:p>
    <w:p w14:paraId="1EB00319" w14:textId="77777777" w:rsidR="003B5F16" w:rsidRPr="005A2EBA" w:rsidRDefault="003B5F16">
      <w:pPr>
        <w:pStyle w:val="ListBullet"/>
      </w:pPr>
      <w:r w:rsidRPr="005A2EBA">
        <w:t>Offshore Wind</w:t>
      </w:r>
    </w:p>
    <w:p w14:paraId="61739D43" w14:textId="7F92585E" w:rsidR="003B5F16" w:rsidRPr="005A2EBA" w:rsidRDefault="003B5F16">
      <w:pPr>
        <w:pStyle w:val="ListBullet"/>
      </w:pPr>
      <w:r w:rsidRPr="005A2EBA">
        <w:t>Utility-</w:t>
      </w:r>
      <w:r w:rsidR="00355541" w:rsidRPr="005A2EBA">
        <w:t>S</w:t>
      </w:r>
      <w:r w:rsidRPr="005A2EBA">
        <w:t>cale Electricity Generation and Storage</w:t>
      </w:r>
    </w:p>
    <w:p w14:paraId="2B65029C" w14:textId="77777777" w:rsidR="003B5F16" w:rsidRPr="005A2EBA" w:rsidRDefault="003B5F16">
      <w:pPr>
        <w:pStyle w:val="ListBullet"/>
      </w:pPr>
      <w:r w:rsidRPr="005A2EBA">
        <w:t>Renewable Fuels and Feedstocks</w:t>
      </w:r>
    </w:p>
    <w:p w14:paraId="5D21EA65" w14:textId="77777777" w:rsidR="003B5F16" w:rsidRPr="005A2EBA" w:rsidRDefault="003B5F16">
      <w:pPr>
        <w:pStyle w:val="LastBulletinList"/>
      </w:pPr>
      <w:r w:rsidRPr="005A2EBA">
        <w:t>Renewable Fuels and Feedstocks: Sustainable Aviation Fuel.</w:t>
      </w:r>
    </w:p>
    <w:p w14:paraId="46298DE9" w14:textId="3C8C203A" w:rsidR="00222FF2" w:rsidRPr="005A2EBA" w:rsidRDefault="00222FF2" w:rsidP="00885AAB">
      <w:pPr>
        <w:pStyle w:val="Heading1"/>
        <w:pageBreakBefore/>
        <w:spacing w:after="240"/>
      </w:pPr>
      <w:bookmarkStart w:id="26" w:name="_Toc243488388"/>
      <w:r w:rsidRPr="005A2EBA">
        <w:lastRenderedPageBreak/>
        <w:t>Publication information</w:t>
      </w:r>
      <w:bookmarkEnd w:id="1"/>
      <w:bookmarkEnd w:id="26"/>
    </w:p>
    <w:p w14:paraId="7E2A510E" w14:textId="77777777" w:rsidR="00222FF2" w:rsidRPr="005A2EBA" w:rsidRDefault="00222FF2" w:rsidP="00B444E3">
      <w:pPr>
        <w:pStyle w:val="Heading2"/>
        <w:spacing w:before="0" w:after="120"/>
        <w:rPr>
          <w:sz w:val="32"/>
          <w:szCs w:val="32"/>
        </w:rPr>
      </w:pPr>
      <w:r w:rsidRPr="005A2EBA">
        <w:rPr>
          <w:sz w:val="32"/>
          <w:szCs w:val="32"/>
        </w:rPr>
        <w:t>Copyright</w:t>
      </w:r>
    </w:p>
    <w:p w14:paraId="38748876" w14:textId="40FE9113" w:rsidR="00222FF2" w:rsidRPr="005A2EBA" w:rsidRDefault="00222FF2" w:rsidP="00C51A83">
      <w:pPr>
        <w:pStyle w:val="BodyText"/>
        <w:spacing w:after="120"/>
        <w:ind w:right="-285"/>
      </w:pPr>
      <w:r w:rsidRPr="005A2EBA">
        <w:t xml:space="preserve">© The State of Victoria Department of Energy, Environment and </w:t>
      </w:r>
      <w:r w:rsidR="00F72213" w:rsidRPr="005A2EBA">
        <w:t>Climate Action, September 2026.</w:t>
      </w:r>
    </w:p>
    <w:p w14:paraId="69A3F2CD" w14:textId="77777777" w:rsidR="00222FF2" w:rsidRPr="005A2EBA" w:rsidRDefault="00222FF2" w:rsidP="00B444E3">
      <w:pPr>
        <w:pStyle w:val="Heading2"/>
        <w:spacing w:before="0" w:after="120"/>
        <w:rPr>
          <w:sz w:val="32"/>
          <w:szCs w:val="32"/>
        </w:rPr>
      </w:pPr>
      <w:r w:rsidRPr="005A2EBA">
        <w:rPr>
          <w:sz w:val="32"/>
          <w:szCs w:val="32"/>
        </w:rPr>
        <w:t>Creative Commons</w:t>
      </w:r>
    </w:p>
    <w:p w14:paraId="51A69DCE" w14:textId="7004E6D8" w:rsidR="00222FF2" w:rsidRPr="005A2EBA" w:rsidRDefault="00222FF2" w:rsidP="00222FF2">
      <w:pPr>
        <w:pStyle w:val="BodyText"/>
        <w:ind w:right="-285"/>
      </w:pPr>
      <w:r w:rsidRPr="005A2EBA">
        <w:t xml:space="preserve">This work is licensed under a Creative Commons Attribution 4.0 International licence, visit the </w:t>
      </w:r>
      <w:hyperlink r:id="rId66" w:tooltip="Opens the Creative Commons website page for the Attribution 4.0 International licence" w:history="1">
        <w:r w:rsidRPr="005A2EBA">
          <w:rPr>
            <w:rStyle w:val="Hyperlink"/>
          </w:rPr>
          <w:t>Creative Commons website</w:t>
        </w:r>
      </w:hyperlink>
      <w:r w:rsidR="00E335F5" w:rsidRPr="005A2EBA">
        <w:t>.</w:t>
      </w:r>
    </w:p>
    <w:p w14:paraId="0000C0EE" w14:textId="77777777" w:rsidR="00222FF2" w:rsidRPr="005A2EBA" w:rsidRDefault="00222FF2" w:rsidP="00222FF2">
      <w:pPr>
        <w:pStyle w:val="BodyText"/>
        <w:ind w:right="-285"/>
      </w:pPr>
      <w:r w:rsidRPr="005A2EBA">
        <w:t>You are free to re-use the work under that licence, on the condition that you credit the State of Victoria as author. The licence does not apply to any images, photographs or branding, including the Victorian Coat of Arms, and the Victorian Government and Department logos.</w:t>
      </w:r>
    </w:p>
    <w:p w14:paraId="37F61CD0" w14:textId="51198730" w:rsidR="00222FF2" w:rsidRPr="005A2EBA" w:rsidRDefault="00F72213" w:rsidP="00C51A83">
      <w:pPr>
        <w:pStyle w:val="BodyText"/>
        <w:spacing w:after="120" w:line="276" w:lineRule="auto"/>
        <w:ind w:right="-285"/>
      </w:pPr>
      <w:r w:rsidRPr="005A2EBA">
        <w:rPr>
          <w:b/>
          <w:bCs/>
        </w:rPr>
        <w:t xml:space="preserve">ISBN </w:t>
      </w:r>
      <w:r w:rsidR="003B5F16" w:rsidRPr="005A2EBA">
        <w:t>978-1-76176-993-1</w:t>
      </w:r>
      <w:r w:rsidRPr="005A2EBA">
        <w:rPr>
          <w:b/>
          <w:bCs/>
        </w:rPr>
        <w:t xml:space="preserve"> (print)</w:t>
      </w:r>
    </w:p>
    <w:p w14:paraId="77BC33CC" w14:textId="628DFE84" w:rsidR="00222FF2" w:rsidRPr="005A2EBA" w:rsidRDefault="00F72213" w:rsidP="00C51A83">
      <w:pPr>
        <w:pStyle w:val="BodyText"/>
        <w:spacing w:after="120"/>
        <w:ind w:right="-285"/>
      </w:pPr>
      <w:r w:rsidRPr="005A2EBA">
        <w:rPr>
          <w:b/>
          <w:bCs/>
        </w:rPr>
        <w:t xml:space="preserve">ISBN </w:t>
      </w:r>
      <w:r w:rsidR="003B5F16" w:rsidRPr="005A2EBA">
        <w:t>978-1-76176-994-8</w:t>
      </w:r>
      <w:r w:rsidRPr="005A2EBA">
        <w:rPr>
          <w:b/>
          <w:bCs/>
        </w:rPr>
        <w:t xml:space="preserve"> (pdf/online/MS word)</w:t>
      </w:r>
    </w:p>
    <w:p w14:paraId="0A1C17BE" w14:textId="77777777" w:rsidR="00222FF2" w:rsidRPr="005A2EBA" w:rsidRDefault="00222FF2" w:rsidP="00B444E3">
      <w:pPr>
        <w:pStyle w:val="Heading2"/>
        <w:spacing w:before="0" w:after="120"/>
        <w:rPr>
          <w:sz w:val="32"/>
          <w:szCs w:val="32"/>
        </w:rPr>
      </w:pPr>
      <w:r w:rsidRPr="005A2EBA">
        <w:rPr>
          <w:sz w:val="32"/>
          <w:szCs w:val="32"/>
        </w:rPr>
        <w:t>Disclaimer</w:t>
      </w:r>
    </w:p>
    <w:p w14:paraId="72C78673" w14:textId="77777777" w:rsidR="00222FF2" w:rsidRPr="005A2EBA" w:rsidRDefault="00222FF2" w:rsidP="00C51A83">
      <w:pPr>
        <w:pStyle w:val="BodyText"/>
        <w:spacing w:after="120"/>
      </w:pPr>
      <w:r w:rsidRPr="005A2EBA">
        <w:t>This publication may be of assistance to you but the State of Victoria and its employees do not guarantee that the publication is without flaw of any kind or is wholly appropriate for your particular purposes and therefore disclaims all liability for any error, loss or other consequence which may arise from you relying on any information in this publication.</w:t>
      </w:r>
    </w:p>
    <w:p w14:paraId="6B7DCCFB" w14:textId="77777777" w:rsidR="00222FF2" w:rsidRPr="005A2EBA" w:rsidRDefault="00222FF2" w:rsidP="00B444E3">
      <w:pPr>
        <w:pStyle w:val="Heading2"/>
        <w:spacing w:before="0" w:after="120"/>
        <w:rPr>
          <w:sz w:val="32"/>
          <w:szCs w:val="32"/>
        </w:rPr>
      </w:pPr>
      <w:r w:rsidRPr="005A2EBA">
        <w:rPr>
          <w:sz w:val="32"/>
          <w:szCs w:val="32"/>
        </w:rPr>
        <w:t>Accessibility</w:t>
      </w:r>
    </w:p>
    <w:p w14:paraId="542DA5E7" w14:textId="30967188" w:rsidR="00806A08" w:rsidRPr="005A2EBA" w:rsidRDefault="00181BFA" w:rsidP="00806A08">
      <w:pPr>
        <w:pStyle w:val="BodyText"/>
        <w:spacing w:after="120"/>
      </w:pPr>
      <w:r w:rsidRPr="005A2EBA">
        <w:t xml:space="preserve">To receive this document in an alternative format, phone the </w:t>
      </w:r>
      <w:r w:rsidR="00F72213" w:rsidRPr="005A2EBA">
        <w:t>Customer Contact Centre</w:t>
      </w:r>
      <w:r w:rsidRPr="005A2EBA">
        <w:t xml:space="preserve"> on 136 186, email </w:t>
      </w:r>
      <w:hyperlink r:id="rId67" w:tooltip="Send an email to customer service" w:history="1">
        <w:r w:rsidRPr="005A2EBA">
          <w:rPr>
            <w:rStyle w:val="Hyperlink"/>
          </w:rPr>
          <w:t>customer.service@deeca.vic.gov.au</w:t>
        </w:r>
      </w:hyperlink>
      <w:r w:rsidRPr="005A2EBA">
        <w:t xml:space="preserve">, or contact National Relay Service on 133 677 or visit </w:t>
      </w:r>
      <w:hyperlink r:id="rId68" w:tooltip="Opens the National Relay Service website on the Australian Government Access Hub" w:history="1">
        <w:r w:rsidRPr="005A2EBA">
          <w:rPr>
            <w:rStyle w:val="Hyperlink"/>
          </w:rPr>
          <w:t>the National Relay Service website</w:t>
        </w:r>
      </w:hyperlink>
      <w:r w:rsidRPr="005A2EBA">
        <w:t xml:space="preserve">. This document is available on the </w:t>
      </w:r>
      <w:hyperlink r:id="rId69" w:tooltip="Opens the Department of Energy, Environment and Climate Action (DEECA) website" w:history="1">
        <w:r w:rsidRPr="005A2EBA">
          <w:rPr>
            <w:rStyle w:val="Hyperlink"/>
          </w:rPr>
          <w:t>DEECA website</w:t>
        </w:r>
      </w:hyperlink>
      <w:r w:rsidRPr="005A2EBA">
        <w:t>.</w:t>
      </w:r>
    </w:p>
    <w:p w14:paraId="76427E55" w14:textId="77777777" w:rsidR="00F767CD" w:rsidRPr="005A2EBA" w:rsidRDefault="00222FF2" w:rsidP="00E650E4">
      <w:pPr>
        <w:pStyle w:val="BodyText"/>
        <w:spacing w:before="360" w:after="0"/>
        <w:rPr>
          <w:b/>
          <w:bCs/>
        </w:rPr>
      </w:pPr>
      <w:r w:rsidRPr="005A2EBA">
        <w:rPr>
          <w:b/>
          <w:bCs/>
        </w:rPr>
        <w:t>End of document.</w:t>
      </w:r>
    </w:p>
    <w:sectPr w:rsidR="00F767CD" w:rsidRPr="005A2EBA" w:rsidSect="00EB277B">
      <w:footerReference w:type="default" r:id="rId70"/>
      <w:pgSz w:w="11906" w:h="16838"/>
      <w:pgMar w:top="1134" w:right="1134" w:bottom="1134" w:left="1134" w:header="720" w:footer="454"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BD53403" w14:textId="77777777" w:rsidR="00716A68" w:rsidRDefault="00716A68" w:rsidP="00F2730B">
      <w:pPr>
        <w:spacing w:after="0" w:line="240" w:lineRule="auto"/>
      </w:pPr>
      <w:r>
        <w:separator/>
      </w:r>
    </w:p>
  </w:endnote>
  <w:endnote w:type="continuationSeparator" w:id="0">
    <w:p w14:paraId="4910A9DC" w14:textId="77777777" w:rsidR="00716A68" w:rsidRDefault="00716A68" w:rsidP="00F273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Headings CS)">
    <w:altName w:val="Times New Roman"/>
    <w:panose1 w:val="020B0604020202020204"/>
    <w:charset w:val="00"/>
    <w:family w:val="roman"/>
    <w:pitch w:val="default"/>
  </w:font>
  <w:font w:name="MinionPro-Regular">
    <w:altName w:val="Calibri"/>
    <w:panose1 w:val="020B0604020202020204"/>
    <w:charset w:val="00"/>
    <w:family w:val="auto"/>
    <w:notTrueType/>
    <w:pitch w:val="default"/>
    <w:sig w:usb0="00000003" w:usb1="00000000" w:usb2="00000000" w:usb3="00000000" w:csb0="00000001" w:csb1="00000000"/>
  </w:font>
  <w:font w:name="VIC (OTF) Light Italic">
    <w:altName w:val="VIC"/>
    <w:panose1 w:val="00000400000000000000"/>
    <w:charset w:val="4D"/>
    <w:family w:val="auto"/>
    <w:notTrueType/>
    <w:pitch w:val="variable"/>
    <w:sig w:usb0="00000007" w:usb1="00000000" w:usb2="00000000" w:usb3="00000000" w:csb0="00000093" w:csb1="00000000"/>
  </w:font>
  <w:font w:name="VIC (OTF) SemiBold">
    <w:altName w:val="VIC"/>
    <w:panose1 w:val="00000700000000000000"/>
    <w:charset w:val="4D"/>
    <w:family w:val="auto"/>
    <w:notTrueType/>
    <w:pitch w:val="variable"/>
    <w:sig w:usb0="00000007" w:usb1="00000000" w:usb2="00000000" w:usb3="00000000" w:csb0="00000093" w:csb1="00000000"/>
  </w:font>
  <w:font w:name="Times New Roman (Body CS)">
    <w:altName w:val="Times New Roman"/>
    <w:panose1 w:val="020B0604020202020204"/>
    <w:charset w:val="00"/>
    <w:family w:val="roman"/>
    <w:notTrueType/>
    <w:pitch w:val="default"/>
  </w:font>
  <w:font w:name="Arial (Headings)">
    <w:altName w:val="Arial"/>
    <w:panose1 w:val="020B0604020202020204"/>
    <w:charset w:val="00"/>
    <w:family w:val="roman"/>
    <w:pitch w:val="default"/>
  </w:font>
  <w:font w:name="Helvetica">
    <w:panose1 w:val="00000000000000000000"/>
    <w:charset w:val="00"/>
    <w:family w:val="auto"/>
    <w:pitch w:val="variable"/>
    <w:sig w:usb0="E00002FF" w:usb1="5000785B" w:usb2="00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004707089"/>
      <w:docPartObj>
        <w:docPartGallery w:val="Page Numbers (Bottom of Page)"/>
        <w:docPartUnique/>
      </w:docPartObj>
    </w:sdtPr>
    <w:sdtContent>
      <w:p w14:paraId="471365B6" w14:textId="77777777" w:rsidR="00B165A7" w:rsidRDefault="00B165A7" w:rsidP="00885AA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E31D7B3" w14:textId="77777777" w:rsidR="00B165A7" w:rsidRDefault="00B165A7" w:rsidP="00B165A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sz w:val="22"/>
      </w:rPr>
      <w:id w:val="754635306"/>
      <w:docPartObj>
        <w:docPartGallery w:val="Page Numbers (Bottom of Page)"/>
        <w:docPartUnique/>
      </w:docPartObj>
    </w:sdtPr>
    <w:sdtContent>
      <w:p w14:paraId="76C2B865" w14:textId="77777777" w:rsidR="00EB277B" w:rsidRPr="00A90182" w:rsidRDefault="00EB277B" w:rsidP="00EB277B">
        <w:pPr>
          <w:pStyle w:val="Footer"/>
          <w:framePr w:wrap="none" w:vAnchor="text" w:hAnchor="margin" w:xAlign="right" w:y="1"/>
          <w:rPr>
            <w:rStyle w:val="PageNumber"/>
            <w:sz w:val="22"/>
          </w:rPr>
        </w:pPr>
        <w:r w:rsidRPr="00A90182">
          <w:rPr>
            <w:rStyle w:val="PageNumber"/>
            <w:sz w:val="22"/>
          </w:rPr>
          <w:fldChar w:fldCharType="begin"/>
        </w:r>
        <w:r w:rsidRPr="00A90182">
          <w:rPr>
            <w:rStyle w:val="PageNumber"/>
            <w:sz w:val="22"/>
          </w:rPr>
          <w:instrText xml:space="preserve"> PAGE </w:instrText>
        </w:r>
        <w:r w:rsidRPr="00A90182">
          <w:rPr>
            <w:rStyle w:val="PageNumber"/>
            <w:sz w:val="22"/>
          </w:rPr>
          <w:fldChar w:fldCharType="separate"/>
        </w:r>
        <w:r w:rsidRPr="00A90182">
          <w:rPr>
            <w:rStyle w:val="PageNumber"/>
            <w:sz w:val="22"/>
          </w:rPr>
          <w:t>2</w:t>
        </w:r>
        <w:r w:rsidRPr="00A90182">
          <w:rPr>
            <w:rStyle w:val="PageNumber"/>
            <w:sz w:val="22"/>
          </w:rPr>
          <w:fldChar w:fldCharType="end"/>
        </w:r>
      </w:p>
    </w:sdtContent>
  </w:sdt>
  <w:p w14:paraId="2728EAA3" w14:textId="78222810" w:rsidR="00EB277B" w:rsidRPr="00A90182" w:rsidRDefault="0004155F" w:rsidP="0004155F">
    <w:pPr>
      <w:pStyle w:val="Footer"/>
      <w:ind w:right="360"/>
      <w:rPr>
        <w:sz w:val="22"/>
      </w:rPr>
    </w:pPr>
    <w:r w:rsidRPr="0004155F">
      <w:rPr>
        <w:sz w:val="22"/>
      </w:rPr>
      <w:t>Renewable Energy Investment Prospectus: Utility-Scale Electricity Generation and Storage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97EE0A" w14:textId="77777777" w:rsidR="004677A5" w:rsidRDefault="004677A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sz w:val="22"/>
      </w:rPr>
      <w:id w:val="-447704047"/>
      <w:docPartObj>
        <w:docPartGallery w:val="Page Numbers (Bottom of Page)"/>
        <w:docPartUnique/>
      </w:docPartObj>
    </w:sdtPr>
    <w:sdtContent>
      <w:p w14:paraId="4B0FB717" w14:textId="77777777" w:rsidR="00885AAB" w:rsidRPr="00A90182" w:rsidRDefault="00885AAB" w:rsidP="00FE2D33">
        <w:pPr>
          <w:pStyle w:val="Footer"/>
          <w:framePr w:wrap="none" w:vAnchor="text" w:hAnchor="margin" w:xAlign="right" w:y="1"/>
          <w:rPr>
            <w:rStyle w:val="PageNumber"/>
            <w:sz w:val="22"/>
          </w:rPr>
        </w:pPr>
        <w:r w:rsidRPr="00A90182">
          <w:rPr>
            <w:rStyle w:val="PageNumber"/>
            <w:sz w:val="22"/>
          </w:rPr>
          <w:fldChar w:fldCharType="begin"/>
        </w:r>
        <w:r w:rsidRPr="00A90182">
          <w:rPr>
            <w:rStyle w:val="PageNumber"/>
            <w:sz w:val="22"/>
          </w:rPr>
          <w:instrText xml:space="preserve"> PAGE </w:instrText>
        </w:r>
        <w:r w:rsidRPr="00A90182">
          <w:rPr>
            <w:rStyle w:val="PageNumber"/>
            <w:sz w:val="22"/>
          </w:rPr>
          <w:fldChar w:fldCharType="separate"/>
        </w:r>
        <w:r w:rsidRPr="00A90182">
          <w:rPr>
            <w:rStyle w:val="PageNumber"/>
            <w:noProof/>
            <w:sz w:val="22"/>
          </w:rPr>
          <w:t>2</w:t>
        </w:r>
        <w:r w:rsidRPr="00A90182">
          <w:rPr>
            <w:rStyle w:val="PageNumber"/>
            <w:sz w:val="22"/>
          </w:rPr>
          <w:fldChar w:fldCharType="end"/>
        </w:r>
      </w:p>
    </w:sdtContent>
  </w:sdt>
  <w:p w14:paraId="34EFD8E1" w14:textId="13B4249C" w:rsidR="00B165A7" w:rsidRPr="00A90182" w:rsidRDefault="0004155F" w:rsidP="00B165A7">
    <w:pPr>
      <w:pStyle w:val="Footer"/>
      <w:ind w:right="360"/>
      <w:rPr>
        <w:sz w:val="22"/>
      </w:rPr>
    </w:pPr>
    <w:r w:rsidRPr="0004155F">
      <w:rPr>
        <w:sz w:val="22"/>
      </w:rPr>
      <w:t>Renewable Energy Investment Prospectus: Utility-Scale Electricity Generation and Storage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60E1EAB" w14:textId="77777777" w:rsidR="00716A68" w:rsidRDefault="00716A68" w:rsidP="00F2730B">
      <w:pPr>
        <w:spacing w:after="0" w:line="240" w:lineRule="auto"/>
      </w:pPr>
      <w:r>
        <w:separator/>
      </w:r>
    </w:p>
  </w:footnote>
  <w:footnote w:type="continuationSeparator" w:id="0">
    <w:p w14:paraId="32455986" w14:textId="77777777" w:rsidR="00716A68" w:rsidRDefault="00716A68" w:rsidP="00F2730B">
      <w:pPr>
        <w:spacing w:after="0" w:line="240" w:lineRule="auto"/>
      </w:pPr>
      <w:r>
        <w:continuationSeparator/>
      </w:r>
    </w:p>
  </w:footnote>
  <w:footnote w:id="1">
    <w:p w14:paraId="7E7BBA44" w14:textId="77777777" w:rsidR="004677A5" w:rsidRDefault="004677A5" w:rsidP="002401CD">
      <w:pPr>
        <w:pStyle w:val="FootnoteText"/>
        <w:spacing w:after="0"/>
      </w:pPr>
      <w:r>
        <w:rPr>
          <w:rStyle w:val="FootnoteReference"/>
        </w:rPr>
        <w:footnoteRef/>
      </w:r>
      <w:r>
        <w:t xml:space="preserve"> Total additional capacity required reflects estimates only, based on AEMO’s 2026 Integrated System Plan (ISP) Generation and Storage Outlook – step change scenario – Optimal Development Path – Victoria (2026 to 2035).</w:t>
      </w:r>
    </w:p>
  </w:footnote>
  <w:footnote w:id="2">
    <w:p w14:paraId="5038FB34" w14:textId="77777777" w:rsidR="004677A5" w:rsidRDefault="004677A5" w:rsidP="002401CD">
      <w:pPr>
        <w:pStyle w:val="FootnoteText"/>
        <w:spacing w:after="240"/>
      </w:pPr>
      <w:r>
        <w:rPr>
          <w:rStyle w:val="FootnoteReference"/>
        </w:rPr>
        <w:footnoteRef/>
      </w:r>
      <w:r>
        <w:t xml:space="preserve"> Victoria in Future | Department of Transport and Planning | </w:t>
      </w:r>
      <w:hyperlink r:id="rId1" w:tooltip="Opens the Victorian Government planning website page for Victoria in Future population projections" w:history="1">
        <w:r>
          <w:rPr>
            <w:rStyle w:val="Hyperlink"/>
          </w:rPr>
          <w:t>planning.vic.gov.au/guides-and-resources/Data-spatial-and-insights/discover-and-access-planning-open-data/victoria-in-future</w:t>
        </w:r>
      </w:hyperlink>
    </w:p>
  </w:footnote>
  <w:footnote w:id="3">
    <w:p w14:paraId="3509E09E" w14:textId="77777777" w:rsidR="004677A5" w:rsidRDefault="004677A5" w:rsidP="002401CD">
      <w:pPr>
        <w:pStyle w:val="FootnoteText"/>
        <w:spacing w:after="240"/>
        <w:ind w:right="-427"/>
      </w:pPr>
      <w:r>
        <w:rPr>
          <w:rStyle w:val="FootnoteReference"/>
        </w:rPr>
        <w:footnoteRef/>
      </w:r>
      <w:r>
        <w:t xml:space="preserve"> Why invest in Melbourne? | City of Melbourne | </w:t>
      </w:r>
      <w:hyperlink r:id="rId2" w:tooltip="Opens the City of Melbourne web page Why invest in Melbourne?" w:history="1">
        <w:r>
          <w:rPr>
            <w:rStyle w:val="Hyperlink"/>
          </w:rPr>
          <w:t>melbourne.vic.gov.au/why-invest-</w:t>
        </w:r>
        <w:proofErr w:type="spellStart"/>
        <w:r>
          <w:rPr>
            <w:rStyle w:val="Hyperlink"/>
          </w:rPr>
          <w:t>melbourne</w:t>
        </w:r>
        <w:proofErr w:type="spellEnd"/>
      </w:hyperlink>
    </w:p>
  </w:footnote>
  <w:footnote w:id="4">
    <w:p w14:paraId="56FAE85C" w14:textId="77777777" w:rsidR="004677A5" w:rsidRDefault="004677A5">
      <w:pPr>
        <w:pStyle w:val="FootnoteText"/>
      </w:pPr>
      <w:r>
        <w:rPr>
          <w:rStyle w:val="FootnoteReference"/>
        </w:rPr>
        <w:footnoteRef/>
      </w:r>
      <w:r>
        <w:t xml:space="preserve"> EIU Global Liveability Index 2026 | Economist Intelligence Unit | </w:t>
      </w:r>
      <w:hyperlink r:id="rId3" w:tooltip="Opens the Economist Intelligence Unit Global Liveability Index 2026 report (PDF)" w:history="1">
        <w:r>
          <w:rPr>
            <w:rStyle w:val="Hyperlink"/>
          </w:rPr>
          <w:t>eiu.com/n/wp-content/uploads/2026/07/EIU_Liveability-Index-2026.pdf</w:t>
        </w:r>
      </w:hyperlink>
    </w:p>
  </w:footnote>
  <w:footnote w:id="5">
    <w:p w14:paraId="55AEEF59" w14:textId="77777777" w:rsidR="004677A5" w:rsidRDefault="004677A5" w:rsidP="0079521D">
      <w:pPr>
        <w:pStyle w:val="FootnoteText"/>
        <w:ind w:left="284" w:hanging="284"/>
      </w:pPr>
      <w:r>
        <w:rPr>
          <w:rStyle w:val="FootnoteReference"/>
        </w:rPr>
        <w:footnoteRef/>
      </w:r>
      <w:r>
        <w:t xml:space="preserve"> NEM Factsheet | Australian Energy Market Operator (AEMO)</w:t>
      </w:r>
    </w:p>
  </w:footnote>
  <w:footnote w:id="6">
    <w:p w14:paraId="3321190D" w14:textId="77777777" w:rsidR="004677A5" w:rsidRDefault="004677A5" w:rsidP="0079521D">
      <w:pPr>
        <w:pStyle w:val="FootnoteText"/>
        <w:ind w:left="284" w:hanging="284"/>
      </w:pPr>
      <w:r>
        <w:rPr>
          <w:rStyle w:val="FootnoteReference"/>
        </w:rPr>
        <w:footnoteRef/>
      </w:r>
      <w:r>
        <w:t xml:space="preserve"> NEM Factsheet | Australian Energy Market Operator (AEMO)</w:t>
      </w:r>
    </w:p>
  </w:footnote>
  <w:footnote w:id="7">
    <w:p w14:paraId="17CADAE5" w14:textId="77777777" w:rsidR="004677A5" w:rsidRDefault="004677A5" w:rsidP="0079521D">
      <w:pPr>
        <w:pStyle w:val="FootnoteText"/>
        <w:ind w:left="284" w:hanging="284"/>
      </w:pPr>
      <w:r>
        <w:rPr>
          <w:rStyle w:val="FootnoteReference"/>
        </w:rPr>
        <w:footnoteRef/>
      </w:r>
      <w:r>
        <w:t xml:space="preserve"> NEM Factsheet | Australian Energy Market Operator (AEMO)</w:t>
      </w:r>
    </w:p>
  </w:footnote>
  <w:footnote w:id="8">
    <w:p w14:paraId="5C3C4E7E" w14:textId="77777777" w:rsidR="004677A5" w:rsidRDefault="004677A5" w:rsidP="0079521D">
      <w:pPr>
        <w:pStyle w:val="FootnoteText"/>
        <w:ind w:left="284" w:hanging="284"/>
      </w:pPr>
      <w:r>
        <w:rPr>
          <w:rStyle w:val="FootnoteReference"/>
        </w:rPr>
        <w:footnoteRef/>
      </w:r>
      <w:r>
        <w:t xml:space="preserve"> Our role | Australian Energy Regulator | </w:t>
      </w:r>
      <w:hyperlink r:id="rId4" w:tooltip="Opens the Australian Energy Regulator web page about its role" w:history="1">
        <w:r>
          <w:rPr>
            <w:rStyle w:val="Hyperlink"/>
          </w:rPr>
          <w:t>aer.gov.au/about/</w:t>
        </w:r>
        <w:proofErr w:type="spellStart"/>
        <w:r>
          <w:rPr>
            <w:rStyle w:val="Hyperlink"/>
          </w:rPr>
          <w:t>aer</w:t>
        </w:r>
        <w:proofErr w:type="spellEnd"/>
        <w:r>
          <w:rPr>
            <w:rStyle w:val="Hyperlink"/>
          </w:rPr>
          <w:t>/our-role</w:t>
        </w:r>
      </w:hyperlink>
    </w:p>
  </w:footnote>
  <w:footnote w:id="9">
    <w:p w14:paraId="109C26AC" w14:textId="77777777" w:rsidR="004677A5" w:rsidRDefault="004677A5" w:rsidP="0079521D">
      <w:pPr>
        <w:pStyle w:val="FootnoteText"/>
        <w:spacing w:after="40"/>
        <w:ind w:left="284" w:hanging="284"/>
      </w:pPr>
      <w:r>
        <w:rPr>
          <w:rStyle w:val="FootnoteReference"/>
        </w:rPr>
        <w:footnoteRef/>
      </w:r>
      <w:r>
        <w:t xml:space="preserve"> NEM Factsheet | Australian Energy Market Operator (AEMO)</w:t>
      </w:r>
    </w:p>
  </w:footnote>
  <w:footnote w:id="10">
    <w:p w14:paraId="5184415E" w14:textId="77777777" w:rsidR="004677A5" w:rsidRDefault="004677A5" w:rsidP="0079521D">
      <w:pPr>
        <w:pStyle w:val="FootnoteText"/>
        <w:ind w:left="284" w:hanging="284"/>
      </w:pPr>
      <w:r>
        <w:rPr>
          <w:rStyle w:val="FootnoteReference"/>
        </w:rPr>
        <w:footnoteRef/>
      </w:r>
      <w:r>
        <w:t xml:space="preserve"> NEM Factsheet | Australian Energy Market Operator (AEMO)</w:t>
      </w:r>
    </w:p>
  </w:footnote>
  <w:footnote w:id="11">
    <w:p w14:paraId="59CC856B" w14:textId="77777777" w:rsidR="004677A5" w:rsidRDefault="004677A5" w:rsidP="0079521D">
      <w:pPr>
        <w:pStyle w:val="FootnoteText"/>
        <w:ind w:left="284" w:hanging="284"/>
      </w:pPr>
      <w:r>
        <w:rPr>
          <w:rStyle w:val="FootnoteReference"/>
        </w:rPr>
        <w:footnoteRef/>
      </w:r>
      <w:r>
        <w:t xml:space="preserve"> 2026 Integrated System Plan (ISP) | AEMO | </w:t>
      </w:r>
      <w:hyperlink r:id="rId5" w:tooltip="Opens the Australian Energy Market Operator web page for the 2026 Integrated System Plan" w:history="1">
        <w:r>
          <w:rPr>
            <w:rStyle w:val="Hyperlink"/>
          </w:rPr>
          <w:t>aemo.com.au/energy-systems/major-publications/integrated-system-plan-isp/2026-integrated-system-plan-isp</w:t>
        </w:r>
      </w:hyperlink>
    </w:p>
  </w:footnote>
  <w:footnote w:id="12">
    <w:p w14:paraId="162744A6" w14:textId="77777777" w:rsidR="004677A5" w:rsidRDefault="004677A5">
      <w:pPr>
        <w:pStyle w:val="FootnoteText"/>
      </w:pPr>
      <w:r>
        <w:rPr>
          <w:rStyle w:val="FootnoteReference"/>
        </w:rPr>
        <w:footnoteRef/>
      </w:r>
      <w:r>
        <w:t xml:space="preserve"> Internal register figures from the Department of Energy, Environment and Climate Action, figures correct as of August 2026 and subject to change.</w:t>
      </w:r>
    </w:p>
  </w:footnote>
  <w:footnote w:id="13">
    <w:p w14:paraId="7B81418F" w14:textId="77777777" w:rsidR="004677A5" w:rsidRDefault="004677A5">
      <w:pPr>
        <w:pStyle w:val="FootnoteText"/>
      </w:pPr>
      <w:r>
        <w:rPr>
          <w:rStyle w:val="FootnoteReference"/>
        </w:rPr>
        <w:footnoteRef/>
      </w:r>
      <w:r>
        <w:t xml:space="preserve"> Estimates are based on internal forecasts and modelling by the Department of Energy, Environment and Climate Action and are subject to change.</w:t>
      </w:r>
    </w:p>
  </w:footnote>
  <w:footnote w:id="14">
    <w:p w14:paraId="6CFA7F75" w14:textId="77777777" w:rsidR="004677A5" w:rsidRDefault="004677A5">
      <w:pPr>
        <w:pStyle w:val="FootnoteText"/>
      </w:pPr>
      <w:r>
        <w:rPr>
          <w:rStyle w:val="FootnoteReference"/>
        </w:rPr>
        <w:footnoteRef/>
      </w:r>
      <w:r>
        <w:t xml:space="preserve"> Arbs and Flows: Australia Energy Storage Update 2026 | </w:t>
      </w:r>
      <w:proofErr w:type="spellStart"/>
      <w:r>
        <w:t>BloombergNEF</w:t>
      </w:r>
      <w:proofErr w:type="spellEnd"/>
      <w:r>
        <w:t xml:space="preserve"> | 2026</w:t>
      </w:r>
    </w:p>
  </w:footnote>
  <w:footnote w:id="15">
    <w:p w14:paraId="60F8A82F" w14:textId="77777777" w:rsidR="004677A5" w:rsidRDefault="004677A5">
      <w:pPr>
        <w:pStyle w:val="FootnoteText"/>
      </w:pPr>
      <w:r>
        <w:rPr>
          <w:rStyle w:val="FootnoteReference"/>
        </w:rPr>
        <w:footnoteRef/>
      </w:r>
      <w:r>
        <w:t xml:space="preserve"> Internal register figures from the Department of Energy, Environment and Climate Action, figures correct as of August 2026 and subject to change.</w:t>
      </w:r>
    </w:p>
  </w:footnote>
  <w:footnote w:id="16">
    <w:p w14:paraId="3E58F681" w14:textId="77777777" w:rsidR="004677A5" w:rsidRDefault="004677A5">
      <w:pPr>
        <w:pStyle w:val="FootnoteText"/>
      </w:pPr>
      <w:r>
        <w:rPr>
          <w:rStyle w:val="FootnoteReference"/>
        </w:rPr>
        <w:footnoteRef/>
      </w:r>
      <w:r>
        <w:t xml:space="preserve"> Estimates are based on internal forecasts and modelling by the Department of Energy, Environment and Climate Action and are subject to change.</w:t>
      </w:r>
    </w:p>
  </w:footnote>
  <w:footnote w:id="17">
    <w:p w14:paraId="75F58E1F" w14:textId="77777777" w:rsidR="004677A5" w:rsidRDefault="004677A5">
      <w:pPr>
        <w:pStyle w:val="FootnoteText"/>
      </w:pPr>
      <w:r>
        <w:rPr>
          <w:rStyle w:val="FootnoteReference"/>
        </w:rPr>
        <w:footnoteRef/>
      </w:r>
      <w:r>
        <w:t xml:space="preserve"> Internal register figures from the Department of Energy, Environment and Climate Action, figures correct as of August 2026 and subject to change.</w:t>
      </w:r>
    </w:p>
  </w:footnote>
  <w:footnote w:id="18">
    <w:p w14:paraId="685A449A" w14:textId="77777777" w:rsidR="004677A5" w:rsidRDefault="004677A5">
      <w:pPr>
        <w:pStyle w:val="FootnoteText"/>
      </w:pPr>
      <w:r>
        <w:rPr>
          <w:rStyle w:val="FootnoteReference"/>
        </w:rPr>
        <w:footnoteRef/>
      </w:r>
      <w:r>
        <w:t xml:space="preserve"> Estimates are based on internal forecasts and modelling by the Department of Energy, Environment and Climate Action and are subject to change.</w:t>
      </w:r>
    </w:p>
  </w:footnote>
  <w:footnote w:id="19">
    <w:p w14:paraId="75681729" w14:textId="77777777" w:rsidR="004677A5" w:rsidRDefault="004677A5" w:rsidP="0015223C">
      <w:pPr>
        <w:pStyle w:val="FootnoteText"/>
        <w:spacing w:after="0"/>
      </w:pPr>
      <w:r>
        <w:rPr>
          <w:rStyle w:val="FootnoteReference"/>
        </w:rPr>
        <w:footnoteRef/>
      </w:r>
      <w:r>
        <w:t xml:space="preserve"> Batteries Supercharge Australia’s Solar and Wind Economics | </w:t>
      </w:r>
      <w:proofErr w:type="spellStart"/>
      <w:r>
        <w:t>BloombergNEF</w:t>
      </w:r>
      <w:proofErr w:type="spellEnd"/>
      <w:r>
        <w:t xml:space="preserve"> | April 2026. Based on NSW pricing data within the National Electricity Market.</w:t>
      </w:r>
    </w:p>
  </w:footnote>
  <w:footnote w:id="20">
    <w:p w14:paraId="354D6D24" w14:textId="77777777" w:rsidR="004677A5" w:rsidRDefault="004677A5" w:rsidP="0015223C">
      <w:pPr>
        <w:pStyle w:val="FootnoteText"/>
        <w:ind w:right="-285"/>
      </w:pPr>
      <w:r>
        <w:rPr>
          <w:rStyle w:val="FootnoteReference"/>
        </w:rPr>
        <w:footnoteRef/>
      </w:r>
      <w:r>
        <w:t xml:space="preserve"> Figure correct as of August 2026 | Department of Energy, Environment and Climate Action</w:t>
      </w:r>
    </w:p>
  </w:footnote>
  <w:footnote w:id="21">
    <w:p w14:paraId="7660D178" w14:textId="77777777" w:rsidR="004677A5" w:rsidRDefault="004677A5" w:rsidP="0015223C">
      <w:pPr>
        <w:pStyle w:val="FootnoteText"/>
        <w:spacing w:after="0"/>
      </w:pPr>
      <w:r>
        <w:rPr>
          <w:rStyle w:val="FootnoteReference"/>
        </w:rPr>
        <w:footnoteRef/>
      </w:r>
      <w:r>
        <w:t xml:space="preserve"> Estimates are based on internal forecasts and modelling by the Department of Energy, Environment and Climate Action and are subject to change.</w:t>
      </w:r>
    </w:p>
  </w:footnote>
  <w:footnote w:id="22">
    <w:p w14:paraId="74CCFB18" w14:textId="77777777" w:rsidR="003B5F16" w:rsidRDefault="003B5F16">
      <w:pPr>
        <w:pStyle w:val="FootnoteText"/>
      </w:pPr>
      <w:r>
        <w:rPr>
          <w:rStyle w:val="FootnoteReference"/>
        </w:rPr>
        <w:footnoteRef/>
      </w:r>
      <w:r>
        <w:t xml:space="preserve"> Estimates are based on internal forecasts and modelling by the Department of Energy, Environment and Climate Action and are subject to change.</w:t>
      </w:r>
    </w:p>
  </w:footnote>
  <w:footnote w:id="23">
    <w:p w14:paraId="76C9C61F" w14:textId="77777777" w:rsidR="003B5F16" w:rsidRDefault="003B5F16" w:rsidP="002329CC">
      <w:pPr>
        <w:pStyle w:val="FootnoteText"/>
        <w:spacing w:after="0"/>
      </w:pPr>
      <w:r>
        <w:rPr>
          <w:rStyle w:val="FootnoteReference"/>
        </w:rPr>
        <w:footnoteRef/>
      </w:r>
      <w:r>
        <w:t xml:space="preserve"> Economic Growth Statement | Victorian Government | 2024 | </w:t>
      </w:r>
      <w:hyperlink r:id="rId6" w:tooltip="Opens the Victorian Government web page about the Victorian Economic Growth Statement" w:history="1">
        <w:r>
          <w:rPr>
            <w:rStyle w:val="Hyperlink"/>
          </w:rPr>
          <w:t>vic.gov.au/economic-growth-statement</w:t>
        </w:r>
      </w:hyperlink>
    </w:p>
  </w:footnote>
  <w:footnote w:id="24">
    <w:p w14:paraId="35C27D96" w14:textId="77777777" w:rsidR="003B5F16" w:rsidRDefault="003B5F16">
      <w:pPr>
        <w:pStyle w:val="FootnoteText"/>
      </w:pPr>
      <w:r>
        <w:rPr>
          <w:rStyle w:val="FootnoteReference"/>
        </w:rPr>
        <w:footnoteRef/>
      </w:r>
      <w:r>
        <w:t xml:space="preserve"> Start-up ecosystem in Victoria | Invest Victoria | 2026 | </w:t>
      </w:r>
      <w:hyperlink r:id="rId7" w:tooltip="Opens the Invest Victoria web page about the start-up ecosystem in Victoria" w:history="1">
        <w:r>
          <w:rPr>
            <w:rStyle w:val="Hyperlink"/>
          </w:rPr>
          <w:t>invest.vic.gov.au/understand-the-market/know-the-victorian-economy/start-up-ecosystem-in-victoria</w:t>
        </w:r>
      </w:hyperlink>
    </w:p>
  </w:footnote>
  <w:footnote w:id="25">
    <w:p w14:paraId="792A08B8" w14:textId="77777777" w:rsidR="003B5F16" w:rsidRDefault="003B5F16">
      <w:pPr>
        <w:pStyle w:val="FootnoteText"/>
      </w:pPr>
      <w:r>
        <w:rPr>
          <w:rStyle w:val="FootnoteReference"/>
        </w:rPr>
        <w:footnoteRef/>
      </w:r>
      <w:r>
        <w:t xml:space="preserve"> Victorian Energy Jobs Plan | Victorian Government | 2026 | </w:t>
      </w:r>
      <w:hyperlink r:id="rId8" w:tooltip="Opens the Victorian Government energy website page about the Victorian Energy Jobs Plan" w:history="1">
        <w:r>
          <w:rPr>
            <w:rStyle w:val="Hyperlink"/>
          </w:rPr>
          <w:t>energy.vic.gov.au/renewable-energy/our-energy-workforce/victorian-energy-jobs-plan</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E0E49D" w14:textId="77777777" w:rsidR="004677A5" w:rsidRDefault="004677A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F8EFB68" w14:textId="77777777" w:rsidR="004677A5" w:rsidRDefault="004677A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5C7639" w14:textId="77777777" w:rsidR="004677A5" w:rsidRDefault="004677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9FACF4C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686013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1D0FB6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3F8FD9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E11ECDD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0A8F0E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9D69B22"/>
    <w:lvl w:ilvl="0">
      <w:start w:val="1"/>
      <w:numFmt w:val="bullet"/>
      <w:pStyle w:val="ListBullet3"/>
      <w:lvlText w:val=""/>
      <w:lvlJc w:val="left"/>
      <w:pPr>
        <w:ind w:left="926" w:hanging="360"/>
      </w:pPr>
      <w:rPr>
        <w:rFonts w:ascii="Wingdings" w:hAnsi="Wingdings" w:hint="default"/>
      </w:rPr>
    </w:lvl>
  </w:abstractNum>
  <w:abstractNum w:abstractNumId="7" w15:restartNumberingAfterBreak="0">
    <w:nsid w:val="FFFFFF88"/>
    <w:multiLevelType w:val="singleLevel"/>
    <w:tmpl w:val="C64E3856"/>
    <w:lvl w:ilvl="0">
      <w:start w:val="1"/>
      <w:numFmt w:val="decimal"/>
      <w:pStyle w:val="ListNumber"/>
      <w:lvlText w:val="%1."/>
      <w:lvlJc w:val="left"/>
      <w:pPr>
        <w:tabs>
          <w:tab w:val="num" w:pos="2345"/>
        </w:tabs>
        <w:ind w:left="2345" w:hanging="360"/>
      </w:pPr>
      <w:rPr>
        <w:rFonts w:hint="default"/>
      </w:rPr>
    </w:lvl>
  </w:abstractNum>
  <w:abstractNum w:abstractNumId="8" w15:restartNumberingAfterBreak="0">
    <w:nsid w:val="FFFFFF89"/>
    <w:multiLevelType w:val="singleLevel"/>
    <w:tmpl w:val="918404CC"/>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2F06B82"/>
    <w:multiLevelType w:val="multilevel"/>
    <w:tmpl w:val="55D8B3A0"/>
    <w:styleLink w:val="CurrentList8"/>
    <w:lvl w:ilvl="0">
      <w:start w:val="4"/>
      <w:numFmt w:val="lowerLetter"/>
      <w:lvlText w:val="%1."/>
      <w:lvlJc w:val="left"/>
      <w:pPr>
        <w:tabs>
          <w:tab w:val="num" w:pos="1049"/>
        </w:tabs>
        <w:ind w:left="1049" w:hanging="340"/>
      </w:pPr>
      <w:rPr>
        <w:rFonts w:hint="default"/>
      </w:rPr>
    </w:lvl>
    <w:lvl w:ilvl="1">
      <w:start w:val="1"/>
      <w:numFmt w:val="lowerLetter"/>
      <w:lvlText w:val="%2."/>
      <w:lvlJc w:val="left"/>
      <w:pPr>
        <w:ind w:left="1581" w:hanging="360"/>
      </w:pPr>
    </w:lvl>
    <w:lvl w:ilvl="2">
      <w:start w:val="1"/>
      <w:numFmt w:val="lowerRoman"/>
      <w:lvlText w:val="%3."/>
      <w:lvlJc w:val="right"/>
      <w:pPr>
        <w:ind w:left="2301" w:hanging="180"/>
      </w:pPr>
    </w:lvl>
    <w:lvl w:ilvl="3">
      <w:start w:val="1"/>
      <w:numFmt w:val="decimal"/>
      <w:lvlText w:val="%4."/>
      <w:lvlJc w:val="left"/>
      <w:pPr>
        <w:ind w:left="3021" w:hanging="360"/>
      </w:pPr>
    </w:lvl>
    <w:lvl w:ilvl="4">
      <w:start w:val="1"/>
      <w:numFmt w:val="lowerLetter"/>
      <w:lvlText w:val="%5."/>
      <w:lvlJc w:val="left"/>
      <w:pPr>
        <w:ind w:left="3741" w:hanging="360"/>
      </w:pPr>
    </w:lvl>
    <w:lvl w:ilvl="5">
      <w:start w:val="1"/>
      <w:numFmt w:val="lowerRoman"/>
      <w:lvlText w:val="%6."/>
      <w:lvlJc w:val="right"/>
      <w:pPr>
        <w:ind w:left="4461" w:hanging="180"/>
      </w:pPr>
    </w:lvl>
    <w:lvl w:ilvl="6">
      <w:start w:val="1"/>
      <w:numFmt w:val="decimal"/>
      <w:lvlText w:val="%7."/>
      <w:lvlJc w:val="left"/>
      <w:pPr>
        <w:ind w:left="5181" w:hanging="360"/>
      </w:pPr>
    </w:lvl>
    <w:lvl w:ilvl="7">
      <w:start w:val="1"/>
      <w:numFmt w:val="lowerLetter"/>
      <w:lvlText w:val="%8."/>
      <w:lvlJc w:val="left"/>
      <w:pPr>
        <w:ind w:left="5901" w:hanging="360"/>
      </w:pPr>
    </w:lvl>
    <w:lvl w:ilvl="8">
      <w:start w:val="1"/>
      <w:numFmt w:val="lowerRoman"/>
      <w:lvlText w:val="%9."/>
      <w:lvlJc w:val="right"/>
      <w:pPr>
        <w:ind w:left="6621" w:hanging="180"/>
      </w:pPr>
    </w:lvl>
  </w:abstractNum>
  <w:abstractNum w:abstractNumId="10" w15:restartNumberingAfterBreak="0">
    <w:nsid w:val="07BC660F"/>
    <w:multiLevelType w:val="multilevel"/>
    <w:tmpl w:val="C518E0AA"/>
    <w:styleLink w:val="CurrentList2"/>
    <w:lvl w:ilvl="0">
      <w:start w:val="1"/>
      <w:numFmt w:val="lowerLetter"/>
      <w:lvlText w:val="%1."/>
      <w:lvlJc w:val="left"/>
      <w:pPr>
        <w:tabs>
          <w:tab w:val="num" w:pos="340"/>
        </w:tabs>
        <w:ind w:left="340" w:hanging="34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0B9D4908"/>
    <w:multiLevelType w:val="multilevel"/>
    <w:tmpl w:val="4AB455C8"/>
    <w:styleLink w:val="CurrentList13"/>
    <w:lvl w:ilvl="0">
      <w:start w:val="1"/>
      <w:numFmt w:val="decimal"/>
      <w:lvlText w:val="%1"/>
      <w:lvlJc w:val="left"/>
      <w:pPr>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 w15:restartNumberingAfterBreak="0">
    <w:nsid w:val="0ED41628"/>
    <w:multiLevelType w:val="multilevel"/>
    <w:tmpl w:val="0CEE4B10"/>
    <w:styleLink w:val="CurrentList7"/>
    <w:lvl w:ilvl="0">
      <w:start w:val="1"/>
      <w:numFmt w:val="lowerLetter"/>
      <w:lvlText w:val="%1."/>
      <w:lvlJc w:val="left"/>
      <w:pPr>
        <w:tabs>
          <w:tab w:val="num" w:pos="340"/>
        </w:tabs>
        <w:ind w:left="340" w:hanging="34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0F7E0923"/>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177A50B1"/>
    <w:multiLevelType w:val="multilevel"/>
    <w:tmpl w:val="EE1E9434"/>
    <w:styleLink w:val="CurrentList10"/>
    <w:lvl w:ilvl="0">
      <w:start w:val="2"/>
      <w:numFmt w:val="lowerLetter"/>
      <w:lvlText w:val="%1."/>
      <w:lvlJc w:val="left"/>
      <w:pPr>
        <w:tabs>
          <w:tab w:val="num" w:pos="340"/>
        </w:tabs>
        <w:ind w:left="340" w:hanging="34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1ADD3C4D"/>
    <w:multiLevelType w:val="multilevel"/>
    <w:tmpl w:val="0CEE4B10"/>
    <w:styleLink w:val="CurrentList4"/>
    <w:lvl w:ilvl="0">
      <w:start w:val="1"/>
      <w:numFmt w:val="lowerLetter"/>
      <w:lvlText w:val="%1."/>
      <w:lvlJc w:val="left"/>
      <w:pPr>
        <w:tabs>
          <w:tab w:val="num" w:pos="340"/>
        </w:tabs>
        <w:ind w:left="340" w:hanging="34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97F2880"/>
    <w:multiLevelType w:val="multilevel"/>
    <w:tmpl w:val="4AB455C8"/>
    <w:styleLink w:val="CurrentList16"/>
    <w:lvl w:ilvl="0">
      <w:start w:val="1"/>
      <w:numFmt w:val="decimal"/>
      <w:lvlText w:val="%1"/>
      <w:lvlJc w:val="left"/>
      <w:pPr>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7" w15:restartNumberingAfterBreak="0">
    <w:nsid w:val="2EBE7834"/>
    <w:multiLevelType w:val="hybridMultilevel"/>
    <w:tmpl w:val="E5F2027C"/>
    <w:lvl w:ilvl="0" w:tplc="DD82739A">
      <w:start w:val="1"/>
      <w:numFmt w:val="lowerRoman"/>
      <w:pStyle w:val="Listparagraphi"/>
      <w:lvlText w:val="%1."/>
      <w:lvlJc w:val="left"/>
      <w:pPr>
        <w:tabs>
          <w:tab w:val="num" w:pos="1049"/>
        </w:tabs>
        <w:ind w:left="1049" w:hanging="340"/>
      </w:pPr>
      <w:rPr>
        <w:rFonts w:hint="default"/>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8" w15:restartNumberingAfterBreak="0">
    <w:nsid w:val="2F911340"/>
    <w:multiLevelType w:val="multilevel"/>
    <w:tmpl w:val="08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304E5E27"/>
    <w:multiLevelType w:val="multilevel"/>
    <w:tmpl w:val="A02C5382"/>
    <w:styleLink w:val="CurrentList5"/>
    <w:lvl w:ilvl="0">
      <w:start w:val="1"/>
      <w:numFmt w:val="lowerRoman"/>
      <w:lvlText w:val="%1."/>
      <w:lvlJc w:val="left"/>
      <w:pPr>
        <w:tabs>
          <w:tab w:val="num" w:pos="1049"/>
        </w:tabs>
        <w:ind w:left="1049" w:hanging="34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0" w15:restartNumberingAfterBreak="0">
    <w:nsid w:val="3B9A489D"/>
    <w:multiLevelType w:val="multilevel"/>
    <w:tmpl w:val="B85C2CE2"/>
    <w:styleLink w:val="CurrentList9"/>
    <w:lvl w:ilvl="0">
      <w:start w:val="1"/>
      <w:numFmt w:val="bullet"/>
      <w:lvlText w:val=""/>
      <w:lvlJc w:val="left"/>
      <w:pPr>
        <w:ind w:left="36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61F63B2"/>
    <w:multiLevelType w:val="multilevel"/>
    <w:tmpl w:val="2582452E"/>
    <w:styleLink w:val="CurrentList11"/>
    <w:lvl w:ilvl="0">
      <w:start w:val="1"/>
      <w:numFmt w:val="lowerLetter"/>
      <w:lvlText w:val="%1."/>
      <w:lvlJc w:val="left"/>
      <w:pPr>
        <w:tabs>
          <w:tab w:val="num" w:pos="340"/>
        </w:tabs>
        <w:ind w:left="340" w:hanging="34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6D35F88"/>
    <w:multiLevelType w:val="multilevel"/>
    <w:tmpl w:val="6DAE0932"/>
    <w:styleLink w:val="CurrentList3"/>
    <w:lvl w:ilvl="0">
      <w:start w:val="1"/>
      <w:numFmt w:val="lowerLetter"/>
      <w:lvlText w:val="%1."/>
      <w:lvlJc w:val="left"/>
      <w:pPr>
        <w:tabs>
          <w:tab w:val="num" w:pos="340"/>
        </w:tabs>
        <w:ind w:left="340" w:hanging="34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532F73A0"/>
    <w:multiLevelType w:val="multilevel"/>
    <w:tmpl w:val="2582452E"/>
    <w:styleLink w:val="CurrentList12"/>
    <w:lvl w:ilvl="0">
      <w:start w:val="1"/>
      <w:numFmt w:val="lowerLetter"/>
      <w:lvlText w:val="%1."/>
      <w:lvlJc w:val="left"/>
      <w:pPr>
        <w:tabs>
          <w:tab w:val="num" w:pos="697"/>
        </w:tabs>
        <w:ind w:left="697" w:hanging="340"/>
      </w:pPr>
      <w:rPr>
        <w:rFonts w:hint="default"/>
      </w:rPr>
    </w:lvl>
    <w:lvl w:ilvl="1">
      <w:start w:val="1"/>
      <w:numFmt w:val="lowerLetter"/>
      <w:lvlText w:val="%2."/>
      <w:lvlJc w:val="left"/>
      <w:pPr>
        <w:ind w:left="1797" w:hanging="360"/>
      </w:pPr>
    </w:lvl>
    <w:lvl w:ilvl="2">
      <w:start w:val="1"/>
      <w:numFmt w:val="lowerRoman"/>
      <w:lvlText w:val="%3."/>
      <w:lvlJc w:val="right"/>
      <w:pPr>
        <w:ind w:left="2517" w:hanging="180"/>
      </w:pPr>
    </w:lvl>
    <w:lvl w:ilvl="3">
      <w:start w:val="1"/>
      <w:numFmt w:val="decimal"/>
      <w:lvlText w:val="%4."/>
      <w:lvlJc w:val="left"/>
      <w:pPr>
        <w:ind w:left="3237" w:hanging="360"/>
      </w:pPr>
    </w:lvl>
    <w:lvl w:ilvl="4">
      <w:start w:val="1"/>
      <w:numFmt w:val="lowerLetter"/>
      <w:lvlText w:val="%5."/>
      <w:lvlJc w:val="left"/>
      <w:pPr>
        <w:ind w:left="3957" w:hanging="360"/>
      </w:pPr>
    </w:lvl>
    <w:lvl w:ilvl="5">
      <w:start w:val="1"/>
      <w:numFmt w:val="lowerRoman"/>
      <w:lvlText w:val="%6."/>
      <w:lvlJc w:val="right"/>
      <w:pPr>
        <w:ind w:left="4677" w:hanging="180"/>
      </w:pPr>
    </w:lvl>
    <w:lvl w:ilvl="6">
      <w:start w:val="1"/>
      <w:numFmt w:val="decimal"/>
      <w:lvlText w:val="%7."/>
      <w:lvlJc w:val="left"/>
      <w:pPr>
        <w:ind w:left="5397" w:hanging="360"/>
      </w:pPr>
    </w:lvl>
    <w:lvl w:ilvl="7">
      <w:start w:val="1"/>
      <w:numFmt w:val="lowerLetter"/>
      <w:lvlText w:val="%8."/>
      <w:lvlJc w:val="left"/>
      <w:pPr>
        <w:ind w:left="6117" w:hanging="360"/>
      </w:pPr>
    </w:lvl>
    <w:lvl w:ilvl="8">
      <w:start w:val="1"/>
      <w:numFmt w:val="lowerRoman"/>
      <w:lvlText w:val="%9."/>
      <w:lvlJc w:val="right"/>
      <w:pPr>
        <w:ind w:left="6837" w:hanging="180"/>
      </w:pPr>
    </w:lvl>
  </w:abstractNum>
  <w:abstractNum w:abstractNumId="24" w15:restartNumberingAfterBreak="0">
    <w:nsid w:val="5510099A"/>
    <w:multiLevelType w:val="multilevel"/>
    <w:tmpl w:val="C518E0AA"/>
    <w:styleLink w:val="CurrentList1"/>
    <w:lvl w:ilvl="0">
      <w:start w:val="1"/>
      <w:numFmt w:val="lowerLetter"/>
      <w:lvlText w:val="%1."/>
      <w:lvlJc w:val="left"/>
      <w:pPr>
        <w:tabs>
          <w:tab w:val="num" w:pos="340"/>
        </w:tabs>
        <w:ind w:left="340" w:hanging="34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55DB6CAA"/>
    <w:multiLevelType w:val="multilevel"/>
    <w:tmpl w:val="0809001D"/>
    <w:styleLink w:val="CurrentList18"/>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5B790C95"/>
    <w:multiLevelType w:val="multilevel"/>
    <w:tmpl w:val="33E43144"/>
    <w:styleLink w:val="CurrentList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5BAC11D2"/>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613D3B90"/>
    <w:multiLevelType w:val="multilevel"/>
    <w:tmpl w:val="0809001D"/>
    <w:styleLink w:val="CurrentList1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619977DE"/>
    <w:multiLevelType w:val="multilevel"/>
    <w:tmpl w:val="86D889D8"/>
    <w:styleLink w:val="CurrentList1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62CA3B4C"/>
    <w:multiLevelType w:val="hybridMultilevel"/>
    <w:tmpl w:val="3FECBB80"/>
    <w:lvl w:ilvl="0" w:tplc="125A57F2">
      <w:start w:val="1"/>
      <w:numFmt w:val="lowerLetter"/>
      <w:pStyle w:val="Listparagrapha"/>
      <w:lvlText w:val="%1."/>
      <w:lvlJc w:val="left"/>
      <w:pPr>
        <w:tabs>
          <w:tab w:val="num" w:pos="697"/>
        </w:tabs>
        <w:ind w:left="697" w:hanging="340"/>
      </w:pPr>
      <w:rPr>
        <w:rFonts w:hint="default"/>
        <w:b w:val="0"/>
        <w:i w:val="0"/>
      </w:rPr>
    </w:lvl>
    <w:lvl w:ilvl="1" w:tplc="FFFFFFFF">
      <w:start w:val="1"/>
      <w:numFmt w:val="lowerLetter"/>
      <w:lvlText w:val="%2."/>
      <w:lvlJc w:val="left"/>
      <w:pPr>
        <w:ind w:left="1797" w:hanging="360"/>
      </w:pPr>
    </w:lvl>
    <w:lvl w:ilvl="2" w:tplc="FFFFFFFF" w:tentative="1">
      <w:start w:val="1"/>
      <w:numFmt w:val="lowerRoman"/>
      <w:lvlText w:val="%3."/>
      <w:lvlJc w:val="right"/>
      <w:pPr>
        <w:ind w:left="2517" w:hanging="180"/>
      </w:pPr>
    </w:lvl>
    <w:lvl w:ilvl="3" w:tplc="FFFFFFFF" w:tentative="1">
      <w:start w:val="1"/>
      <w:numFmt w:val="decimal"/>
      <w:lvlText w:val="%4."/>
      <w:lvlJc w:val="left"/>
      <w:pPr>
        <w:ind w:left="3237" w:hanging="360"/>
      </w:pPr>
    </w:lvl>
    <w:lvl w:ilvl="4" w:tplc="FFFFFFFF" w:tentative="1">
      <w:start w:val="1"/>
      <w:numFmt w:val="lowerLetter"/>
      <w:lvlText w:val="%5."/>
      <w:lvlJc w:val="left"/>
      <w:pPr>
        <w:ind w:left="3957" w:hanging="360"/>
      </w:pPr>
    </w:lvl>
    <w:lvl w:ilvl="5" w:tplc="FFFFFFFF" w:tentative="1">
      <w:start w:val="1"/>
      <w:numFmt w:val="lowerRoman"/>
      <w:lvlText w:val="%6."/>
      <w:lvlJc w:val="right"/>
      <w:pPr>
        <w:ind w:left="4677" w:hanging="180"/>
      </w:pPr>
    </w:lvl>
    <w:lvl w:ilvl="6" w:tplc="FFFFFFFF" w:tentative="1">
      <w:start w:val="1"/>
      <w:numFmt w:val="decimal"/>
      <w:lvlText w:val="%7."/>
      <w:lvlJc w:val="left"/>
      <w:pPr>
        <w:ind w:left="5397" w:hanging="360"/>
      </w:pPr>
    </w:lvl>
    <w:lvl w:ilvl="7" w:tplc="FFFFFFFF" w:tentative="1">
      <w:start w:val="1"/>
      <w:numFmt w:val="lowerLetter"/>
      <w:lvlText w:val="%8."/>
      <w:lvlJc w:val="left"/>
      <w:pPr>
        <w:ind w:left="6117" w:hanging="360"/>
      </w:pPr>
    </w:lvl>
    <w:lvl w:ilvl="8" w:tplc="FFFFFFFF" w:tentative="1">
      <w:start w:val="1"/>
      <w:numFmt w:val="lowerRoman"/>
      <w:lvlText w:val="%9."/>
      <w:lvlJc w:val="right"/>
      <w:pPr>
        <w:ind w:left="6837" w:hanging="180"/>
      </w:pPr>
    </w:lvl>
  </w:abstractNum>
  <w:abstractNum w:abstractNumId="31" w15:restartNumberingAfterBreak="0">
    <w:nsid w:val="652D2E3B"/>
    <w:multiLevelType w:val="hybridMultilevel"/>
    <w:tmpl w:val="4F829E28"/>
    <w:lvl w:ilvl="0" w:tplc="111CBC08">
      <w:start w:val="1"/>
      <w:numFmt w:val="bullet"/>
      <w:pStyle w:val="TableText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D702E09"/>
    <w:multiLevelType w:val="hybridMultilevel"/>
    <w:tmpl w:val="8DF803A0"/>
    <w:lvl w:ilvl="0" w:tplc="66B47468">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1F05A7E"/>
    <w:multiLevelType w:val="multilevel"/>
    <w:tmpl w:val="0809001D"/>
    <w:styleLink w:val="CurrentList1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731D65E9"/>
    <w:multiLevelType w:val="hybridMultilevel"/>
    <w:tmpl w:val="8F425C38"/>
    <w:lvl w:ilvl="0" w:tplc="54303112">
      <w:start w:val="1"/>
      <w:numFmt w:val="bullet"/>
      <w:pStyle w:val="ListBullet2"/>
      <w:lvlText w:val=""/>
      <w:lvlJc w:val="left"/>
      <w:pPr>
        <w:ind w:left="732" w:hanging="360"/>
      </w:pPr>
      <w:rPr>
        <w:rFonts w:ascii="Wingdings" w:hAnsi="Wingdings" w:hint="default"/>
      </w:rPr>
    </w:lvl>
    <w:lvl w:ilvl="1" w:tplc="08090003" w:tentative="1">
      <w:start w:val="1"/>
      <w:numFmt w:val="bullet"/>
      <w:lvlText w:val="o"/>
      <w:lvlJc w:val="left"/>
      <w:pPr>
        <w:ind w:left="1452" w:hanging="360"/>
      </w:pPr>
      <w:rPr>
        <w:rFonts w:ascii="Courier New" w:hAnsi="Courier New" w:cs="Courier New" w:hint="default"/>
      </w:rPr>
    </w:lvl>
    <w:lvl w:ilvl="2" w:tplc="08090005" w:tentative="1">
      <w:start w:val="1"/>
      <w:numFmt w:val="bullet"/>
      <w:lvlText w:val=""/>
      <w:lvlJc w:val="left"/>
      <w:pPr>
        <w:ind w:left="2172" w:hanging="360"/>
      </w:pPr>
      <w:rPr>
        <w:rFonts w:ascii="Wingdings" w:hAnsi="Wingdings" w:hint="default"/>
      </w:rPr>
    </w:lvl>
    <w:lvl w:ilvl="3" w:tplc="08090001" w:tentative="1">
      <w:start w:val="1"/>
      <w:numFmt w:val="bullet"/>
      <w:lvlText w:val=""/>
      <w:lvlJc w:val="left"/>
      <w:pPr>
        <w:ind w:left="2892" w:hanging="360"/>
      </w:pPr>
      <w:rPr>
        <w:rFonts w:ascii="Symbol" w:hAnsi="Symbol" w:hint="default"/>
      </w:rPr>
    </w:lvl>
    <w:lvl w:ilvl="4" w:tplc="08090003" w:tentative="1">
      <w:start w:val="1"/>
      <w:numFmt w:val="bullet"/>
      <w:lvlText w:val="o"/>
      <w:lvlJc w:val="left"/>
      <w:pPr>
        <w:ind w:left="3612" w:hanging="360"/>
      </w:pPr>
      <w:rPr>
        <w:rFonts w:ascii="Courier New" w:hAnsi="Courier New" w:cs="Courier New" w:hint="default"/>
      </w:rPr>
    </w:lvl>
    <w:lvl w:ilvl="5" w:tplc="08090005" w:tentative="1">
      <w:start w:val="1"/>
      <w:numFmt w:val="bullet"/>
      <w:lvlText w:val=""/>
      <w:lvlJc w:val="left"/>
      <w:pPr>
        <w:ind w:left="4332" w:hanging="360"/>
      </w:pPr>
      <w:rPr>
        <w:rFonts w:ascii="Wingdings" w:hAnsi="Wingdings" w:hint="default"/>
      </w:rPr>
    </w:lvl>
    <w:lvl w:ilvl="6" w:tplc="08090001" w:tentative="1">
      <w:start w:val="1"/>
      <w:numFmt w:val="bullet"/>
      <w:lvlText w:val=""/>
      <w:lvlJc w:val="left"/>
      <w:pPr>
        <w:ind w:left="5052" w:hanging="360"/>
      </w:pPr>
      <w:rPr>
        <w:rFonts w:ascii="Symbol" w:hAnsi="Symbol" w:hint="default"/>
      </w:rPr>
    </w:lvl>
    <w:lvl w:ilvl="7" w:tplc="08090003" w:tentative="1">
      <w:start w:val="1"/>
      <w:numFmt w:val="bullet"/>
      <w:lvlText w:val="o"/>
      <w:lvlJc w:val="left"/>
      <w:pPr>
        <w:ind w:left="5772" w:hanging="360"/>
      </w:pPr>
      <w:rPr>
        <w:rFonts w:ascii="Courier New" w:hAnsi="Courier New" w:cs="Courier New" w:hint="default"/>
      </w:rPr>
    </w:lvl>
    <w:lvl w:ilvl="8" w:tplc="08090005" w:tentative="1">
      <w:start w:val="1"/>
      <w:numFmt w:val="bullet"/>
      <w:lvlText w:val=""/>
      <w:lvlJc w:val="left"/>
      <w:pPr>
        <w:ind w:left="6492" w:hanging="360"/>
      </w:pPr>
      <w:rPr>
        <w:rFonts w:ascii="Wingdings" w:hAnsi="Wingdings" w:hint="default"/>
      </w:rPr>
    </w:lvl>
  </w:abstractNum>
  <w:abstractNum w:abstractNumId="35" w15:restartNumberingAfterBreak="0">
    <w:nsid w:val="7CA92CF3"/>
    <w:multiLevelType w:val="hybridMultilevel"/>
    <w:tmpl w:val="C3F40D64"/>
    <w:lvl w:ilvl="0" w:tplc="D0DE56FC">
      <w:start w:val="1"/>
      <w:numFmt w:val="bullet"/>
      <w:pStyle w:val="Bullet2"/>
      <w:lvlText w:val=""/>
      <w:lvlJc w:val="left"/>
      <w:pPr>
        <w:ind w:left="706"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601570190">
    <w:abstractNumId w:val="35"/>
  </w:num>
  <w:num w:numId="2" w16cid:durableId="1813522522">
    <w:abstractNumId w:val="8"/>
  </w:num>
  <w:num w:numId="3" w16cid:durableId="533276510">
    <w:abstractNumId w:val="34"/>
  </w:num>
  <w:num w:numId="4" w16cid:durableId="771362055">
    <w:abstractNumId w:val="7"/>
  </w:num>
  <w:num w:numId="5" w16cid:durableId="3823149">
    <w:abstractNumId w:val="24"/>
  </w:num>
  <w:num w:numId="6" w16cid:durableId="338390637">
    <w:abstractNumId w:val="10"/>
  </w:num>
  <w:num w:numId="7" w16cid:durableId="182984412">
    <w:abstractNumId w:val="30"/>
  </w:num>
  <w:num w:numId="8" w16cid:durableId="853954488">
    <w:abstractNumId w:val="22"/>
  </w:num>
  <w:num w:numId="9" w16cid:durableId="307325374">
    <w:abstractNumId w:val="15"/>
  </w:num>
  <w:num w:numId="10" w16cid:durableId="1207567416">
    <w:abstractNumId w:val="19"/>
  </w:num>
  <w:num w:numId="11" w16cid:durableId="1714499310">
    <w:abstractNumId w:val="17"/>
  </w:num>
  <w:num w:numId="12" w16cid:durableId="1557817223">
    <w:abstractNumId w:val="26"/>
  </w:num>
  <w:num w:numId="13" w16cid:durableId="766468131">
    <w:abstractNumId w:val="12"/>
  </w:num>
  <w:num w:numId="14" w16cid:durableId="401634644">
    <w:abstractNumId w:val="9"/>
  </w:num>
  <w:num w:numId="15" w16cid:durableId="1333338980">
    <w:abstractNumId w:val="14"/>
  </w:num>
  <w:num w:numId="16" w16cid:durableId="2077896738">
    <w:abstractNumId w:val="21"/>
  </w:num>
  <w:num w:numId="17" w16cid:durableId="318195612">
    <w:abstractNumId w:val="3"/>
  </w:num>
  <w:num w:numId="18" w16cid:durableId="172572898">
    <w:abstractNumId w:val="23"/>
  </w:num>
  <w:num w:numId="19" w16cid:durableId="1306818322">
    <w:abstractNumId w:val="6"/>
  </w:num>
  <w:num w:numId="20" w16cid:durableId="1536767415">
    <w:abstractNumId w:val="31"/>
  </w:num>
  <w:num w:numId="21" w16cid:durableId="54209663">
    <w:abstractNumId w:val="11"/>
  </w:num>
  <w:num w:numId="22" w16cid:durableId="1336883623">
    <w:abstractNumId w:val="29"/>
  </w:num>
  <w:num w:numId="23" w16cid:durableId="1204173423">
    <w:abstractNumId w:val="28"/>
  </w:num>
  <w:num w:numId="24" w16cid:durableId="1581451535">
    <w:abstractNumId w:val="16"/>
  </w:num>
  <w:num w:numId="25" w16cid:durableId="1754938255">
    <w:abstractNumId w:val="20"/>
  </w:num>
  <w:num w:numId="26" w16cid:durableId="1013340051">
    <w:abstractNumId w:val="33"/>
  </w:num>
  <w:num w:numId="27" w16cid:durableId="888301183">
    <w:abstractNumId w:val="25"/>
  </w:num>
  <w:num w:numId="28" w16cid:durableId="1861358892">
    <w:abstractNumId w:val="32"/>
  </w:num>
  <w:num w:numId="29" w16cid:durableId="695543879">
    <w:abstractNumId w:val="27"/>
  </w:num>
  <w:num w:numId="30" w16cid:durableId="1293904149">
    <w:abstractNumId w:val="13"/>
  </w:num>
  <w:num w:numId="31" w16cid:durableId="1885799011">
    <w:abstractNumId w:val="18"/>
  </w:num>
  <w:num w:numId="32" w16cid:durableId="781723449">
    <w:abstractNumId w:val="5"/>
  </w:num>
  <w:num w:numId="33" w16cid:durableId="84034890">
    <w:abstractNumId w:val="4"/>
  </w:num>
  <w:num w:numId="34" w16cid:durableId="1260794935">
    <w:abstractNumId w:val="2"/>
  </w:num>
  <w:num w:numId="35" w16cid:durableId="151218914">
    <w:abstractNumId w:val="1"/>
  </w:num>
  <w:num w:numId="36" w16cid:durableId="2055930691">
    <w:abstractNumId w:val="0"/>
  </w:num>
  <w:num w:numId="37" w16cid:durableId="279996204">
    <w:abstractNumId w:val="7"/>
    <w:lvlOverride w:ilvl="0">
      <w:startOverride w:val="1"/>
    </w:lvlOverride>
  </w:num>
  <w:numIdMacAtCleanup w:val="27"/>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8"/>
  <w:embedSystemFonts/>
  <w:bordersDoNotSurroundHeader/>
  <w:bordersDoNotSurroundFooter/>
  <w:activeWritingStyle w:appName="MSWord" w:lang="en-AU" w:vendorID="64" w:dllVersion="0" w:nlCheck="1" w:checkStyle="0"/>
  <w:activeWritingStyle w:appName="MSWord" w:lang="en-US" w:vendorID="64" w:dllVersion="0" w:nlCheck="1" w:checkStyle="0"/>
  <w:activeWritingStyle w:appName="MSWord" w:lang="en-GB" w:vendorID="64" w:dllVersion="0" w:nlCheck="1" w:checkStyle="0"/>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autoHyphenation/>
  <w:drawingGridHorizontalSpacing w:val="120"/>
  <w:drawingGridVerticalSpacing w:val="120"/>
  <w:displayHorizontalDrawingGridEvery w:val="0"/>
  <w:displayVerticalDrawingGridEvery w:val="3"/>
  <w:doNotUseMarginsForDrawingGridOrigin/>
  <w:doNotShadeFormData/>
  <w:characterSpacingControl w:val="compressPunctuation"/>
  <w:noLineBreaksAfter w:lang="ja-JP" w:val="([{£§‘“"/>
  <w:noLineBreaksBefore w:lang="ja-JP" w:val="!),.:;?]}¢—’”‰"/>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E64"/>
    <w:rsid w:val="00001E7A"/>
    <w:rsid w:val="000031BB"/>
    <w:rsid w:val="000055D4"/>
    <w:rsid w:val="00010851"/>
    <w:rsid w:val="00010D69"/>
    <w:rsid w:val="000138AF"/>
    <w:rsid w:val="000159E0"/>
    <w:rsid w:val="00016269"/>
    <w:rsid w:val="0001795D"/>
    <w:rsid w:val="000210D8"/>
    <w:rsid w:val="00021E90"/>
    <w:rsid w:val="00024973"/>
    <w:rsid w:val="00024EED"/>
    <w:rsid w:val="00026504"/>
    <w:rsid w:val="0003252D"/>
    <w:rsid w:val="00033D9B"/>
    <w:rsid w:val="00035E6B"/>
    <w:rsid w:val="000378C7"/>
    <w:rsid w:val="0004007B"/>
    <w:rsid w:val="000403E9"/>
    <w:rsid w:val="000407F7"/>
    <w:rsid w:val="00040921"/>
    <w:rsid w:val="0004155F"/>
    <w:rsid w:val="00045691"/>
    <w:rsid w:val="00046FB2"/>
    <w:rsid w:val="000473FF"/>
    <w:rsid w:val="000505A5"/>
    <w:rsid w:val="00050A02"/>
    <w:rsid w:val="00051ABC"/>
    <w:rsid w:val="00055918"/>
    <w:rsid w:val="00057DAA"/>
    <w:rsid w:val="00060F88"/>
    <w:rsid w:val="0006211F"/>
    <w:rsid w:val="00062635"/>
    <w:rsid w:val="00063821"/>
    <w:rsid w:val="000670B1"/>
    <w:rsid w:val="00067C5F"/>
    <w:rsid w:val="00070BB3"/>
    <w:rsid w:val="000731D8"/>
    <w:rsid w:val="000747B4"/>
    <w:rsid w:val="00077243"/>
    <w:rsid w:val="00083F92"/>
    <w:rsid w:val="00096052"/>
    <w:rsid w:val="00096F20"/>
    <w:rsid w:val="000A06C8"/>
    <w:rsid w:val="000A07D7"/>
    <w:rsid w:val="000A09C6"/>
    <w:rsid w:val="000A2C96"/>
    <w:rsid w:val="000A2E17"/>
    <w:rsid w:val="000A49E3"/>
    <w:rsid w:val="000B0305"/>
    <w:rsid w:val="000B181D"/>
    <w:rsid w:val="000B62B5"/>
    <w:rsid w:val="000C021F"/>
    <w:rsid w:val="000C259F"/>
    <w:rsid w:val="000C377A"/>
    <w:rsid w:val="000C4A37"/>
    <w:rsid w:val="000C4B11"/>
    <w:rsid w:val="000C7148"/>
    <w:rsid w:val="000D4E1A"/>
    <w:rsid w:val="000D7F89"/>
    <w:rsid w:val="000F00F6"/>
    <w:rsid w:val="000F1864"/>
    <w:rsid w:val="000F2ED2"/>
    <w:rsid w:val="000F3D21"/>
    <w:rsid w:val="000F4892"/>
    <w:rsid w:val="000F491B"/>
    <w:rsid w:val="000F4C2F"/>
    <w:rsid w:val="000F7ED6"/>
    <w:rsid w:val="00101019"/>
    <w:rsid w:val="00104647"/>
    <w:rsid w:val="00105A0B"/>
    <w:rsid w:val="001069F6"/>
    <w:rsid w:val="001073C1"/>
    <w:rsid w:val="001104F7"/>
    <w:rsid w:val="00114AA6"/>
    <w:rsid w:val="0011571F"/>
    <w:rsid w:val="001164EC"/>
    <w:rsid w:val="00121F0D"/>
    <w:rsid w:val="00124CDD"/>
    <w:rsid w:val="00125150"/>
    <w:rsid w:val="001252BF"/>
    <w:rsid w:val="00127070"/>
    <w:rsid w:val="001273C5"/>
    <w:rsid w:val="00131B14"/>
    <w:rsid w:val="00132474"/>
    <w:rsid w:val="001326C2"/>
    <w:rsid w:val="0013327E"/>
    <w:rsid w:val="00135B36"/>
    <w:rsid w:val="001450B6"/>
    <w:rsid w:val="001475FA"/>
    <w:rsid w:val="001500AB"/>
    <w:rsid w:val="00150D75"/>
    <w:rsid w:val="00151489"/>
    <w:rsid w:val="0015223C"/>
    <w:rsid w:val="00152A8B"/>
    <w:rsid w:val="00156D15"/>
    <w:rsid w:val="00163F36"/>
    <w:rsid w:val="00164E6C"/>
    <w:rsid w:val="0016764A"/>
    <w:rsid w:val="001679C2"/>
    <w:rsid w:val="00167B91"/>
    <w:rsid w:val="001708FE"/>
    <w:rsid w:val="00170B1E"/>
    <w:rsid w:val="00171185"/>
    <w:rsid w:val="00172357"/>
    <w:rsid w:val="00175022"/>
    <w:rsid w:val="00181BFA"/>
    <w:rsid w:val="00185ABC"/>
    <w:rsid w:val="00185F2D"/>
    <w:rsid w:val="00187524"/>
    <w:rsid w:val="00187BEB"/>
    <w:rsid w:val="00191553"/>
    <w:rsid w:val="001920A5"/>
    <w:rsid w:val="00192DC5"/>
    <w:rsid w:val="0019451B"/>
    <w:rsid w:val="001950EE"/>
    <w:rsid w:val="001A118C"/>
    <w:rsid w:val="001A358E"/>
    <w:rsid w:val="001A4A2B"/>
    <w:rsid w:val="001A5DB2"/>
    <w:rsid w:val="001A6F8B"/>
    <w:rsid w:val="001A714A"/>
    <w:rsid w:val="001B02D0"/>
    <w:rsid w:val="001B1361"/>
    <w:rsid w:val="001B1B3A"/>
    <w:rsid w:val="001B2A51"/>
    <w:rsid w:val="001B37AF"/>
    <w:rsid w:val="001B4C0B"/>
    <w:rsid w:val="001B72F0"/>
    <w:rsid w:val="001C10D8"/>
    <w:rsid w:val="001C1D65"/>
    <w:rsid w:val="001C2B23"/>
    <w:rsid w:val="001C31F8"/>
    <w:rsid w:val="001C7E9F"/>
    <w:rsid w:val="001D023D"/>
    <w:rsid w:val="001D3828"/>
    <w:rsid w:val="001D441D"/>
    <w:rsid w:val="001D5686"/>
    <w:rsid w:val="001E0685"/>
    <w:rsid w:val="001E332A"/>
    <w:rsid w:val="001E3511"/>
    <w:rsid w:val="001E3FB4"/>
    <w:rsid w:val="001E4386"/>
    <w:rsid w:val="001E4846"/>
    <w:rsid w:val="001E5B9F"/>
    <w:rsid w:val="001E6288"/>
    <w:rsid w:val="001F01C9"/>
    <w:rsid w:val="001F18D2"/>
    <w:rsid w:val="001F1BBD"/>
    <w:rsid w:val="001F2925"/>
    <w:rsid w:val="001F45C5"/>
    <w:rsid w:val="001F4B3E"/>
    <w:rsid w:val="001F5C59"/>
    <w:rsid w:val="001F5FF3"/>
    <w:rsid w:val="001F6D43"/>
    <w:rsid w:val="002020A7"/>
    <w:rsid w:val="00202A5B"/>
    <w:rsid w:val="0020318C"/>
    <w:rsid w:val="00203251"/>
    <w:rsid w:val="00207F89"/>
    <w:rsid w:val="00210E8C"/>
    <w:rsid w:val="00212461"/>
    <w:rsid w:val="00214345"/>
    <w:rsid w:val="002143C5"/>
    <w:rsid w:val="0021482C"/>
    <w:rsid w:val="002152A5"/>
    <w:rsid w:val="00215E01"/>
    <w:rsid w:val="00220839"/>
    <w:rsid w:val="00222FF2"/>
    <w:rsid w:val="00231129"/>
    <w:rsid w:val="002329CC"/>
    <w:rsid w:val="002336CC"/>
    <w:rsid w:val="00233B8B"/>
    <w:rsid w:val="00236EB6"/>
    <w:rsid w:val="002401CD"/>
    <w:rsid w:val="00241796"/>
    <w:rsid w:val="00241E12"/>
    <w:rsid w:val="00244E10"/>
    <w:rsid w:val="00245368"/>
    <w:rsid w:val="0024556C"/>
    <w:rsid w:val="002460FA"/>
    <w:rsid w:val="00246623"/>
    <w:rsid w:val="002528F3"/>
    <w:rsid w:val="00252A99"/>
    <w:rsid w:val="00252B69"/>
    <w:rsid w:val="002533B0"/>
    <w:rsid w:val="00253B39"/>
    <w:rsid w:val="00253CE5"/>
    <w:rsid w:val="00253E2B"/>
    <w:rsid w:val="002565F3"/>
    <w:rsid w:val="0026107A"/>
    <w:rsid w:val="002612BF"/>
    <w:rsid w:val="0026182E"/>
    <w:rsid w:val="002623BE"/>
    <w:rsid w:val="002629BE"/>
    <w:rsid w:val="0026417C"/>
    <w:rsid w:val="00266DF9"/>
    <w:rsid w:val="002729DE"/>
    <w:rsid w:val="0027313B"/>
    <w:rsid w:val="002742CF"/>
    <w:rsid w:val="00276F9F"/>
    <w:rsid w:val="0028015F"/>
    <w:rsid w:val="00281939"/>
    <w:rsid w:val="00283316"/>
    <w:rsid w:val="00283702"/>
    <w:rsid w:val="00283D59"/>
    <w:rsid w:val="00284372"/>
    <w:rsid w:val="002848F0"/>
    <w:rsid w:val="00285B57"/>
    <w:rsid w:val="00287102"/>
    <w:rsid w:val="00287AA8"/>
    <w:rsid w:val="00287CD4"/>
    <w:rsid w:val="00291546"/>
    <w:rsid w:val="00292641"/>
    <w:rsid w:val="00292E19"/>
    <w:rsid w:val="00295CE3"/>
    <w:rsid w:val="002A2BEF"/>
    <w:rsid w:val="002A3002"/>
    <w:rsid w:val="002A69BC"/>
    <w:rsid w:val="002B01C3"/>
    <w:rsid w:val="002C3499"/>
    <w:rsid w:val="002C41F0"/>
    <w:rsid w:val="002C75FC"/>
    <w:rsid w:val="002C7725"/>
    <w:rsid w:val="002D0B3A"/>
    <w:rsid w:val="002D2205"/>
    <w:rsid w:val="002D26FB"/>
    <w:rsid w:val="002D3DF1"/>
    <w:rsid w:val="002D5D38"/>
    <w:rsid w:val="002D70AB"/>
    <w:rsid w:val="002D75AD"/>
    <w:rsid w:val="002E1F5B"/>
    <w:rsid w:val="002E1FA8"/>
    <w:rsid w:val="002E34E8"/>
    <w:rsid w:val="002E4FE6"/>
    <w:rsid w:val="002E5F4D"/>
    <w:rsid w:val="002E748D"/>
    <w:rsid w:val="002F0246"/>
    <w:rsid w:val="002F08A3"/>
    <w:rsid w:val="002F0A22"/>
    <w:rsid w:val="002F239E"/>
    <w:rsid w:val="002F2CD2"/>
    <w:rsid w:val="002F38E2"/>
    <w:rsid w:val="002F5028"/>
    <w:rsid w:val="002F7F10"/>
    <w:rsid w:val="003016EC"/>
    <w:rsid w:val="00302960"/>
    <w:rsid w:val="00305C9D"/>
    <w:rsid w:val="0030735D"/>
    <w:rsid w:val="00307463"/>
    <w:rsid w:val="00307AE3"/>
    <w:rsid w:val="0031002A"/>
    <w:rsid w:val="00310309"/>
    <w:rsid w:val="003116DC"/>
    <w:rsid w:val="00311725"/>
    <w:rsid w:val="00320AAB"/>
    <w:rsid w:val="00320E94"/>
    <w:rsid w:val="003211A9"/>
    <w:rsid w:val="003226E3"/>
    <w:rsid w:val="00324579"/>
    <w:rsid w:val="00332FE6"/>
    <w:rsid w:val="003360B7"/>
    <w:rsid w:val="003367D8"/>
    <w:rsid w:val="00336EEE"/>
    <w:rsid w:val="00337320"/>
    <w:rsid w:val="0034155C"/>
    <w:rsid w:val="0034757B"/>
    <w:rsid w:val="00350920"/>
    <w:rsid w:val="00352F44"/>
    <w:rsid w:val="00355541"/>
    <w:rsid w:val="003560A1"/>
    <w:rsid w:val="003616B0"/>
    <w:rsid w:val="00365074"/>
    <w:rsid w:val="00365844"/>
    <w:rsid w:val="0036602E"/>
    <w:rsid w:val="00367F37"/>
    <w:rsid w:val="0037647E"/>
    <w:rsid w:val="003815C1"/>
    <w:rsid w:val="0038278D"/>
    <w:rsid w:val="0038291F"/>
    <w:rsid w:val="00384270"/>
    <w:rsid w:val="003842AB"/>
    <w:rsid w:val="003857A1"/>
    <w:rsid w:val="00387EBD"/>
    <w:rsid w:val="003931F4"/>
    <w:rsid w:val="003939D3"/>
    <w:rsid w:val="00395B17"/>
    <w:rsid w:val="00395DD4"/>
    <w:rsid w:val="00397BEF"/>
    <w:rsid w:val="003A0ADE"/>
    <w:rsid w:val="003A1991"/>
    <w:rsid w:val="003A393C"/>
    <w:rsid w:val="003A42CC"/>
    <w:rsid w:val="003A5555"/>
    <w:rsid w:val="003A6086"/>
    <w:rsid w:val="003A7094"/>
    <w:rsid w:val="003A72CF"/>
    <w:rsid w:val="003B25BA"/>
    <w:rsid w:val="003B4284"/>
    <w:rsid w:val="003B4A00"/>
    <w:rsid w:val="003B5F16"/>
    <w:rsid w:val="003C0AAC"/>
    <w:rsid w:val="003C2291"/>
    <w:rsid w:val="003C43C1"/>
    <w:rsid w:val="003C7412"/>
    <w:rsid w:val="003C7DED"/>
    <w:rsid w:val="003D0365"/>
    <w:rsid w:val="003D16D7"/>
    <w:rsid w:val="003D1F96"/>
    <w:rsid w:val="003D4796"/>
    <w:rsid w:val="003E2730"/>
    <w:rsid w:val="003E3C61"/>
    <w:rsid w:val="003E4660"/>
    <w:rsid w:val="003E5B1D"/>
    <w:rsid w:val="003E6B4D"/>
    <w:rsid w:val="003E76E9"/>
    <w:rsid w:val="003F0FE0"/>
    <w:rsid w:val="003F1409"/>
    <w:rsid w:val="003F26AC"/>
    <w:rsid w:val="003F3BF3"/>
    <w:rsid w:val="003F3D0A"/>
    <w:rsid w:val="003F5AFF"/>
    <w:rsid w:val="003F5CCE"/>
    <w:rsid w:val="003F682C"/>
    <w:rsid w:val="0040019B"/>
    <w:rsid w:val="00400E4D"/>
    <w:rsid w:val="0040225E"/>
    <w:rsid w:val="00402AA5"/>
    <w:rsid w:val="00404B9B"/>
    <w:rsid w:val="00404F0E"/>
    <w:rsid w:val="00407A5A"/>
    <w:rsid w:val="00407B5A"/>
    <w:rsid w:val="00413A1C"/>
    <w:rsid w:val="004153F9"/>
    <w:rsid w:val="004163B5"/>
    <w:rsid w:val="00423210"/>
    <w:rsid w:val="004233C0"/>
    <w:rsid w:val="00433E87"/>
    <w:rsid w:val="00434824"/>
    <w:rsid w:val="00434D8A"/>
    <w:rsid w:val="00450334"/>
    <w:rsid w:val="004511D5"/>
    <w:rsid w:val="00451ABC"/>
    <w:rsid w:val="00452CA4"/>
    <w:rsid w:val="0045371F"/>
    <w:rsid w:val="00454FF3"/>
    <w:rsid w:val="004554EA"/>
    <w:rsid w:val="0045740E"/>
    <w:rsid w:val="00460D9F"/>
    <w:rsid w:val="00463C15"/>
    <w:rsid w:val="00464889"/>
    <w:rsid w:val="0046520A"/>
    <w:rsid w:val="004677A5"/>
    <w:rsid w:val="00467943"/>
    <w:rsid w:val="004702C7"/>
    <w:rsid w:val="00471616"/>
    <w:rsid w:val="00471860"/>
    <w:rsid w:val="0047195C"/>
    <w:rsid w:val="004732CA"/>
    <w:rsid w:val="00473A1E"/>
    <w:rsid w:val="00473D14"/>
    <w:rsid w:val="00477532"/>
    <w:rsid w:val="00480600"/>
    <w:rsid w:val="00482AF4"/>
    <w:rsid w:val="00484253"/>
    <w:rsid w:val="004875F9"/>
    <w:rsid w:val="00490B9B"/>
    <w:rsid w:val="00490E07"/>
    <w:rsid w:val="0049105A"/>
    <w:rsid w:val="00492757"/>
    <w:rsid w:val="004976B7"/>
    <w:rsid w:val="004A0E5A"/>
    <w:rsid w:val="004A4826"/>
    <w:rsid w:val="004A68CA"/>
    <w:rsid w:val="004B12B2"/>
    <w:rsid w:val="004B20C4"/>
    <w:rsid w:val="004B30FB"/>
    <w:rsid w:val="004B44F8"/>
    <w:rsid w:val="004B752D"/>
    <w:rsid w:val="004B791C"/>
    <w:rsid w:val="004C32A5"/>
    <w:rsid w:val="004C5429"/>
    <w:rsid w:val="004D2D64"/>
    <w:rsid w:val="004D2E96"/>
    <w:rsid w:val="004D4014"/>
    <w:rsid w:val="004D5F6A"/>
    <w:rsid w:val="004D603C"/>
    <w:rsid w:val="004E2D9F"/>
    <w:rsid w:val="004E4CB9"/>
    <w:rsid w:val="004E6D88"/>
    <w:rsid w:val="004F3F5B"/>
    <w:rsid w:val="004F7042"/>
    <w:rsid w:val="004F724A"/>
    <w:rsid w:val="004F77CA"/>
    <w:rsid w:val="00506B0D"/>
    <w:rsid w:val="00510677"/>
    <w:rsid w:val="005122BD"/>
    <w:rsid w:val="00513A03"/>
    <w:rsid w:val="00515813"/>
    <w:rsid w:val="00515C9C"/>
    <w:rsid w:val="00515EE5"/>
    <w:rsid w:val="0051674C"/>
    <w:rsid w:val="005204D5"/>
    <w:rsid w:val="00526FFF"/>
    <w:rsid w:val="00527384"/>
    <w:rsid w:val="00532EA0"/>
    <w:rsid w:val="0053353B"/>
    <w:rsid w:val="00534C7C"/>
    <w:rsid w:val="0053537A"/>
    <w:rsid w:val="00535FEF"/>
    <w:rsid w:val="00536DD7"/>
    <w:rsid w:val="005400B9"/>
    <w:rsid w:val="005406CC"/>
    <w:rsid w:val="0054395D"/>
    <w:rsid w:val="00543A98"/>
    <w:rsid w:val="00546380"/>
    <w:rsid w:val="005478D8"/>
    <w:rsid w:val="005479C6"/>
    <w:rsid w:val="00547D4F"/>
    <w:rsid w:val="0055238D"/>
    <w:rsid w:val="00552926"/>
    <w:rsid w:val="00552F27"/>
    <w:rsid w:val="00553012"/>
    <w:rsid w:val="005554F3"/>
    <w:rsid w:val="00555CD9"/>
    <w:rsid w:val="00556105"/>
    <w:rsid w:val="005576D8"/>
    <w:rsid w:val="00560C0D"/>
    <w:rsid w:val="00561FF9"/>
    <w:rsid w:val="00562EF3"/>
    <w:rsid w:val="00563326"/>
    <w:rsid w:val="00564079"/>
    <w:rsid w:val="005659D9"/>
    <w:rsid w:val="00565E34"/>
    <w:rsid w:val="00573734"/>
    <w:rsid w:val="005740D5"/>
    <w:rsid w:val="0057561A"/>
    <w:rsid w:val="00576223"/>
    <w:rsid w:val="00577C9B"/>
    <w:rsid w:val="00580FD2"/>
    <w:rsid w:val="00595BC4"/>
    <w:rsid w:val="00597962"/>
    <w:rsid w:val="005A0001"/>
    <w:rsid w:val="005A0FCC"/>
    <w:rsid w:val="005A1B66"/>
    <w:rsid w:val="005A1BCD"/>
    <w:rsid w:val="005A2D1B"/>
    <w:rsid w:val="005A2EBA"/>
    <w:rsid w:val="005A35B7"/>
    <w:rsid w:val="005A3AC9"/>
    <w:rsid w:val="005A5FCD"/>
    <w:rsid w:val="005A6B8F"/>
    <w:rsid w:val="005A7BF4"/>
    <w:rsid w:val="005B0BB4"/>
    <w:rsid w:val="005B593D"/>
    <w:rsid w:val="005B5FC2"/>
    <w:rsid w:val="005C1D42"/>
    <w:rsid w:val="005C4602"/>
    <w:rsid w:val="005C4CEF"/>
    <w:rsid w:val="005C53CF"/>
    <w:rsid w:val="005C79C1"/>
    <w:rsid w:val="005D14B1"/>
    <w:rsid w:val="005D1F35"/>
    <w:rsid w:val="005D2DCB"/>
    <w:rsid w:val="005D4BBC"/>
    <w:rsid w:val="005D4D35"/>
    <w:rsid w:val="005D5FC8"/>
    <w:rsid w:val="005D632D"/>
    <w:rsid w:val="005D72B8"/>
    <w:rsid w:val="005E06E2"/>
    <w:rsid w:val="005E0BF1"/>
    <w:rsid w:val="005E2B4C"/>
    <w:rsid w:val="005E393E"/>
    <w:rsid w:val="005E3F95"/>
    <w:rsid w:val="005E730C"/>
    <w:rsid w:val="005E7912"/>
    <w:rsid w:val="005E7E0B"/>
    <w:rsid w:val="005F05E4"/>
    <w:rsid w:val="005F1A1C"/>
    <w:rsid w:val="005F1D94"/>
    <w:rsid w:val="005F28AC"/>
    <w:rsid w:val="00600114"/>
    <w:rsid w:val="00601DBE"/>
    <w:rsid w:val="00605A83"/>
    <w:rsid w:val="0061034E"/>
    <w:rsid w:val="00611355"/>
    <w:rsid w:val="006116FA"/>
    <w:rsid w:val="0061249E"/>
    <w:rsid w:val="006125D7"/>
    <w:rsid w:val="00614C33"/>
    <w:rsid w:val="00616CF4"/>
    <w:rsid w:val="00620098"/>
    <w:rsid w:val="006205F6"/>
    <w:rsid w:val="0062672B"/>
    <w:rsid w:val="0062675C"/>
    <w:rsid w:val="00627C9D"/>
    <w:rsid w:val="00635211"/>
    <w:rsid w:val="006353A0"/>
    <w:rsid w:val="00636344"/>
    <w:rsid w:val="006368F9"/>
    <w:rsid w:val="00642F1E"/>
    <w:rsid w:val="00642FFB"/>
    <w:rsid w:val="00643DDC"/>
    <w:rsid w:val="006445E6"/>
    <w:rsid w:val="00645230"/>
    <w:rsid w:val="006462C8"/>
    <w:rsid w:val="006466AF"/>
    <w:rsid w:val="00646D7A"/>
    <w:rsid w:val="00650CD2"/>
    <w:rsid w:val="006528C9"/>
    <w:rsid w:val="0065528D"/>
    <w:rsid w:val="00655413"/>
    <w:rsid w:val="00656076"/>
    <w:rsid w:val="0065671E"/>
    <w:rsid w:val="006568C7"/>
    <w:rsid w:val="00661813"/>
    <w:rsid w:val="00661920"/>
    <w:rsid w:val="0066651F"/>
    <w:rsid w:val="00673096"/>
    <w:rsid w:val="006738F0"/>
    <w:rsid w:val="006751B7"/>
    <w:rsid w:val="006810F9"/>
    <w:rsid w:val="0068129E"/>
    <w:rsid w:val="006835A0"/>
    <w:rsid w:val="00684BBF"/>
    <w:rsid w:val="00685936"/>
    <w:rsid w:val="006869A0"/>
    <w:rsid w:val="006872C0"/>
    <w:rsid w:val="00690194"/>
    <w:rsid w:val="006948B3"/>
    <w:rsid w:val="00694C93"/>
    <w:rsid w:val="0069501F"/>
    <w:rsid w:val="006955A0"/>
    <w:rsid w:val="006968E3"/>
    <w:rsid w:val="00696E55"/>
    <w:rsid w:val="00697519"/>
    <w:rsid w:val="006A25FE"/>
    <w:rsid w:val="006A3A6E"/>
    <w:rsid w:val="006A4557"/>
    <w:rsid w:val="006A4DC0"/>
    <w:rsid w:val="006B1AFC"/>
    <w:rsid w:val="006B35A1"/>
    <w:rsid w:val="006B4853"/>
    <w:rsid w:val="006B4C87"/>
    <w:rsid w:val="006B6218"/>
    <w:rsid w:val="006C32E8"/>
    <w:rsid w:val="006C66A6"/>
    <w:rsid w:val="006D30B7"/>
    <w:rsid w:val="006D4F10"/>
    <w:rsid w:val="006D5080"/>
    <w:rsid w:val="006D5699"/>
    <w:rsid w:val="006E5AC4"/>
    <w:rsid w:val="006E5B70"/>
    <w:rsid w:val="006E7774"/>
    <w:rsid w:val="006E786E"/>
    <w:rsid w:val="006F1B27"/>
    <w:rsid w:val="006F6B4C"/>
    <w:rsid w:val="00700646"/>
    <w:rsid w:val="00700BF1"/>
    <w:rsid w:val="007012DF"/>
    <w:rsid w:val="00706908"/>
    <w:rsid w:val="0071440E"/>
    <w:rsid w:val="0071469C"/>
    <w:rsid w:val="00715677"/>
    <w:rsid w:val="00716A68"/>
    <w:rsid w:val="00726F73"/>
    <w:rsid w:val="0073035C"/>
    <w:rsid w:val="00730F62"/>
    <w:rsid w:val="0073158C"/>
    <w:rsid w:val="007317D7"/>
    <w:rsid w:val="0073229A"/>
    <w:rsid w:val="007334FF"/>
    <w:rsid w:val="00733E6C"/>
    <w:rsid w:val="007366CD"/>
    <w:rsid w:val="007374A8"/>
    <w:rsid w:val="00740461"/>
    <w:rsid w:val="0074162B"/>
    <w:rsid w:val="00741E55"/>
    <w:rsid w:val="00744AA7"/>
    <w:rsid w:val="00746868"/>
    <w:rsid w:val="00750D1B"/>
    <w:rsid w:val="007520C4"/>
    <w:rsid w:val="00752E0C"/>
    <w:rsid w:val="00753D3B"/>
    <w:rsid w:val="00753ECA"/>
    <w:rsid w:val="007547F5"/>
    <w:rsid w:val="00760099"/>
    <w:rsid w:val="00764EAB"/>
    <w:rsid w:val="00766822"/>
    <w:rsid w:val="00767C6C"/>
    <w:rsid w:val="00772A54"/>
    <w:rsid w:val="00775061"/>
    <w:rsid w:val="0077748E"/>
    <w:rsid w:val="00782B24"/>
    <w:rsid w:val="00785918"/>
    <w:rsid w:val="00792C27"/>
    <w:rsid w:val="00793193"/>
    <w:rsid w:val="00793EC8"/>
    <w:rsid w:val="0079521D"/>
    <w:rsid w:val="007968FE"/>
    <w:rsid w:val="007972D5"/>
    <w:rsid w:val="007A006C"/>
    <w:rsid w:val="007A019C"/>
    <w:rsid w:val="007A02EE"/>
    <w:rsid w:val="007A16FB"/>
    <w:rsid w:val="007A261A"/>
    <w:rsid w:val="007A526F"/>
    <w:rsid w:val="007A5657"/>
    <w:rsid w:val="007A5FC5"/>
    <w:rsid w:val="007A7ED1"/>
    <w:rsid w:val="007B211D"/>
    <w:rsid w:val="007B23BC"/>
    <w:rsid w:val="007B37C8"/>
    <w:rsid w:val="007B509C"/>
    <w:rsid w:val="007B65B8"/>
    <w:rsid w:val="007C0899"/>
    <w:rsid w:val="007C1092"/>
    <w:rsid w:val="007C1E53"/>
    <w:rsid w:val="007C23F2"/>
    <w:rsid w:val="007C24A9"/>
    <w:rsid w:val="007C2D01"/>
    <w:rsid w:val="007C41AA"/>
    <w:rsid w:val="007C4DAC"/>
    <w:rsid w:val="007C7776"/>
    <w:rsid w:val="007D3A61"/>
    <w:rsid w:val="007D4347"/>
    <w:rsid w:val="007D5225"/>
    <w:rsid w:val="007D58CB"/>
    <w:rsid w:val="007D6D7F"/>
    <w:rsid w:val="007E04F5"/>
    <w:rsid w:val="007E1BDA"/>
    <w:rsid w:val="007E2A3D"/>
    <w:rsid w:val="007E2EB8"/>
    <w:rsid w:val="007E6240"/>
    <w:rsid w:val="007E64C8"/>
    <w:rsid w:val="007E7AAD"/>
    <w:rsid w:val="007E7DD5"/>
    <w:rsid w:val="007F07C4"/>
    <w:rsid w:val="007F180E"/>
    <w:rsid w:val="007F1AB7"/>
    <w:rsid w:val="007F1EE1"/>
    <w:rsid w:val="007F37EE"/>
    <w:rsid w:val="007F39FA"/>
    <w:rsid w:val="007F4039"/>
    <w:rsid w:val="007F58BA"/>
    <w:rsid w:val="007F6BDB"/>
    <w:rsid w:val="007F748D"/>
    <w:rsid w:val="00801702"/>
    <w:rsid w:val="00801F8F"/>
    <w:rsid w:val="00803E96"/>
    <w:rsid w:val="00806A08"/>
    <w:rsid w:val="00807062"/>
    <w:rsid w:val="008071AB"/>
    <w:rsid w:val="008118D0"/>
    <w:rsid w:val="00811E7F"/>
    <w:rsid w:val="008124B6"/>
    <w:rsid w:val="00812580"/>
    <w:rsid w:val="00821025"/>
    <w:rsid w:val="00823811"/>
    <w:rsid w:val="0082692C"/>
    <w:rsid w:val="00827815"/>
    <w:rsid w:val="00827C53"/>
    <w:rsid w:val="008325FC"/>
    <w:rsid w:val="008335CF"/>
    <w:rsid w:val="00834303"/>
    <w:rsid w:val="008364D5"/>
    <w:rsid w:val="0083693A"/>
    <w:rsid w:val="00840E7A"/>
    <w:rsid w:val="0084376B"/>
    <w:rsid w:val="008452F6"/>
    <w:rsid w:val="00846AB0"/>
    <w:rsid w:val="008475CB"/>
    <w:rsid w:val="00852A79"/>
    <w:rsid w:val="008562E7"/>
    <w:rsid w:val="008563EE"/>
    <w:rsid w:val="00857C5C"/>
    <w:rsid w:val="008620C1"/>
    <w:rsid w:val="00862D18"/>
    <w:rsid w:val="00863E6B"/>
    <w:rsid w:val="00873C92"/>
    <w:rsid w:val="00874D3A"/>
    <w:rsid w:val="00875B2C"/>
    <w:rsid w:val="008766CE"/>
    <w:rsid w:val="00876D01"/>
    <w:rsid w:val="00876ECA"/>
    <w:rsid w:val="00876FBF"/>
    <w:rsid w:val="00880B31"/>
    <w:rsid w:val="0088165C"/>
    <w:rsid w:val="00881924"/>
    <w:rsid w:val="00883471"/>
    <w:rsid w:val="00883DBD"/>
    <w:rsid w:val="008847C1"/>
    <w:rsid w:val="00884818"/>
    <w:rsid w:val="00885AAB"/>
    <w:rsid w:val="00886D42"/>
    <w:rsid w:val="008935B5"/>
    <w:rsid w:val="008941D0"/>
    <w:rsid w:val="0089467E"/>
    <w:rsid w:val="0089701A"/>
    <w:rsid w:val="00897169"/>
    <w:rsid w:val="008A06F8"/>
    <w:rsid w:val="008A150E"/>
    <w:rsid w:val="008A2489"/>
    <w:rsid w:val="008A3D2D"/>
    <w:rsid w:val="008A440E"/>
    <w:rsid w:val="008A44D0"/>
    <w:rsid w:val="008A7CA1"/>
    <w:rsid w:val="008B0D01"/>
    <w:rsid w:val="008B38A1"/>
    <w:rsid w:val="008B7A3D"/>
    <w:rsid w:val="008C31DE"/>
    <w:rsid w:val="008C3BE0"/>
    <w:rsid w:val="008C3D83"/>
    <w:rsid w:val="008C6B1D"/>
    <w:rsid w:val="008C71C0"/>
    <w:rsid w:val="008C7BCB"/>
    <w:rsid w:val="008D1B1A"/>
    <w:rsid w:val="008D1EAB"/>
    <w:rsid w:val="008D239C"/>
    <w:rsid w:val="008D2803"/>
    <w:rsid w:val="008D2EAE"/>
    <w:rsid w:val="008D5755"/>
    <w:rsid w:val="008D5EA9"/>
    <w:rsid w:val="008D6C60"/>
    <w:rsid w:val="008D6FD9"/>
    <w:rsid w:val="008E06BF"/>
    <w:rsid w:val="008E0DEB"/>
    <w:rsid w:val="008E0E71"/>
    <w:rsid w:val="008E199F"/>
    <w:rsid w:val="008E3973"/>
    <w:rsid w:val="008E6603"/>
    <w:rsid w:val="008E69E6"/>
    <w:rsid w:val="008F350A"/>
    <w:rsid w:val="00900F9F"/>
    <w:rsid w:val="009033BD"/>
    <w:rsid w:val="00904039"/>
    <w:rsid w:val="0090795E"/>
    <w:rsid w:val="00910401"/>
    <w:rsid w:val="00911A34"/>
    <w:rsid w:val="00912683"/>
    <w:rsid w:val="00912B69"/>
    <w:rsid w:val="00912DD1"/>
    <w:rsid w:val="0091686E"/>
    <w:rsid w:val="00920E49"/>
    <w:rsid w:val="0092332B"/>
    <w:rsid w:val="00926553"/>
    <w:rsid w:val="00932E1F"/>
    <w:rsid w:val="009337EB"/>
    <w:rsid w:val="00933FE2"/>
    <w:rsid w:val="0093403C"/>
    <w:rsid w:val="00935387"/>
    <w:rsid w:val="009434B7"/>
    <w:rsid w:val="00944A06"/>
    <w:rsid w:val="0094720E"/>
    <w:rsid w:val="009506BB"/>
    <w:rsid w:val="00953CAC"/>
    <w:rsid w:val="00955571"/>
    <w:rsid w:val="0096063F"/>
    <w:rsid w:val="009620CC"/>
    <w:rsid w:val="009628AD"/>
    <w:rsid w:val="00962DA1"/>
    <w:rsid w:val="0096541E"/>
    <w:rsid w:val="00965F42"/>
    <w:rsid w:val="00967BC8"/>
    <w:rsid w:val="00967ED7"/>
    <w:rsid w:val="0097408C"/>
    <w:rsid w:val="009746FC"/>
    <w:rsid w:val="00975227"/>
    <w:rsid w:val="00980033"/>
    <w:rsid w:val="0098122F"/>
    <w:rsid w:val="00990684"/>
    <w:rsid w:val="0099081D"/>
    <w:rsid w:val="00992F4F"/>
    <w:rsid w:val="00993223"/>
    <w:rsid w:val="009940F3"/>
    <w:rsid w:val="00994774"/>
    <w:rsid w:val="009953A8"/>
    <w:rsid w:val="00996A8E"/>
    <w:rsid w:val="009A03C6"/>
    <w:rsid w:val="009A19C2"/>
    <w:rsid w:val="009A37D5"/>
    <w:rsid w:val="009A683D"/>
    <w:rsid w:val="009B1A0A"/>
    <w:rsid w:val="009B1F92"/>
    <w:rsid w:val="009B44C9"/>
    <w:rsid w:val="009B5929"/>
    <w:rsid w:val="009C1A6D"/>
    <w:rsid w:val="009C55EA"/>
    <w:rsid w:val="009C565D"/>
    <w:rsid w:val="009D0070"/>
    <w:rsid w:val="009D1A61"/>
    <w:rsid w:val="009D1E59"/>
    <w:rsid w:val="009D3FEB"/>
    <w:rsid w:val="009D538A"/>
    <w:rsid w:val="009D7B95"/>
    <w:rsid w:val="009E0BD1"/>
    <w:rsid w:val="009E2BDB"/>
    <w:rsid w:val="009E417E"/>
    <w:rsid w:val="009E52EF"/>
    <w:rsid w:val="009E5947"/>
    <w:rsid w:val="009E761C"/>
    <w:rsid w:val="009F26C0"/>
    <w:rsid w:val="009F308A"/>
    <w:rsid w:val="009F57D1"/>
    <w:rsid w:val="009F5E71"/>
    <w:rsid w:val="009F6E97"/>
    <w:rsid w:val="00A012C7"/>
    <w:rsid w:val="00A03959"/>
    <w:rsid w:val="00A03AD7"/>
    <w:rsid w:val="00A07F91"/>
    <w:rsid w:val="00A107D7"/>
    <w:rsid w:val="00A10D57"/>
    <w:rsid w:val="00A13E2A"/>
    <w:rsid w:val="00A14049"/>
    <w:rsid w:val="00A16B81"/>
    <w:rsid w:val="00A16E58"/>
    <w:rsid w:val="00A2352C"/>
    <w:rsid w:val="00A2445D"/>
    <w:rsid w:val="00A30B87"/>
    <w:rsid w:val="00A32194"/>
    <w:rsid w:val="00A32BCC"/>
    <w:rsid w:val="00A33F8D"/>
    <w:rsid w:val="00A36EBA"/>
    <w:rsid w:val="00A3703E"/>
    <w:rsid w:val="00A3713E"/>
    <w:rsid w:val="00A3786E"/>
    <w:rsid w:val="00A42F8A"/>
    <w:rsid w:val="00A4312D"/>
    <w:rsid w:val="00A47744"/>
    <w:rsid w:val="00A509D3"/>
    <w:rsid w:val="00A51734"/>
    <w:rsid w:val="00A51AD4"/>
    <w:rsid w:val="00A56B9D"/>
    <w:rsid w:val="00A57789"/>
    <w:rsid w:val="00A639B8"/>
    <w:rsid w:val="00A6633B"/>
    <w:rsid w:val="00A6651F"/>
    <w:rsid w:val="00A66710"/>
    <w:rsid w:val="00A67B1E"/>
    <w:rsid w:val="00A72005"/>
    <w:rsid w:val="00A73005"/>
    <w:rsid w:val="00A74C09"/>
    <w:rsid w:val="00A75B0D"/>
    <w:rsid w:val="00A76292"/>
    <w:rsid w:val="00A76DC6"/>
    <w:rsid w:val="00A800E2"/>
    <w:rsid w:val="00A803C5"/>
    <w:rsid w:val="00A80DB1"/>
    <w:rsid w:val="00A80EB7"/>
    <w:rsid w:val="00A842C0"/>
    <w:rsid w:val="00A90182"/>
    <w:rsid w:val="00A93914"/>
    <w:rsid w:val="00A96FA1"/>
    <w:rsid w:val="00AA45F8"/>
    <w:rsid w:val="00AA7A97"/>
    <w:rsid w:val="00AB025E"/>
    <w:rsid w:val="00AB048F"/>
    <w:rsid w:val="00AB4ACE"/>
    <w:rsid w:val="00AB6104"/>
    <w:rsid w:val="00AB79D2"/>
    <w:rsid w:val="00AB7BD4"/>
    <w:rsid w:val="00AC112E"/>
    <w:rsid w:val="00AC1CA0"/>
    <w:rsid w:val="00AC5812"/>
    <w:rsid w:val="00AC5CFD"/>
    <w:rsid w:val="00AC6D47"/>
    <w:rsid w:val="00AD4396"/>
    <w:rsid w:val="00AD5001"/>
    <w:rsid w:val="00AD52F8"/>
    <w:rsid w:val="00AD7F22"/>
    <w:rsid w:val="00AE0F04"/>
    <w:rsid w:val="00AE397A"/>
    <w:rsid w:val="00AE4701"/>
    <w:rsid w:val="00AE66E0"/>
    <w:rsid w:val="00AF3C05"/>
    <w:rsid w:val="00AF5F4E"/>
    <w:rsid w:val="00B0026D"/>
    <w:rsid w:val="00B01AE9"/>
    <w:rsid w:val="00B036EA"/>
    <w:rsid w:val="00B039CA"/>
    <w:rsid w:val="00B06E29"/>
    <w:rsid w:val="00B12805"/>
    <w:rsid w:val="00B13121"/>
    <w:rsid w:val="00B13805"/>
    <w:rsid w:val="00B138F6"/>
    <w:rsid w:val="00B142F1"/>
    <w:rsid w:val="00B14B20"/>
    <w:rsid w:val="00B14FBE"/>
    <w:rsid w:val="00B165A7"/>
    <w:rsid w:val="00B1742F"/>
    <w:rsid w:val="00B23663"/>
    <w:rsid w:val="00B25450"/>
    <w:rsid w:val="00B25D8D"/>
    <w:rsid w:val="00B314A2"/>
    <w:rsid w:val="00B32B6F"/>
    <w:rsid w:val="00B33E41"/>
    <w:rsid w:val="00B35AD1"/>
    <w:rsid w:val="00B36CC0"/>
    <w:rsid w:val="00B40E55"/>
    <w:rsid w:val="00B437D8"/>
    <w:rsid w:val="00B444E3"/>
    <w:rsid w:val="00B470DA"/>
    <w:rsid w:val="00B51AC8"/>
    <w:rsid w:val="00B520CF"/>
    <w:rsid w:val="00B52269"/>
    <w:rsid w:val="00B54217"/>
    <w:rsid w:val="00B573B1"/>
    <w:rsid w:val="00B60BD4"/>
    <w:rsid w:val="00B614A3"/>
    <w:rsid w:val="00B64711"/>
    <w:rsid w:val="00B65755"/>
    <w:rsid w:val="00B658CD"/>
    <w:rsid w:val="00B66945"/>
    <w:rsid w:val="00B712B3"/>
    <w:rsid w:val="00B71F5A"/>
    <w:rsid w:val="00B74969"/>
    <w:rsid w:val="00B74A19"/>
    <w:rsid w:val="00B75868"/>
    <w:rsid w:val="00B77E61"/>
    <w:rsid w:val="00B80711"/>
    <w:rsid w:val="00B80DD2"/>
    <w:rsid w:val="00B84C3C"/>
    <w:rsid w:val="00B868B3"/>
    <w:rsid w:val="00B95309"/>
    <w:rsid w:val="00B97B9C"/>
    <w:rsid w:val="00BA2CB8"/>
    <w:rsid w:val="00BA2EE9"/>
    <w:rsid w:val="00BA4CD9"/>
    <w:rsid w:val="00BA5EAE"/>
    <w:rsid w:val="00BB0870"/>
    <w:rsid w:val="00BB1EA5"/>
    <w:rsid w:val="00BB4AFE"/>
    <w:rsid w:val="00BB7BE8"/>
    <w:rsid w:val="00BC02FA"/>
    <w:rsid w:val="00BC0A72"/>
    <w:rsid w:val="00BC0CD6"/>
    <w:rsid w:val="00BC2466"/>
    <w:rsid w:val="00BC579A"/>
    <w:rsid w:val="00BC661C"/>
    <w:rsid w:val="00BD0024"/>
    <w:rsid w:val="00BD0533"/>
    <w:rsid w:val="00BD22FE"/>
    <w:rsid w:val="00BD34D3"/>
    <w:rsid w:val="00BD69CF"/>
    <w:rsid w:val="00BE09DE"/>
    <w:rsid w:val="00BE0B32"/>
    <w:rsid w:val="00BE0BA2"/>
    <w:rsid w:val="00BE1755"/>
    <w:rsid w:val="00BE1D2C"/>
    <w:rsid w:val="00BE3BB8"/>
    <w:rsid w:val="00BF02CA"/>
    <w:rsid w:val="00BF1AD6"/>
    <w:rsid w:val="00BF1C64"/>
    <w:rsid w:val="00BF6DBE"/>
    <w:rsid w:val="00C03FBA"/>
    <w:rsid w:val="00C07867"/>
    <w:rsid w:val="00C103A5"/>
    <w:rsid w:val="00C10BA8"/>
    <w:rsid w:val="00C122AF"/>
    <w:rsid w:val="00C1246C"/>
    <w:rsid w:val="00C12668"/>
    <w:rsid w:val="00C13A95"/>
    <w:rsid w:val="00C14FE6"/>
    <w:rsid w:val="00C15AB0"/>
    <w:rsid w:val="00C173AC"/>
    <w:rsid w:val="00C17C49"/>
    <w:rsid w:val="00C20104"/>
    <w:rsid w:val="00C20D01"/>
    <w:rsid w:val="00C2301E"/>
    <w:rsid w:val="00C23328"/>
    <w:rsid w:val="00C26A0D"/>
    <w:rsid w:val="00C3751A"/>
    <w:rsid w:val="00C412FF"/>
    <w:rsid w:val="00C41C42"/>
    <w:rsid w:val="00C41F25"/>
    <w:rsid w:val="00C41F5D"/>
    <w:rsid w:val="00C43336"/>
    <w:rsid w:val="00C43AB0"/>
    <w:rsid w:val="00C44560"/>
    <w:rsid w:val="00C44F82"/>
    <w:rsid w:val="00C45CF0"/>
    <w:rsid w:val="00C47BD5"/>
    <w:rsid w:val="00C51A83"/>
    <w:rsid w:val="00C52ADC"/>
    <w:rsid w:val="00C55187"/>
    <w:rsid w:val="00C6259B"/>
    <w:rsid w:val="00C62E58"/>
    <w:rsid w:val="00C638FE"/>
    <w:rsid w:val="00C64186"/>
    <w:rsid w:val="00C65271"/>
    <w:rsid w:val="00C71AEC"/>
    <w:rsid w:val="00C77C1E"/>
    <w:rsid w:val="00C81AC2"/>
    <w:rsid w:val="00C84AD9"/>
    <w:rsid w:val="00C8500E"/>
    <w:rsid w:val="00C92318"/>
    <w:rsid w:val="00C92D1B"/>
    <w:rsid w:val="00C9496D"/>
    <w:rsid w:val="00CA0627"/>
    <w:rsid w:val="00CA0E01"/>
    <w:rsid w:val="00CA2E3E"/>
    <w:rsid w:val="00CA3282"/>
    <w:rsid w:val="00CA33D3"/>
    <w:rsid w:val="00CA71CC"/>
    <w:rsid w:val="00CB2252"/>
    <w:rsid w:val="00CB2A99"/>
    <w:rsid w:val="00CB3B62"/>
    <w:rsid w:val="00CB4B87"/>
    <w:rsid w:val="00CB7C85"/>
    <w:rsid w:val="00CC6C44"/>
    <w:rsid w:val="00CD0AA8"/>
    <w:rsid w:val="00CD2217"/>
    <w:rsid w:val="00CD3108"/>
    <w:rsid w:val="00CD3404"/>
    <w:rsid w:val="00CD3668"/>
    <w:rsid w:val="00CD4E49"/>
    <w:rsid w:val="00CE178B"/>
    <w:rsid w:val="00CE21D3"/>
    <w:rsid w:val="00CE394E"/>
    <w:rsid w:val="00CE420F"/>
    <w:rsid w:val="00CE4D84"/>
    <w:rsid w:val="00CE60C5"/>
    <w:rsid w:val="00CF0272"/>
    <w:rsid w:val="00CF1E94"/>
    <w:rsid w:val="00CF2858"/>
    <w:rsid w:val="00CF423E"/>
    <w:rsid w:val="00D009A1"/>
    <w:rsid w:val="00D00A75"/>
    <w:rsid w:val="00D00FF2"/>
    <w:rsid w:val="00D03821"/>
    <w:rsid w:val="00D06733"/>
    <w:rsid w:val="00D10094"/>
    <w:rsid w:val="00D10395"/>
    <w:rsid w:val="00D121C3"/>
    <w:rsid w:val="00D12634"/>
    <w:rsid w:val="00D1334E"/>
    <w:rsid w:val="00D1720D"/>
    <w:rsid w:val="00D17B1A"/>
    <w:rsid w:val="00D209D5"/>
    <w:rsid w:val="00D20D87"/>
    <w:rsid w:val="00D2282F"/>
    <w:rsid w:val="00D24556"/>
    <w:rsid w:val="00D26A00"/>
    <w:rsid w:val="00D2747B"/>
    <w:rsid w:val="00D2758B"/>
    <w:rsid w:val="00D27AF4"/>
    <w:rsid w:val="00D35365"/>
    <w:rsid w:val="00D3729B"/>
    <w:rsid w:val="00D37662"/>
    <w:rsid w:val="00D40B37"/>
    <w:rsid w:val="00D44761"/>
    <w:rsid w:val="00D44E97"/>
    <w:rsid w:val="00D45A25"/>
    <w:rsid w:val="00D46731"/>
    <w:rsid w:val="00D50B49"/>
    <w:rsid w:val="00D50E9F"/>
    <w:rsid w:val="00D528C9"/>
    <w:rsid w:val="00D52FF3"/>
    <w:rsid w:val="00D53A5F"/>
    <w:rsid w:val="00D54C6D"/>
    <w:rsid w:val="00D5565C"/>
    <w:rsid w:val="00D55DB2"/>
    <w:rsid w:val="00D566EB"/>
    <w:rsid w:val="00D57213"/>
    <w:rsid w:val="00D61A58"/>
    <w:rsid w:val="00D61B8D"/>
    <w:rsid w:val="00D62C9C"/>
    <w:rsid w:val="00D63DD7"/>
    <w:rsid w:val="00D66968"/>
    <w:rsid w:val="00D67748"/>
    <w:rsid w:val="00D71E40"/>
    <w:rsid w:val="00D76D6A"/>
    <w:rsid w:val="00D7738C"/>
    <w:rsid w:val="00D816A3"/>
    <w:rsid w:val="00D8189F"/>
    <w:rsid w:val="00D81AAB"/>
    <w:rsid w:val="00D8403B"/>
    <w:rsid w:val="00D86BCD"/>
    <w:rsid w:val="00D871E0"/>
    <w:rsid w:val="00D877EA"/>
    <w:rsid w:val="00D931BC"/>
    <w:rsid w:val="00D9405A"/>
    <w:rsid w:val="00D94728"/>
    <w:rsid w:val="00D96D80"/>
    <w:rsid w:val="00DA0241"/>
    <w:rsid w:val="00DA2645"/>
    <w:rsid w:val="00DA537A"/>
    <w:rsid w:val="00DA5A0B"/>
    <w:rsid w:val="00DB049C"/>
    <w:rsid w:val="00DB16C0"/>
    <w:rsid w:val="00DB2F86"/>
    <w:rsid w:val="00DB4418"/>
    <w:rsid w:val="00DB500B"/>
    <w:rsid w:val="00DB7D85"/>
    <w:rsid w:val="00DC0304"/>
    <w:rsid w:val="00DC227D"/>
    <w:rsid w:val="00DC2719"/>
    <w:rsid w:val="00DC3BE3"/>
    <w:rsid w:val="00DD342E"/>
    <w:rsid w:val="00DD60E7"/>
    <w:rsid w:val="00DD6767"/>
    <w:rsid w:val="00DE1E42"/>
    <w:rsid w:val="00DE3999"/>
    <w:rsid w:val="00DE416A"/>
    <w:rsid w:val="00DE76BB"/>
    <w:rsid w:val="00DE76F0"/>
    <w:rsid w:val="00DF0241"/>
    <w:rsid w:val="00DF071B"/>
    <w:rsid w:val="00DF177E"/>
    <w:rsid w:val="00DF1A7E"/>
    <w:rsid w:val="00DF27D7"/>
    <w:rsid w:val="00DF649F"/>
    <w:rsid w:val="00E00C8A"/>
    <w:rsid w:val="00E01FCC"/>
    <w:rsid w:val="00E022BB"/>
    <w:rsid w:val="00E040C6"/>
    <w:rsid w:val="00E07A62"/>
    <w:rsid w:val="00E11A71"/>
    <w:rsid w:val="00E157A5"/>
    <w:rsid w:val="00E23117"/>
    <w:rsid w:val="00E2494E"/>
    <w:rsid w:val="00E25D0B"/>
    <w:rsid w:val="00E27AC3"/>
    <w:rsid w:val="00E27B9E"/>
    <w:rsid w:val="00E33504"/>
    <w:rsid w:val="00E335F5"/>
    <w:rsid w:val="00E33DED"/>
    <w:rsid w:val="00E34982"/>
    <w:rsid w:val="00E3623C"/>
    <w:rsid w:val="00E37BF1"/>
    <w:rsid w:val="00E43E76"/>
    <w:rsid w:val="00E44349"/>
    <w:rsid w:val="00E540DA"/>
    <w:rsid w:val="00E544D1"/>
    <w:rsid w:val="00E602B9"/>
    <w:rsid w:val="00E6081B"/>
    <w:rsid w:val="00E6112B"/>
    <w:rsid w:val="00E650E4"/>
    <w:rsid w:val="00E65843"/>
    <w:rsid w:val="00E70B37"/>
    <w:rsid w:val="00E72D41"/>
    <w:rsid w:val="00E73A68"/>
    <w:rsid w:val="00E742A1"/>
    <w:rsid w:val="00E746AA"/>
    <w:rsid w:val="00E74B07"/>
    <w:rsid w:val="00E802A7"/>
    <w:rsid w:val="00E815F9"/>
    <w:rsid w:val="00E819C7"/>
    <w:rsid w:val="00E82872"/>
    <w:rsid w:val="00E859FE"/>
    <w:rsid w:val="00E91B13"/>
    <w:rsid w:val="00E924AC"/>
    <w:rsid w:val="00E93CA1"/>
    <w:rsid w:val="00E9437E"/>
    <w:rsid w:val="00E95B04"/>
    <w:rsid w:val="00E9678C"/>
    <w:rsid w:val="00E97655"/>
    <w:rsid w:val="00E97FAE"/>
    <w:rsid w:val="00EA1D8F"/>
    <w:rsid w:val="00EB1FFC"/>
    <w:rsid w:val="00EB209D"/>
    <w:rsid w:val="00EB277B"/>
    <w:rsid w:val="00EB323D"/>
    <w:rsid w:val="00EB3DDE"/>
    <w:rsid w:val="00EB3FBA"/>
    <w:rsid w:val="00EB5B27"/>
    <w:rsid w:val="00EC5782"/>
    <w:rsid w:val="00EC5D45"/>
    <w:rsid w:val="00EC5DAC"/>
    <w:rsid w:val="00ED1DE9"/>
    <w:rsid w:val="00ED1FD5"/>
    <w:rsid w:val="00ED4AE2"/>
    <w:rsid w:val="00ED4D4B"/>
    <w:rsid w:val="00ED5E53"/>
    <w:rsid w:val="00ED6853"/>
    <w:rsid w:val="00ED735E"/>
    <w:rsid w:val="00EE5012"/>
    <w:rsid w:val="00EE52CC"/>
    <w:rsid w:val="00EE6E3F"/>
    <w:rsid w:val="00EF11FD"/>
    <w:rsid w:val="00EF5372"/>
    <w:rsid w:val="00EF5936"/>
    <w:rsid w:val="00EF5E0B"/>
    <w:rsid w:val="00F017F7"/>
    <w:rsid w:val="00F03033"/>
    <w:rsid w:val="00F03720"/>
    <w:rsid w:val="00F05C50"/>
    <w:rsid w:val="00F138D1"/>
    <w:rsid w:val="00F148EB"/>
    <w:rsid w:val="00F14FDC"/>
    <w:rsid w:val="00F1500A"/>
    <w:rsid w:val="00F15770"/>
    <w:rsid w:val="00F15923"/>
    <w:rsid w:val="00F1720B"/>
    <w:rsid w:val="00F177F3"/>
    <w:rsid w:val="00F21414"/>
    <w:rsid w:val="00F21502"/>
    <w:rsid w:val="00F22E6E"/>
    <w:rsid w:val="00F24F84"/>
    <w:rsid w:val="00F253F6"/>
    <w:rsid w:val="00F26E05"/>
    <w:rsid w:val="00F2730B"/>
    <w:rsid w:val="00F27576"/>
    <w:rsid w:val="00F32C3C"/>
    <w:rsid w:val="00F32F35"/>
    <w:rsid w:val="00F33A7A"/>
    <w:rsid w:val="00F33DF2"/>
    <w:rsid w:val="00F3506F"/>
    <w:rsid w:val="00F35C0A"/>
    <w:rsid w:val="00F419FE"/>
    <w:rsid w:val="00F41B13"/>
    <w:rsid w:val="00F46B85"/>
    <w:rsid w:val="00F47930"/>
    <w:rsid w:val="00F50E2C"/>
    <w:rsid w:val="00F5165D"/>
    <w:rsid w:val="00F526A1"/>
    <w:rsid w:val="00F52BB0"/>
    <w:rsid w:val="00F55E1C"/>
    <w:rsid w:val="00F56A1C"/>
    <w:rsid w:val="00F56F97"/>
    <w:rsid w:val="00F60B10"/>
    <w:rsid w:val="00F60FA6"/>
    <w:rsid w:val="00F65380"/>
    <w:rsid w:val="00F66D1B"/>
    <w:rsid w:val="00F72213"/>
    <w:rsid w:val="00F763EC"/>
    <w:rsid w:val="00F767CD"/>
    <w:rsid w:val="00F80708"/>
    <w:rsid w:val="00F81B23"/>
    <w:rsid w:val="00F8500A"/>
    <w:rsid w:val="00F85D90"/>
    <w:rsid w:val="00F864C4"/>
    <w:rsid w:val="00F86A04"/>
    <w:rsid w:val="00F87B42"/>
    <w:rsid w:val="00F87BF8"/>
    <w:rsid w:val="00F93983"/>
    <w:rsid w:val="00F93CBE"/>
    <w:rsid w:val="00F958EF"/>
    <w:rsid w:val="00F95A0B"/>
    <w:rsid w:val="00F96BCF"/>
    <w:rsid w:val="00F96DD0"/>
    <w:rsid w:val="00F97E91"/>
    <w:rsid w:val="00F97ED2"/>
    <w:rsid w:val="00FA1214"/>
    <w:rsid w:val="00FA1F9A"/>
    <w:rsid w:val="00FA4755"/>
    <w:rsid w:val="00FA5FA6"/>
    <w:rsid w:val="00FA5FBC"/>
    <w:rsid w:val="00FA7197"/>
    <w:rsid w:val="00FB0893"/>
    <w:rsid w:val="00FB2E83"/>
    <w:rsid w:val="00FB5D6E"/>
    <w:rsid w:val="00FB7831"/>
    <w:rsid w:val="00FC1016"/>
    <w:rsid w:val="00FC10F2"/>
    <w:rsid w:val="00FC3582"/>
    <w:rsid w:val="00FC3F9B"/>
    <w:rsid w:val="00FC4659"/>
    <w:rsid w:val="00FC4832"/>
    <w:rsid w:val="00FC5C36"/>
    <w:rsid w:val="00FC5E64"/>
    <w:rsid w:val="00FD03DA"/>
    <w:rsid w:val="00FD0B1B"/>
    <w:rsid w:val="00FD26F6"/>
    <w:rsid w:val="00FD57D0"/>
    <w:rsid w:val="00FD7E9D"/>
    <w:rsid w:val="00FE0619"/>
    <w:rsid w:val="00FE0DA8"/>
    <w:rsid w:val="00FE27F9"/>
    <w:rsid w:val="00FE28C9"/>
    <w:rsid w:val="00FE53F9"/>
    <w:rsid w:val="00FE5CE0"/>
    <w:rsid w:val="00FF45EB"/>
    <w:rsid w:val="00FF719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87D90C8"/>
  <w14:defaultImageDpi w14:val="0"/>
  <w15:docId w15:val="{43BA5C67-D7BA-8D48-A177-3FFD1C259E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246C"/>
    <w:pPr>
      <w:suppressAutoHyphens/>
      <w:spacing w:after="200"/>
    </w:pPr>
    <w:rPr>
      <w:sz w:val="24"/>
    </w:rPr>
  </w:style>
  <w:style w:type="paragraph" w:styleId="Heading1">
    <w:name w:val="heading 1"/>
    <w:basedOn w:val="Normal"/>
    <w:next w:val="Normal"/>
    <w:link w:val="Heading1Char"/>
    <w:uiPriority w:val="9"/>
    <w:qFormat/>
    <w:rsid w:val="00CD3668"/>
    <w:pPr>
      <w:keepNext/>
      <w:keepLines/>
      <w:spacing w:after="360" w:line="700" w:lineRule="exact"/>
      <w:outlineLvl w:val="0"/>
    </w:pPr>
    <w:rPr>
      <w:rFonts w:asciiTheme="majorHAnsi" w:eastAsiaTheme="majorEastAsia" w:hAnsiTheme="majorHAnsi" w:cs="Times New Roman (Headings CS)"/>
      <w:b/>
      <w:bCs/>
      <w:sz w:val="44"/>
      <w:szCs w:val="36"/>
    </w:rPr>
  </w:style>
  <w:style w:type="paragraph" w:styleId="Heading2">
    <w:name w:val="heading 2"/>
    <w:basedOn w:val="Normal"/>
    <w:next w:val="Normal"/>
    <w:link w:val="Heading2Char"/>
    <w:uiPriority w:val="9"/>
    <w:unhideWhenUsed/>
    <w:qFormat/>
    <w:rsid w:val="0015223C"/>
    <w:pPr>
      <w:keepNext/>
      <w:keepLines/>
      <w:spacing w:before="120" w:after="240" w:line="520" w:lineRule="exact"/>
      <w:outlineLvl w:val="1"/>
    </w:pPr>
    <w:rPr>
      <w:rFonts w:asciiTheme="majorHAnsi" w:eastAsiaTheme="majorEastAsia" w:hAnsiTheme="majorHAnsi" w:cs="Times New Roman (Headings CS)"/>
      <w:b/>
      <w:bCs/>
      <w:color w:val="000000" w:themeColor="text1"/>
      <w:sz w:val="36"/>
      <w:szCs w:val="36"/>
    </w:rPr>
  </w:style>
  <w:style w:type="paragraph" w:styleId="Heading3">
    <w:name w:val="heading 3"/>
    <w:basedOn w:val="Normal"/>
    <w:next w:val="Normal"/>
    <w:link w:val="Heading3Char"/>
    <w:uiPriority w:val="9"/>
    <w:unhideWhenUsed/>
    <w:qFormat/>
    <w:rsid w:val="00A33F8D"/>
    <w:pPr>
      <w:keepNext/>
      <w:keepLines/>
      <w:spacing w:after="240" w:line="400" w:lineRule="exact"/>
      <w:outlineLvl w:val="2"/>
    </w:pPr>
    <w:rPr>
      <w:rFonts w:asciiTheme="majorHAnsi" w:eastAsiaTheme="majorEastAsia" w:hAnsiTheme="majorHAnsi" w:cstheme="majorBidi"/>
      <w:b/>
      <w:bCs/>
      <w:sz w:val="32"/>
      <w:szCs w:val="26"/>
    </w:rPr>
  </w:style>
  <w:style w:type="paragraph" w:styleId="Heading4">
    <w:name w:val="heading 4"/>
    <w:basedOn w:val="Normal"/>
    <w:next w:val="Normal"/>
    <w:link w:val="Heading4Char"/>
    <w:uiPriority w:val="9"/>
    <w:unhideWhenUsed/>
    <w:qFormat/>
    <w:rsid w:val="00E335F5"/>
    <w:pPr>
      <w:keepNext/>
      <w:keepLines/>
      <w:spacing w:before="120" w:after="120" w:line="360" w:lineRule="auto"/>
      <w:outlineLvl w:val="3"/>
    </w:pPr>
    <w:rPr>
      <w:rFonts w:asciiTheme="majorHAnsi" w:eastAsiaTheme="majorEastAsia" w:hAnsiTheme="majorHAnsi" w:cstheme="majorBidi"/>
      <w:b/>
      <w:iCs/>
      <w:color w:val="000000" w:themeColor="text1"/>
      <w:sz w:val="32"/>
    </w:rPr>
  </w:style>
  <w:style w:type="paragraph" w:styleId="Heading5">
    <w:name w:val="heading 5"/>
    <w:basedOn w:val="Normal"/>
    <w:next w:val="Normal"/>
    <w:link w:val="Heading5Char"/>
    <w:uiPriority w:val="9"/>
    <w:unhideWhenUsed/>
    <w:qFormat/>
    <w:rsid w:val="00E335F5"/>
    <w:pPr>
      <w:keepNext/>
      <w:keepLines/>
      <w:spacing w:before="40" w:after="80" w:line="360" w:lineRule="auto"/>
      <w:outlineLvl w:val="4"/>
    </w:pPr>
    <w:rPr>
      <w:rFonts w:asciiTheme="majorHAnsi" w:eastAsiaTheme="majorEastAsia" w:hAnsiTheme="majorHAnsi" w:cstheme="majorBidi"/>
      <w:b/>
      <w:color w:val="000000" w:themeColor="text1"/>
      <w:sz w:val="28"/>
    </w:rPr>
  </w:style>
  <w:style w:type="paragraph" w:styleId="Heading6">
    <w:name w:val="heading 6"/>
    <w:basedOn w:val="Heading5"/>
    <w:next w:val="Normal"/>
    <w:link w:val="Heading6Char"/>
    <w:uiPriority w:val="9"/>
    <w:unhideWhenUsed/>
    <w:qFormat/>
    <w:rsid w:val="00E335F5"/>
    <w:pPr>
      <w:spacing w:after="120"/>
      <w:outlineLvl w:val="5"/>
    </w:pPr>
    <w:rPr>
      <w:sz w:val="24"/>
    </w:rPr>
  </w:style>
  <w:style w:type="paragraph" w:styleId="Heading7">
    <w:name w:val="heading 7"/>
    <w:basedOn w:val="Normal"/>
    <w:next w:val="Normal"/>
    <w:link w:val="Heading7Char"/>
    <w:uiPriority w:val="9"/>
    <w:unhideWhenUsed/>
    <w:qFormat/>
    <w:rsid w:val="00E335F5"/>
    <w:pPr>
      <w:keepNext/>
      <w:keepLines/>
      <w:spacing w:before="120" w:after="120" w:line="360" w:lineRule="auto"/>
      <w:outlineLvl w:val="6"/>
    </w:pPr>
    <w:rPr>
      <w:rFonts w:asciiTheme="majorHAnsi" w:eastAsiaTheme="majorEastAsia" w:hAnsiTheme="majorHAnsi" w:cstheme="majorBidi"/>
      <w:b/>
      <w:iCs/>
      <w:color w:val="000000" w:themeColor="text1"/>
    </w:rPr>
  </w:style>
  <w:style w:type="paragraph" w:styleId="Heading8">
    <w:name w:val="heading 8"/>
    <w:basedOn w:val="Normal"/>
    <w:next w:val="Normal"/>
    <w:link w:val="Heading8Char"/>
    <w:uiPriority w:val="9"/>
    <w:semiHidden/>
    <w:unhideWhenUsed/>
    <w:qFormat/>
    <w:rsid w:val="00BC02FA"/>
    <w:pPr>
      <w:keepNext/>
      <w:keepLines/>
      <w:spacing w:before="40" w:after="0"/>
      <w:outlineLvl w:val="7"/>
    </w:pPr>
    <w:rPr>
      <w:rFonts w:asciiTheme="majorHAnsi" w:eastAsiaTheme="majorEastAsia" w:hAnsiTheme="majorHAnsi" w:cstheme="majorBidi"/>
      <w:b/>
      <w:color w:val="272727" w:themeColor="text1" w:themeTint="D8"/>
      <w:sz w:val="22"/>
      <w:szCs w:val="21"/>
    </w:rPr>
  </w:style>
  <w:style w:type="paragraph" w:styleId="Heading9">
    <w:name w:val="heading 9"/>
    <w:basedOn w:val="Normal"/>
    <w:next w:val="Normal"/>
    <w:link w:val="Heading9Char"/>
    <w:uiPriority w:val="9"/>
    <w:semiHidden/>
    <w:unhideWhenUsed/>
    <w:qFormat/>
    <w:rsid w:val="00BC02FA"/>
    <w:pPr>
      <w:keepNext/>
      <w:keepLines/>
      <w:spacing w:before="40" w:after="0"/>
      <w:outlineLvl w:val="8"/>
    </w:pPr>
    <w:rPr>
      <w:rFonts w:asciiTheme="majorHAnsi" w:eastAsiaTheme="majorEastAsia" w:hAnsiTheme="majorHAnsi" w:cstheme="majorBidi"/>
      <w:b/>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ParagraphStyle">
    <w:name w:val="[No Paragraph Style]"/>
    <w:pPr>
      <w:widowControl w:val="0"/>
      <w:autoSpaceDE w:val="0"/>
      <w:autoSpaceDN w:val="0"/>
      <w:adjustRightInd w:val="0"/>
      <w:spacing w:after="0" w:line="288" w:lineRule="auto"/>
      <w:textAlignment w:val="center"/>
    </w:pPr>
    <w:rPr>
      <w:rFonts w:ascii="MinionPro-Regular" w:hAnsi="MinionPro-Regular" w:cs="MinionPro-Regular"/>
      <w:color w:val="000000"/>
      <w:sz w:val="24"/>
      <w:szCs w:val="24"/>
      <w:lang w:val="en-US"/>
    </w:rPr>
  </w:style>
  <w:style w:type="numbering" w:customStyle="1" w:styleId="CurrentList9">
    <w:name w:val="Current List9"/>
    <w:uiPriority w:val="99"/>
    <w:rsid w:val="00F138D1"/>
    <w:pPr>
      <w:numPr>
        <w:numId w:val="25"/>
      </w:numPr>
    </w:pPr>
  </w:style>
  <w:style w:type="character" w:customStyle="1" w:styleId="Bold">
    <w:name w:val="Bold"/>
    <w:uiPriority w:val="99"/>
    <w:rPr>
      <w:b/>
      <w:bCs/>
    </w:rPr>
  </w:style>
  <w:style w:type="numbering" w:customStyle="1" w:styleId="CurrentList17">
    <w:name w:val="Current List17"/>
    <w:uiPriority w:val="99"/>
    <w:rsid w:val="00BC02FA"/>
    <w:pPr>
      <w:numPr>
        <w:numId w:val="26"/>
      </w:numPr>
    </w:pPr>
  </w:style>
  <w:style w:type="numbering" w:customStyle="1" w:styleId="CurrentList18">
    <w:name w:val="Current List18"/>
    <w:uiPriority w:val="99"/>
    <w:rsid w:val="00BC02FA"/>
    <w:pPr>
      <w:numPr>
        <w:numId w:val="27"/>
      </w:numPr>
    </w:pPr>
  </w:style>
  <w:style w:type="character" w:customStyle="1" w:styleId="Italic">
    <w:name w:val="Italic"/>
    <w:basedOn w:val="Bold"/>
    <w:uiPriority w:val="99"/>
    <w:rsid w:val="006368F9"/>
    <w:rPr>
      <w:rFonts w:ascii="VIC (OTF) Light Italic" w:hAnsi="VIC (OTF) Light Italic" w:cs="VIC (OTF) Light Italic"/>
      <w:b w:val="0"/>
      <w:bCs w:val="0"/>
      <w:i/>
      <w:iCs/>
    </w:rPr>
  </w:style>
  <w:style w:type="character" w:styleId="Hyperlink">
    <w:name w:val="Hyperlink"/>
    <w:basedOn w:val="DefaultParagraphFont"/>
    <w:uiPriority w:val="99"/>
    <w:rsid w:val="00B95309"/>
    <w:rPr>
      <w:color w:val="0000FF"/>
      <w:u w:val="single" w:color="0000FF"/>
    </w:rPr>
  </w:style>
  <w:style w:type="numbering" w:customStyle="1" w:styleId="CurrentList10">
    <w:name w:val="Current List10"/>
    <w:uiPriority w:val="99"/>
    <w:rsid w:val="00515813"/>
    <w:pPr>
      <w:numPr>
        <w:numId w:val="15"/>
      </w:numPr>
    </w:pPr>
  </w:style>
  <w:style w:type="paragraph" w:customStyle="1" w:styleId="SubheadingCover">
    <w:name w:val="Sub heading (Cover)"/>
    <w:basedOn w:val="Subtitle"/>
    <w:uiPriority w:val="99"/>
    <w:rsid w:val="00E335F5"/>
  </w:style>
  <w:style w:type="paragraph" w:styleId="Title">
    <w:name w:val="Title"/>
    <w:basedOn w:val="Normal"/>
    <w:next w:val="Normal"/>
    <w:link w:val="TitleChar"/>
    <w:uiPriority w:val="10"/>
    <w:qFormat/>
    <w:rsid w:val="00E335F5"/>
    <w:pPr>
      <w:spacing w:after="240" w:line="1000" w:lineRule="exact"/>
    </w:pPr>
    <w:rPr>
      <w:rFonts w:asciiTheme="majorHAnsi" w:eastAsiaTheme="majorEastAsia" w:hAnsiTheme="majorHAnsi" w:cs="Times New Roman (Headings CS)"/>
      <w:b/>
      <w:bCs/>
      <w:spacing w:val="8"/>
      <w:kern w:val="28"/>
      <w:sz w:val="68"/>
      <w:szCs w:val="58"/>
    </w:rPr>
  </w:style>
  <w:style w:type="character" w:customStyle="1" w:styleId="TitleChar">
    <w:name w:val="Title Char"/>
    <w:basedOn w:val="DefaultParagraphFont"/>
    <w:link w:val="Title"/>
    <w:uiPriority w:val="10"/>
    <w:rsid w:val="00E335F5"/>
    <w:rPr>
      <w:rFonts w:asciiTheme="majorHAnsi" w:eastAsiaTheme="majorEastAsia" w:hAnsiTheme="majorHAnsi" w:cs="Times New Roman (Headings CS)"/>
      <w:b/>
      <w:bCs/>
      <w:spacing w:val="8"/>
      <w:kern w:val="28"/>
      <w:sz w:val="68"/>
      <w:szCs w:val="58"/>
    </w:rPr>
  </w:style>
  <w:style w:type="paragraph" w:styleId="Subtitle">
    <w:name w:val="Subtitle"/>
    <w:basedOn w:val="Normal"/>
    <w:next w:val="Normal"/>
    <w:link w:val="SubtitleChar"/>
    <w:uiPriority w:val="11"/>
    <w:qFormat/>
    <w:rsid w:val="00E335F5"/>
    <w:pPr>
      <w:numPr>
        <w:ilvl w:val="1"/>
      </w:numPr>
      <w:spacing w:before="240" w:after="480" w:line="360" w:lineRule="auto"/>
    </w:pPr>
    <w:rPr>
      <w:b/>
      <w:sz w:val="48"/>
      <w:szCs w:val="36"/>
    </w:rPr>
  </w:style>
  <w:style w:type="character" w:customStyle="1" w:styleId="SubtitleChar">
    <w:name w:val="Subtitle Char"/>
    <w:basedOn w:val="DefaultParagraphFont"/>
    <w:link w:val="Subtitle"/>
    <w:uiPriority w:val="11"/>
    <w:rsid w:val="00E335F5"/>
    <w:rPr>
      <w:b/>
      <w:sz w:val="48"/>
      <w:szCs w:val="36"/>
    </w:rPr>
  </w:style>
  <w:style w:type="paragraph" w:customStyle="1" w:styleId="Boldheader">
    <w:name w:val="Bold header"/>
    <w:basedOn w:val="Normal"/>
    <w:qFormat/>
    <w:rsid w:val="00BC02FA"/>
    <w:pPr>
      <w:keepNext/>
      <w:keepLines/>
      <w:autoSpaceDE w:val="0"/>
      <w:autoSpaceDN w:val="0"/>
      <w:adjustRightInd w:val="0"/>
      <w:spacing w:before="120" w:after="120" w:line="220" w:lineRule="atLeast"/>
      <w:textAlignment w:val="center"/>
    </w:pPr>
    <w:rPr>
      <w:rFonts w:cstheme="minorHAnsi"/>
      <w:b/>
      <w:bCs/>
      <w:szCs w:val="26"/>
      <w:lang w:val="en-GB"/>
    </w:rPr>
  </w:style>
  <w:style w:type="paragraph" w:customStyle="1" w:styleId="Normalbeforebullets">
    <w:name w:val="Normal before bullets"/>
    <w:basedOn w:val="Normal"/>
    <w:qFormat/>
    <w:rsid w:val="00E27AC3"/>
    <w:pPr>
      <w:keepNext/>
      <w:spacing w:after="60" w:line="480" w:lineRule="auto"/>
    </w:pPr>
  </w:style>
  <w:style w:type="character" w:customStyle="1" w:styleId="Heading1Char">
    <w:name w:val="Heading 1 Char"/>
    <w:basedOn w:val="DefaultParagraphFont"/>
    <w:link w:val="Heading1"/>
    <w:uiPriority w:val="9"/>
    <w:rsid w:val="00CD3668"/>
    <w:rPr>
      <w:rFonts w:asciiTheme="majorHAnsi" w:eastAsiaTheme="majorEastAsia" w:hAnsiTheme="majorHAnsi" w:cs="Times New Roman (Headings CS)"/>
      <w:b/>
      <w:bCs/>
      <w:sz w:val="44"/>
      <w:szCs w:val="36"/>
    </w:rPr>
  </w:style>
  <w:style w:type="paragraph" w:customStyle="1" w:styleId="FiguretitleFiguresImages">
    <w:name w:val="Figure title (Figures/Images)"/>
    <w:basedOn w:val="BodyText"/>
    <w:uiPriority w:val="99"/>
    <w:rsid w:val="00620098"/>
    <w:pPr>
      <w:keepNext/>
      <w:spacing w:before="120" w:line="220" w:lineRule="atLeast"/>
    </w:pPr>
    <w:rPr>
      <w:rFonts w:cstheme="minorHAnsi"/>
      <w:b/>
      <w:bCs/>
      <w:color w:val="000000" w:themeColor="text1"/>
    </w:rPr>
  </w:style>
  <w:style w:type="paragraph" w:styleId="ListParagraph">
    <w:name w:val="List Paragraph"/>
    <w:basedOn w:val="Normal"/>
    <w:uiPriority w:val="34"/>
    <w:qFormat/>
    <w:rsid w:val="00750D1B"/>
    <w:pPr>
      <w:ind w:left="720"/>
      <w:contextualSpacing/>
    </w:pPr>
  </w:style>
  <w:style w:type="paragraph" w:customStyle="1" w:styleId="Listparagraphi">
    <w:name w:val="List paragraph (i.)"/>
    <w:basedOn w:val="ListParagraph"/>
    <w:qFormat/>
    <w:rsid w:val="00320E94"/>
    <w:pPr>
      <w:numPr>
        <w:numId w:val="11"/>
      </w:numPr>
      <w:spacing w:after="120" w:line="288" w:lineRule="auto"/>
      <w:contextualSpacing w:val="0"/>
    </w:pPr>
    <w:rPr>
      <w:lang w:val="en-GB"/>
    </w:rPr>
  </w:style>
  <w:style w:type="character" w:customStyle="1" w:styleId="Heading2Char">
    <w:name w:val="Heading 2 Char"/>
    <w:basedOn w:val="DefaultParagraphFont"/>
    <w:link w:val="Heading2"/>
    <w:uiPriority w:val="9"/>
    <w:rsid w:val="0015223C"/>
    <w:rPr>
      <w:rFonts w:asciiTheme="majorHAnsi" w:eastAsiaTheme="majorEastAsia" w:hAnsiTheme="majorHAnsi" w:cs="Times New Roman (Headings CS)"/>
      <w:b/>
      <w:bCs/>
      <w:color w:val="000000" w:themeColor="text1"/>
      <w:sz w:val="36"/>
      <w:szCs w:val="36"/>
    </w:rPr>
  </w:style>
  <w:style w:type="character" w:customStyle="1" w:styleId="Heading3Char">
    <w:name w:val="Heading 3 Char"/>
    <w:basedOn w:val="DefaultParagraphFont"/>
    <w:link w:val="Heading3"/>
    <w:uiPriority w:val="9"/>
    <w:rsid w:val="00A33F8D"/>
    <w:rPr>
      <w:rFonts w:asciiTheme="majorHAnsi" w:eastAsiaTheme="majorEastAsia" w:hAnsiTheme="majorHAnsi" w:cstheme="majorBidi"/>
      <w:b/>
      <w:bCs/>
      <w:sz w:val="32"/>
      <w:szCs w:val="26"/>
    </w:rPr>
  </w:style>
  <w:style w:type="character" w:customStyle="1" w:styleId="Heading4Char">
    <w:name w:val="Heading 4 Char"/>
    <w:basedOn w:val="DefaultParagraphFont"/>
    <w:link w:val="Heading4"/>
    <w:uiPriority w:val="9"/>
    <w:rsid w:val="00E335F5"/>
    <w:rPr>
      <w:rFonts w:asciiTheme="majorHAnsi" w:eastAsiaTheme="majorEastAsia" w:hAnsiTheme="majorHAnsi" w:cstheme="majorBidi"/>
      <w:b/>
      <w:iCs/>
      <w:color w:val="000000" w:themeColor="text1"/>
      <w:sz w:val="32"/>
    </w:rPr>
  </w:style>
  <w:style w:type="character" w:customStyle="1" w:styleId="Heading5Char">
    <w:name w:val="Heading 5 Char"/>
    <w:basedOn w:val="DefaultParagraphFont"/>
    <w:link w:val="Heading5"/>
    <w:uiPriority w:val="9"/>
    <w:rsid w:val="00E335F5"/>
    <w:rPr>
      <w:rFonts w:asciiTheme="majorHAnsi" w:eastAsiaTheme="majorEastAsia" w:hAnsiTheme="majorHAnsi" w:cstheme="majorBidi"/>
      <w:b/>
      <w:color w:val="000000" w:themeColor="text1"/>
      <w:sz w:val="28"/>
    </w:rPr>
  </w:style>
  <w:style w:type="character" w:customStyle="1" w:styleId="Heading6Char">
    <w:name w:val="Heading 6 Char"/>
    <w:basedOn w:val="DefaultParagraphFont"/>
    <w:link w:val="Heading6"/>
    <w:uiPriority w:val="9"/>
    <w:rsid w:val="00E335F5"/>
    <w:rPr>
      <w:rFonts w:asciiTheme="majorHAnsi" w:eastAsiaTheme="majorEastAsia" w:hAnsiTheme="majorHAnsi" w:cstheme="majorBidi"/>
      <w:b/>
      <w:color w:val="000000" w:themeColor="text1"/>
      <w:sz w:val="24"/>
    </w:rPr>
  </w:style>
  <w:style w:type="character" w:customStyle="1" w:styleId="Heading7Char">
    <w:name w:val="Heading 7 Char"/>
    <w:basedOn w:val="DefaultParagraphFont"/>
    <w:link w:val="Heading7"/>
    <w:uiPriority w:val="9"/>
    <w:rsid w:val="00E335F5"/>
    <w:rPr>
      <w:rFonts w:asciiTheme="majorHAnsi" w:eastAsiaTheme="majorEastAsia" w:hAnsiTheme="majorHAnsi" w:cstheme="majorBidi"/>
      <w:b/>
      <w:iCs/>
      <w:color w:val="000000" w:themeColor="text1"/>
      <w:sz w:val="24"/>
    </w:rPr>
  </w:style>
  <w:style w:type="character" w:customStyle="1" w:styleId="Heading8Char">
    <w:name w:val="Heading 8 Char"/>
    <w:basedOn w:val="DefaultParagraphFont"/>
    <w:link w:val="Heading8"/>
    <w:uiPriority w:val="9"/>
    <w:semiHidden/>
    <w:rsid w:val="00BC02FA"/>
    <w:rPr>
      <w:rFonts w:asciiTheme="majorHAnsi" w:eastAsiaTheme="majorEastAsia" w:hAnsiTheme="majorHAnsi" w:cstheme="majorBidi"/>
      <w:b/>
      <w:color w:val="272727" w:themeColor="text1" w:themeTint="D8"/>
      <w:szCs w:val="21"/>
    </w:rPr>
  </w:style>
  <w:style w:type="character" w:customStyle="1" w:styleId="Heading9Char">
    <w:name w:val="Heading 9 Char"/>
    <w:basedOn w:val="DefaultParagraphFont"/>
    <w:link w:val="Heading9"/>
    <w:uiPriority w:val="9"/>
    <w:semiHidden/>
    <w:rsid w:val="00BC02FA"/>
    <w:rPr>
      <w:rFonts w:asciiTheme="majorHAnsi" w:eastAsiaTheme="majorEastAsia" w:hAnsiTheme="majorHAnsi" w:cstheme="majorBidi"/>
      <w:b/>
      <w:iCs/>
      <w:color w:val="272727" w:themeColor="text1" w:themeTint="D8"/>
      <w:sz w:val="21"/>
      <w:szCs w:val="21"/>
    </w:rPr>
  </w:style>
  <w:style w:type="paragraph" w:customStyle="1" w:styleId="TabletitleTables">
    <w:name w:val="Table title (Tables)"/>
    <w:basedOn w:val="NoParagraphStyle"/>
    <w:uiPriority w:val="99"/>
    <w:rsid w:val="00252B69"/>
    <w:pPr>
      <w:widowControl/>
      <w:suppressAutoHyphens/>
      <w:spacing w:before="57" w:after="113" w:line="240" w:lineRule="atLeast"/>
    </w:pPr>
    <w:rPr>
      <w:rFonts w:ascii="VIC (OTF) SemiBold" w:hAnsi="VIC (OTF) SemiBold" w:cs="VIC (OTF) SemiBold"/>
      <w:b/>
      <w:bCs/>
      <w:color w:val="100149"/>
      <w:sz w:val="20"/>
      <w:szCs w:val="20"/>
    </w:rPr>
  </w:style>
  <w:style w:type="table" w:styleId="TableGrid">
    <w:name w:val="Table Grid"/>
    <w:basedOn w:val="TableNormal"/>
    <w:uiPriority w:val="39"/>
    <w:rsid w:val="00A56B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lumnHeadings">
    <w:name w:val="Table Column Headings"/>
    <w:basedOn w:val="Normal"/>
    <w:qFormat/>
    <w:rsid w:val="00A56B9D"/>
    <w:pPr>
      <w:spacing w:before="60" w:after="60" w:line="240" w:lineRule="auto"/>
    </w:pPr>
    <w:rPr>
      <w:b/>
      <w:bCs/>
      <w:lang w:val="en-GB"/>
    </w:rPr>
  </w:style>
  <w:style w:type="paragraph" w:customStyle="1" w:styleId="Tabletext">
    <w:name w:val="Table text"/>
    <w:basedOn w:val="BodyText"/>
    <w:qFormat/>
    <w:rsid w:val="00E335F5"/>
    <w:pPr>
      <w:spacing w:after="120" w:line="400" w:lineRule="exact"/>
    </w:pPr>
  </w:style>
  <w:style w:type="numbering" w:customStyle="1" w:styleId="CurrentList11">
    <w:name w:val="Current List11"/>
    <w:uiPriority w:val="99"/>
    <w:rsid w:val="00515813"/>
    <w:pPr>
      <w:numPr>
        <w:numId w:val="16"/>
      </w:numPr>
    </w:pPr>
  </w:style>
  <w:style w:type="paragraph" w:customStyle="1" w:styleId="Bullet2">
    <w:name w:val="Bullet 2"/>
    <w:basedOn w:val="Normal"/>
    <w:qFormat/>
    <w:rsid w:val="008B38A1"/>
    <w:pPr>
      <w:numPr>
        <w:numId w:val="1"/>
      </w:numPr>
      <w:autoSpaceDE w:val="0"/>
      <w:autoSpaceDN w:val="0"/>
      <w:adjustRightInd w:val="0"/>
      <w:spacing w:after="120" w:line="480" w:lineRule="auto"/>
      <w:textAlignment w:val="center"/>
    </w:pPr>
    <w:rPr>
      <w:rFonts w:ascii="Arial" w:hAnsi="Arial" w:cs="Arial"/>
      <w:color w:val="000000"/>
      <w:lang w:val="en-GB"/>
    </w:rPr>
  </w:style>
  <w:style w:type="paragraph" w:customStyle="1" w:styleId="Listparagrapha">
    <w:name w:val="List paragraph (a.)"/>
    <w:basedOn w:val="BodyText"/>
    <w:qFormat/>
    <w:rsid w:val="00291546"/>
    <w:pPr>
      <w:numPr>
        <w:numId w:val="7"/>
      </w:numPr>
    </w:pPr>
  </w:style>
  <w:style w:type="paragraph" w:styleId="Header">
    <w:name w:val="header"/>
    <w:basedOn w:val="Normal"/>
    <w:link w:val="HeaderChar"/>
    <w:uiPriority w:val="99"/>
    <w:unhideWhenUsed/>
    <w:rsid w:val="007F6B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7F6BDB"/>
  </w:style>
  <w:style w:type="paragraph" w:styleId="Footer">
    <w:name w:val="footer"/>
    <w:basedOn w:val="Normal"/>
    <w:link w:val="FooterChar"/>
    <w:uiPriority w:val="99"/>
    <w:unhideWhenUsed/>
    <w:rsid w:val="007F6B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6BDB"/>
  </w:style>
  <w:style w:type="paragraph" w:styleId="TOC1">
    <w:name w:val="toc 1"/>
    <w:basedOn w:val="Normal"/>
    <w:next w:val="Normal"/>
    <w:uiPriority w:val="39"/>
    <w:unhideWhenUsed/>
    <w:rsid w:val="00D009A1"/>
    <w:pPr>
      <w:spacing w:before="240" w:after="60" w:line="360" w:lineRule="auto"/>
    </w:pPr>
    <w:rPr>
      <w:rFonts w:asciiTheme="majorHAnsi" w:hAnsiTheme="majorHAnsi" w:cs="Arial (Headings)"/>
      <w:bCs/>
      <w:szCs w:val="24"/>
    </w:rPr>
  </w:style>
  <w:style w:type="paragraph" w:styleId="TOC2">
    <w:name w:val="toc 2"/>
    <w:basedOn w:val="Normal"/>
    <w:next w:val="Normal"/>
    <w:uiPriority w:val="39"/>
    <w:unhideWhenUsed/>
    <w:rsid w:val="00E82872"/>
    <w:pPr>
      <w:spacing w:before="60" w:after="60" w:line="360" w:lineRule="auto"/>
    </w:pPr>
    <w:rPr>
      <w:rFonts w:cstheme="minorHAnsi"/>
      <w:bCs/>
      <w:szCs w:val="20"/>
    </w:rPr>
  </w:style>
  <w:style w:type="paragraph" w:styleId="TOC3">
    <w:name w:val="toc 3"/>
    <w:basedOn w:val="Normal"/>
    <w:next w:val="Normal"/>
    <w:uiPriority w:val="39"/>
    <w:unhideWhenUsed/>
    <w:rsid w:val="00E82872"/>
    <w:pPr>
      <w:spacing w:before="60" w:after="60" w:line="360" w:lineRule="auto"/>
    </w:pPr>
    <w:rPr>
      <w:rFonts w:cstheme="minorHAnsi"/>
      <w:szCs w:val="20"/>
    </w:rPr>
  </w:style>
  <w:style w:type="paragraph" w:styleId="BodyText">
    <w:name w:val="Body Text"/>
    <w:basedOn w:val="Normal"/>
    <w:link w:val="BodyTextChar"/>
    <w:unhideWhenUsed/>
    <w:rsid w:val="00E335F5"/>
    <w:pPr>
      <w:spacing w:after="240" w:line="480" w:lineRule="auto"/>
    </w:pPr>
    <w:rPr>
      <w:rFonts w:cs="Times New Roman (Body CS)"/>
      <w:kern w:val="24"/>
    </w:rPr>
  </w:style>
  <w:style w:type="character" w:customStyle="1" w:styleId="BodyTextChar">
    <w:name w:val="Body Text Char"/>
    <w:basedOn w:val="DefaultParagraphFont"/>
    <w:link w:val="BodyText"/>
    <w:uiPriority w:val="99"/>
    <w:rsid w:val="00E335F5"/>
    <w:rPr>
      <w:rFonts w:cs="Times New Roman (Body CS)"/>
      <w:kern w:val="24"/>
      <w:sz w:val="24"/>
    </w:rPr>
  </w:style>
  <w:style w:type="paragraph" w:styleId="ListBullet">
    <w:name w:val="List Bullet"/>
    <w:basedOn w:val="BodyText"/>
    <w:unhideWhenUsed/>
    <w:rsid w:val="00E335F5"/>
    <w:pPr>
      <w:numPr>
        <w:numId w:val="2"/>
      </w:numPr>
      <w:spacing w:after="120"/>
      <w:ind w:left="227" w:hanging="227"/>
    </w:pPr>
  </w:style>
  <w:style w:type="paragraph" w:styleId="List2">
    <w:name w:val="List 2"/>
    <w:basedOn w:val="Normal"/>
    <w:uiPriority w:val="99"/>
    <w:unhideWhenUsed/>
    <w:rsid w:val="00A10D57"/>
    <w:pPr>
      <w:spacing w:after="120"/>
      <w:ind w:left="568" w:hanging="284"/>
      <w:contextualSpacing/>
    </w:pPr>
  </w:style>
  <w:style w:type="paragraph" w:styleId="ListBullet2">
    <w:name w:val="List Bullet 2"/>
    <w:basedOn w:val="BodyText"/>
    <w:uiPriority w:val="99"/>
    <w:unhideWhenUsed/>
    <w:rsid w:val="00E335F5"/>
    <w:pPr>
      <w:numPr>
        <w:numId w:val="3"/>
      </w:numPr>
      <w:ind w:left="584" w:hanging="227"/>
    </w:pPr>
  </w:style>
  <w:style w:type="paragraph" w:styleId="TOCHeading">
    <w:name w:val="TOC Heading"/>
    <w:basedOn w:val="Heading1"/>
    <w:next w:val="Normal"/>
    <w:uiPriority w:val="39"/>
    <w:unhideWhenUsed/>
    <w:qFormat/>
    <w:rsid w:val="003A393C"/>
    <w:pPr>
      <w:spacing w:after="120" w:line="360" w:lineRule="auto"/>
      <w:outlineLvl w:val="9"/>
    </w:pPr>
    <w:rPr>
      <w:bCs w:val="0"/>
      <w:color w:val="000000" w:themeColor="text1"/>
      <w:szCs w:val="32"/>
    </w:rPr>
  </w:style>
  <w:style w:type="character" w:styleId="FollowedHyperlink">
    <w:name w:val="FollowedHyperlink"/>
    <w:basedOn w:val="DefaultParagraphFont"/>
    <w:uiPriority w:val="99"/>
    <w:semiHidden/>
    <w:unhideWhenUsed/>
    <w:rsid w:val="00B66945"/>
    <w:rPr>
      <w:color w:val="954F72" w:themeColor="followedHyperlink"/>
      <w:u w:val="single"/>
    </w:rPr>
  </w:style>
  <w:style w:type="paragraph" w:styleId="ListNumber">
    <w:name w:val="List Number"/>
    <w:basedOn w:val="BodyText"/>
    <w:unhideWhenUsed/>
    <w:rsid w:val="00FD57D0"/>
    <w:pPr>
      <w:numPr>
        <w:numId w:val="4"/>
      </w:numPr>
      <w:snapToGrid w:val="0"/>
      <w:ind w:left="357" w:hanging="357"/>
    </w:pPr>
  </w:style>
  <w:style w:type="paragraph" w:styleId="ListNumber2">
    <w:name w:val="List Number 2"/>
    <w:basedOn w:val="Normal"/>
    <w:uiPriority w:val="99"/>
    <w:unhideWhenUsed/>
    <w:rsid w:val="001D3828"/>
    <w:pPr>
      <w:numPr>
        <w:numId w:val="17"/>
      </w:numPr>
      <w:contextualSpacing/>
    </w:pPr>
  </w:style>
  <w:style w:type="paragraph" w:styleId="Caption">
    <w:name w:val="caption"/>
    <w:basedOn w:val="Normal"/>
    <w:next w:val="Normal"/>
    <w:unhideWhenUsed/>
    <w:qFormat/>
    <w:rsid w:val="00E335F5"/>
    <w:pPr>
      <w:spacing w:before="120" w:after="120" w:line="360" w:lineRule="auto"/>
    </w:pPr>
    <w:rPr>
      <w:b/>
      <w:iCs/>
      <w:color w:val="000000" w:themeColor="text1"/>
      <w:szCs w:val="18"/>
    </w:rPr>
  </w:style>
  <w:style w:type="numbering" w:customStyle="1" w:styleId="CurrentList1">
    <w:name w:val="Current List1"/>
    <w:uiPriority w:val="99"/>
    <w:rsid w:val="007B211D"/>
    <w:pPr>
      <w:numPr>
        <w:numId w:val="5"/>
      </w:numPr>
    </w:pPr>
  </w:style>
  <w:style w:type="numbering" w:customStyle="1" w:styleId="CurrentList2">
    <w:name w:val="Current List2"/>
    <w:uiPriority w:val="99"/>
    <w:rsid w:val="00E11A71"/>
    <w:pPr>
      <w:numPr>
        <w:numId w:val="6"/>
      </w:numPr>
    </w:pPr>
  </w:style>
  <w:style w:type="numbering" w:customStyle="1" w:styleId="CurrentList3">
    <w:name w:val="Current List3"/>
    <w:uiPriority w:val="99"/>
    <w:rsid w:val="00E11A71"/>
    <w:pPr>
      <w:numPr>
        <w:numId w:val="8"/>
      </w:numPr>
    </w:pPr>
  </w:style>
  <w:style w:type="numbering" w:customStyle="1" w:styleId="CurrentList4">
    <w:name w:val="Current List4"/>
    <w:uiPriority w:val="99"/>
    <w:rsid w:val="00E11A71"/>
    <w:pPr>
      <w:numPr>
        <w:numId w:val="9"/>
      </w:numPr>
    </w:pPr>
  </w:style>
  <w:style w:type="numbering" w:customStyle="1" w:styleId="CurrentList5">
    <w:name w:val="Current List5"/>
    <w:uiPriority w:val="99"/>
    <w:rsid w:val="00E11A71"/>
    <w:pPr>
      <w:numPr>
        <w:numId w:val="10"/>
      </w:numPr>
    </w:pPr>
  </w:style>
  <w:style w:type="paragraph" w:styleId="TOC4">
    <w:name w:val="toc 4"/>
    <w:basedOn w:val="Normal"/>
    <w:next w:val="Normal"/>
    <w:autoRedefine/>
    <w:uiPriority w:val="39"/>
    <w:unhideWhenUsed/>
    <w:rsid w:val="005E3F95"/>
    <w:pPr>
      <w:spacing w:after="0"/>
      <w:ind w:left="480"/>
    </w:pPr>
    <w:rPr>
      <w:rFonts w:cstheme="minorHAnsi"/>
      <w:sz w:val="20"/>
      <w:szCs w:val="20"/>
    </w:rPr>
  </w:style>
  <w:style w:type="paragraph" w:styleId="TOC5">
    <w:name w:val="toc 5"/>
    <w:basedOn w:val="Normal"/>
    <w:next w:val="Normal"/>
    <w:autoRedefine/>
    <w:uiPriority w:val="39"/>
    <w:unhideWhenUsed/>
    <w:rsid w:val="005E3F95"/>
    <w:pPr>
      <w:spacing w:after="0"/>
      <w:ind w:left="720"/>
    </w:pPr>
    <w:rPr>
      <w:rFonts w:cstheme="minorHAnsi"/>
      <w:sz w:val="20"/>
      <w:szCs w:val="20"/>
    </w:rPr>
  </w:style>
  <w:style w:type="paragraph" w:styleId="TOC6">
    <w:name w:val="toc 6"/>
    <w:basedOn w:val="Normal"/>
    <w:next w:val="Normal"/>
    <w:autoRedefine/>
    <w:uiPriority w:val="39"/>
    <w:unhideWhenUsed/>
    <w:rsid w:val="005E3F95"/>
    <w:pPr>
      <w:spacing w:after="0"/>
      <w:ind w:left="960"/>
    </w:pPr>
    <w:rPr>
      <w:rFonts w:cstheme="minorHAnsi"/>
      <w:sz w:val="20"/>
      <w:szCs w:val="20"/>
    </w:rPr>
  </w:style>
  <w:style w:type="paragraph" w:styleId="TOC7">
    <w:name w:val="toc 7"/>
    <w:basedOn w:val="Normal"/>
    <w:next w:val="Normal"/>
    <w:autoRedefine/>
    <w:uiPriority w:val="39"/>
    <w:unhideWhenUsed/>
    <w:rsid w:val="005E3F95"/>
    <w:pPr>
      <w:spacing w:after="0"/>
      <w:ind w:left="1200"/>
    </w:pPr>
    <w:rPr>
      <w:rFonts w:cstheme="minorHAnsi"/>
      <w:sz w:val="20"/>
      <w:szCs w:val="20"/>
    </w:rPr>
  </w:style>
  <w:style w:type="paragraph" w:styleId="TOC8">
    <w:name w:val="toc 8"/>
    <w:basedOn w:val="Normal"/>
    <w:next w:val="Normal"/>
    <w:autoRedefine/>
    <w:uiPriority w:val="39"/>
    <w:unhideWhenUsed/>
    <w:rsid w:val="005E3F95"/>
    <w:pPr>
      <w:spacing w:after="0"/>
      <w:ind w:left="1440"/>
    </w:pPr>
    <w:rPr>
      <w:rFonts w:cstheme="minorHAnsi"/>
      <w:sz w:val="20"/>
      <w:szCs w:val="20"/>
    </w:rPr>
  </w:style>
  <w:style w:type="paragraph" w:styleId="TOC9">
    <w:name w:val="toc 9"/>
    <w:basedOn w:val="Normal"/>
    <w:next w:val="Normal"/>
    <w:autoRedefine/>
    <w:uiPriority w:val="39"/>
    <w:unhideWhenUsed/>
    <w:rsid w:val="005E3F95"/>
    <w:pPr>
      <w:spacing w:after="0"/>
      <w:ind w:left="1680"/>
    </w:pPr>
    <w:rPr>
      <w:rFonts w:cstheme="minorHAnsi"/>
      <w:sz w:val="20"/>
      <w:szCs w:val="20"/>
    </w:rPr>
  </w:style>
  <w:style w:type="paragraph" w:styleId="TOAHeading">
    <w:name w:val="toa heading"/>
    <w:basedOn w:val="Normal"/>
    <w:next w:val="Normal"/>
    <w:uiPriority w:val="99"/>
    <w:unhideWhenUsed/>
    <w:rsid w:val="00E335F5"/>
    <w:pPr>
      <w:spacing w:before="240" w:after="240" w:line="360" w:lineRule="auto"/>
    </w:pPr>
    <w:rPr>
      <w:rFonts w:asciiTheme="majorHAnsi" w:eastAsiaTheme="majorEastAsia" w:hAnsiTheme="majorHAnsi" w:cs="Times New Roman (Headings CS)"/>
      <w:b/>
      <w:bCs/>
      <w:sz w:val="44"/>
      <w:szCs w:val="24"/>
    </w:rPr>
  </w:style>
  <w:style w:type="numbering" w:customStyle="1" w:styleId="CurrentList6">
    <w:name w:val="Current List6"/>
    <w:uiPriority w:val="99"/>
    <w:rsid w:val="00904039"/>
    <w:pPr>
      <w:numPr>
        <w:numId w:val="12"/>
      </w:numPr>
    </w:pPr>
  </w:style>
  <w:style w:type="numbering" w:customStyle="1" w:styleId="CurrentList7">
    <w:name w:val="Current List7"/>
    <w:uiPriority w:val="99"/>
    <w:rsid w:val="00904039"/>
    <w:pPr>
      <w:numPr>
        <w:numId w:val="13"/>
      </w:numPr>
    </w:pPr>
  </w:style>
  <w:style w:type="numbering" w:customStyle="1" w:styleId="CurrentList8">
    <w:name w:val="Current List8"/>
    <w:uiPriority w:val="99"/>
    <w:rsid w:val="00241796"/>
    <w:pPr>
      <w:numPr>
        <w:numId w:val="14"/>
      </w:numPr>
    </w:pPr>
  </w:style>
  <w:style w:type="paragraph" w:styleId="Revision">
    <w:name w:val="Revision"/>
    <w:hidden/>
    <w:uiPriority w:val="99"/>
    <w:semiHidden/>
    <w:rsid w:val="00760099"/>
    <w:pPr>
      <w:spacing w:after="0" w:line="240" w:lineRule="auto"/>
    </w:pPr>
    <w:rPr>
      <w:sz w:val="24"/>
    </w:rPr>
  </w:style>
  <w:style w:type="paragraph" w:styleId="CommentText">
    <w:name w:val="annotation text"/>
    <w:basedOn w:val="Normal"/>
    <w:link w:val="CommentTextChar"/>
    <w:uiPriority w:val="99"/>
    <w:unhideWhenUsed/>
    <w:rsid w:val="00DC0304"/>
    <w:pPr>
      <w:spacing w:line="240" w:lineRule="auto"/>
    </w:pPr>
    <w:rPr>
      <w:sz w:val="20"/>
      <w:szCs w:val="20"/>
    </w:rPr>
  </w:style>
  <w:style w:type="character" w:customStyle="1" w:styleId="CommentTextChar">
    <w:name w:val="Comment Text Char"/>
    <w:basedOn w:val="DefaultParagraphFont"/>
    <w:link w:val="CommentText"/>
    <w:uiPriority w:val="99"/>
    <w:rsid w:val="00DC0304"/>
    <w:rPr>
      <w:sz w:val="20"/>
      <w:szCs w:val="20"/>
    </w:rPr>
  </w:style>
  <w:style w:type="numbering" w:customStyle="1" w:styleId="CurrentList12">
    <w:name w:val="Current List12"/>
    <w:uiPriority w:val="99"/>
    <w:rsid w:val="00291546"/>
    <w:pPr>
      <w:numPr>
        <w:numId w:val="18"/>
      </w:numPr>
    </w:pPr>
  </w:style>
  <w:style w:type="paragraph" w:styleId="ListBullet3">
    <w:name w:val="List Bullet 3"/>
    <w:basedOn w:val="ListBullet2"/>
    <w:uiPriority w:val="99"/>
    <w:unhideWhenUsed/>
    <w:rsid w:val="00452CA4"/>
    <w:pPr>
      <w:numPr>
        <w:numId w:val="19"/>
      </w:numPr>
      <w:ind w:left="1037" w:hanging="357"/>
      <w:contextualSpacing/>
    </w:pPr>
  </w:style>
  <w:style w:type="table" w:styleId="GridTable5Dark">
    <w:name w:val="Grid Table 5 Dark"/>
    <w:basedOn w:val="TableNormal"/>
    <w:uiPriority w:val="50"/>
    <w:rsid w:val="0055238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Style2">
    <w:name w:val="Style2"/>
    <w:basedOn w:val="TableNormal"/>
    <w:rsid w:val="00885AAB"/>
    <w:pPr>
      <w:spacing w:after="0" w:line="360" w:lineRule="auto"/>
    </w:pPr>
    <w:rPr>
      <w:sz w:val="24"/>
    </w:rPr>
    <w:tblP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2" w:type="dxa"/>
        <w:left w:w="142" w:type="dxa"/>
      </w:tblCellMar>
    </w:tblPr>
    <w:tcPr>
      <w:shd w:val="clear" w:color="auto" w:fill="auto"/>
    </w:tcPr>
    <w:tblStylePr w:type="firstRow">
      <w:rPr>
        <w:b/>
      </w:rPr>
      <w:tblPr/>
      <w:tcPr>
        <w:shd w:val="clear" w:color="auto" w:fill="D9D9D9" w:themeFill="background1" w:themeFillShade="D9"/>
      </w:tcPr>
    </w:tblStylePr>
  </w:style>
  <w:style w:type="paragraph" w:customStyle="1" w:styleId="CaseStudyHeading">
    <w:name w:val="Case Study Heading"/>
    <w:basedOn w:val="BodyText"/>
    <w:qFormat/>
    <w:rsid w:val="00E335F5"/>
    <w:rPr>
      <w:b/>
      <w:bCs/>
      <w:sz w:val="32"/>
      <w:szCs w:val="32"/>
    </w:rPr>
  </w:style>
  <w:style w:type="table" w:styleId="ColourfulListAccent1">
    <w:name w:val="Colorful List Accent 1"/>
    <w:basedOn w:val="TableNormal"/>
    <w:uiPriority w:val="72"/>
    <w:semiHidden/>
    <w:rsid w:val="00024973"/>
    <w:pPr>
      <w:spacing w:before="120" w:after="120" w:line="240" w:lineRule="atLeast"/>
    </w:pPr>
    <w:rPr>
      <w:rFonts w:eastAsia="Times New Roman" w:cs="Times New Roman"/>
      <w:sz w:val="20"/>
      <w:szCs w:val="20"/>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paragraph" w:customStyle="1" w:styleId="TableTextBullet">
    <w:name w:val="Table Text Bullet"/>
    <w:basedOn w:val="Tabletext"/>
    <w:qFormat/>
    <w:rsid w:val="00E335F5"/>
    <w:pPr>
      <w:numPr>
        <w:numId w:val="20"/>
      </w:numPr>
      <w:spacing w:after="180" w:line="312" w:lineRule="auto"/>
      <w:ind w:left="227" w:hanging="227"/>
    </w:pPr>
  </w:style>
  <w:style w:type="character" w:styleId="Emphasis">
    <w:name w:val="Emphasis"/>
    <w:basedOn w:val="DefaultParagraphFont"/>
    <w:uiPriority w:val="20"/>
    <w:qFormat/>
    <w:rsid w:val="002E748D"/>
    <w:rPr>
      <w:i/>
      <w:iCs/>
    </w:rPr>
  </w:style>
  <w:style w:type="numbering" w:customStyle="1" w:styleId="CurrentList13">
    <w:name w:val="Current List13"/>
    <w:uiPriority w:val="99"/>
    <w:rsid w:val="006125D7"/>
    <w:pPr>
      <w:numPr>
        <w:numId w:val="21"/>
      </w:numPr>
    </w:pPr>
  </w:style>
  <w:style w:type="paragraph" w:customStyle="1" w:styleId="LastBulletinList">
    <w:name w:val="Last Bullet in List"/>
    <w:basedOn w:val="ListBullet"/>
    <w:qFormat/>
    <w:rsid w:val="00E335F5"/>
    <w:pPr>
      <w:spacing w:after="280"/>
    </w:pPr>
  </w:style>
  <w:style w:type="character" w:styleId="Strong">
    <w:name w:val="Strong"/>
    <w:basedOn w:val="DefaultParagraphFont"/>
    <w:uiPriority w:val="22"/>
    <w:qFormat/>
    <w:rsid w:val="00643DDC"/>
    <w:rPr>
      <w:b/>
      <w:bCs/>
    </w:rPr>
  </w:style>
  <w:style w:type="character" w:styleId="PageNumber">
    <w:name w:val="page number"/>
    <w:basedOn w:val="DefaultParagraphFont"/>
    <w:uiPriority w:val="99"/>
    <w:semiHidden/>
    <w:unhideWhenUsed/>
    <w:rsid w:val="00B165A7"/>
  </w:style>
  <w:style w:type="numbering" w:customStyle="1" w:styleId="CurrentList14">
    <w:name w:val="Current List14"/>
    <w:uiPriority w:val="99"/>
    <w:rsid w:val="00395DD4"/>
    <w:pPr>
      <w:numPr>
        <w:numId w:val="22"/>
      </w:numPr>
    </w:pPr>
  </w:style>
  <w:style w:type="numbering" w:customStyle="1" w:styleId="CurrentList15">
    <w:name w:val="Current List15"/>
    <w:uiPriority w:val="99"/>
    <w:rsid w:val="0074162B"/>
    <w:pPr>
      <w:numPr>
        <w:numId w:val="23"/>
      </w:numPr>
    </w:pPr>
  </w:style>
  <w:style w:type="numbering" w:customStyle="1" w:styleId="CurrentList16">
    <w:name w:val="Current List16"/>
    <w:uiPriority w:val="99"/>
    <w:rsid w:val="00B54217"/>
    <w:pPr>
      <w:numPr>
        <w:numId w:val="24"/>
      </w:numPr>
    </w:pPr>
  </w:style>
  <w:style w:type="character" w:customStyle="1" w:styleId="Bodyitalic">
    <w:name w:val="Body italic"/>
    <w:uiPriority w:val="99"/>
    <w:rsid w:val="00C1246C"/>
    <w:rPr>
      <w:i/>
      <w:iCs/>
    </w:rPr>
  </w:style>
  <w:style w:type="character" w:customStyle="1" w:styleId="Superscript">
    <w:name w:val="Superscript"/>
    <w:uiPriority w:val="99"/>
    <w:rsid w:val="00C1246C"/>
    <w:rPr>
      <w:color w:val="000000"/>
      <w:vertAlign w:val="superscript"/>
    </w:rPr>
  </w:style>
  <w:style w:type="paragraph" w:customStyle="1" w:styleId="Introductoryparagraph">
    <w:name w:val="Introductory paragraph"/>
    <w:basedOn w:val="BodyText"/>
    <w:qFormat/>
    <w:rsid w:val="00806A08"/>
    <w:rPr>
      <w:b/>
      <w:bCs/>
      <w:sz w:val="28"/>
      <w:szCs w:val="28"/>
    </w:rPr>
  </w:style>
  <w:style w:type="paragraph" w:styleId="FootnoteText">
    <w:name w:val="footnote text"/>
    <w:basedOn w:val="Normal"/>
    <w:link w:val="FootnoteTextChar"/>
    <w:unhideWhenUsed/>
    <w:rsid w:val="00D009A1"/>
    <w:pPr>
      <w:spacing w:after="120" w:line="360" w:lineRule="auto"/>
      <w:ind w:left="227" w:hanging="227"/>
    </w:pPr>
    <w:rPr>
      <w:szCs w:val="20"/>
    </w:rPr>
  </w:style>
  <w:style w:type="character" w:customStyle="1" w:styleId="FootnoteTextChar">
    <w:name w:val="Footnote Text Char"/>
    <w:basedOn w:val="DefaultParagraphFont"/>
    <w:link w:val="FootnoteText"/>
    <w:uiPriority w:val="99"/>
    <w:semiHidden/>
    <w:rsid w:val="00D009A1"/>
    <w:rPr>
      <w:sz w:val="24"/>
      <w:szCs w:val="20"/>
    </w:rPr>
  </w:style>
  <w:style w:type="character" w:styleId="FootnoteReference">
    <w:name w:val="footnote reference"/>
    <w:basedOn w:val="DefaultParagraphFont"/>
    <w:unhideWhenUsed/>
    <w:rsid w:val="00806A08"/>
    <w:rPr>
      <w:vertAlign w:val="superscript"/>
    </w:rPr>
  </w:style>
  <w:style w:type="paragraph" w:customStyle="1" w:styleId="HightlightBox">
    <w:name w:val="Hightlight Box"/>
    <w:basedOn w:val="BodyText"/>
    <w:qFormat/>
    <w:rsid w:val="00806A08"/>
    <w:pPr>
      <w:pBdr>
        <w:top w:val="single" w:sz="8" w:space="24" w:color="auto"/>
        <w:left w:val="single" w:sz="8" w:space="12" w:color="auto"/>
        <w:bottom w:val="single" w:sz="8" w:space="12" w:color="auto"/>
        <w:right w:val="single" w:sz="8" w:space="12" w:color="auto"/>
      </w:pBdr>
      <w:shd w:val="clear" w:color="auto" w:fill="F2F2F2" w:themeFill="background1" w:themeFillShade="F2"/>
      <w:spacing w:after="480"/>
      <w:ind w:left="283" w:right="283"/>
    </w:pPr>
  </w:style>
  <w:style w:type="paragraph" w:customStyle="1" w:styleId="Heading2-BreakoutBox">
    <w:name w:val="Heading 2 - Breakout Box"/>
    <w:basedOn w:val="HightlightBox"/>
    <w:qFormat/>
    <w:rsid w:val="00E335F5"/>
    <w:pPr>
      <w:spacing w:after="0"/>
    </w:pPr>
    <w:rPr>
      <w:b/>
      <w:bCs/>
      <w:sz w:val="36"/>
      <w:szCs w:val="36"/>
    </w:rPr>
  </w:style>
  <w:style w:type="character" w:styleId="UnresolvedMention">
    <w:name w:val="Unresolved Mention"/>
    <w:basedOn w:val="DefaultParagraphFont"/>
    <w:uiPriority w:val="99"/>
    <w:semiHidden/>
    <w:unhideWhenUsed/>
    <w:rsid w:val="000C7148"/>
    <w:rPr>
      <w:color w:val="605E5C"/>
      <w:shd w:val="clear" w:color="auto" w:fill="E1DFDD"/>
    </w:rPr>
  </w:style>
  <w:style w:type="paragraph" w:styleId="Quote">
    <w:name w:val="Quote"/>
    <w:basedOn w:val="Normal"/>
    <w:next w:val="Normal"/>
    <w:link w:val="QuoteChar"/>
    <w:qFormat/>
    <w:rsid w:val="00967ED7"/>
    <w:pPr>
      <w:spacing w:before="200" w:after="160" w:line="480" w:lineRule="auto"/>
    </w:pPr>
    <w:rPr>
      <w:iCs/>
      <w:color w:val="404040" w:themeColor="text1" w:themeTint="BF"/>
    </w:rPr>
  </w:style>
  <w:style w:type="character" w:customStyle="1" w:styleId="QuoteChar">
    <w:name w:val="Quote Char"/>
    <w:basedOn w:val="DefaultParagraphFont"/>
    <w:link w:val="Quote"/>
    <w:rsid w:val="00967ED7"/>
    <w:rPr>
      <w:iCs/>
      <w:color w:val="404040" w:themeColor="text1" w:themeTint="BF"/>
      <w:sz w:val="24"/>
    </w:rPr>
  </w:style>
  <w:style w:type="numbering" w:styleId="111111">
    <w:name w:val="Outline List 2"/>
    <w:basedOn w:val="NoList"/>
    <w:uiPriority w:val="99"/>
    <w:semiHidden/>
    <w:unhideWhenUsed/>
    <w:rsid w:val="008E199F"/>
    <w:pPr>
      <w:numPr>
        <w:numId w:val="29"/>
      </w:numPr>
    </w:pPr>
  </w:style>
  <w:style w:type="numbering" w:styleId="1ai">
    <w:name w:val="Outline List 1"/>
    <w:basedOn w:val="NoList"/>
    <w:uiPriority w:val="99"/>
    <w:semiHidden/>
    <w:unhideWhenUsed/>
    <w:rsid w:val="008E199F"/>
    <w:pPr>
      <w:numPr>
        <w:numId w:val="30"/>
      </w:numPr>
    </w:pPr>
  </w:style>
  <w:style w:type="numbering" w:styleId="ArticleSection">
    <w:name w:val="Outline List 3"/>
    <w:basedOn w:val="NoList"/>
    <w:uiPriority w:val="99"/>
    <w:semiHidden/>
    <w:unhideWhenUsed/>
    <w:rsid w:val="008E199F"/>
    <w:pPr>
      <w:numPr>
        <w:numId w:val="31"/>
      </w:numPr>
    </w:pPr>
  </w:style>
  <w:style w:type="paragraph" w:styleId="BalloonText">
    <w:name w:val="Balloon Text"/>
    <w:basedOn w:val="Normal"/>
    <w:link w:val="BalloonTextChar"/>
    <w:uiPriority w:val="99"/>
    <w:semiHidden/>
    <w:unhideWhenUsed/>
    <w:rsid w:val="008E199F"/>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8E199F"/>
    <w:rPr>
      <w:rFonts w:ascii="Times New Roman" w:hAnsi="Times New Roman" w:cs="Times New Roman"/>
      <w:sz w:val="18"/>
      <w:szCs w:val="18"/>
    </w:rPr>
  </w:style>
  <w:style w:type="paragraph" w:styleId="Bibliography">
    <w:name w:val="Bibliography"/>
    <w:basedOn w:val="Normal"/>
    <w:next w:val="Normal"/>
    <w:uiPriority w:val="37"/>
    <w:semiHidden/>
    <w:unhideWhenUsed/>
    <w:rsid w:val="008E199F"/>
  </w:style>
  <w:style w:type="paragraph" w:styleId="BlockText">
    <w:name w:val="Block Text"/>
    <w:basedOn w:val="Normal"/>
    <w:uiPriority w:val="99"/>
    <w:semiHidden/>
    <w:unhideWhenUsed/>
    <w:rsid w:val="008E199F"/>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i/>
      <w:iCs/>
      <w:color w:val="4472C4" w:themeColor="accent1"/>
    </w:rPr>
  </w:style>
  <w:style w:type="paragraph" w:styleId="BodyText2">
    <w:name w:val="Body Text 2"/>
    <w:basedOn w:val="Normal"/>
    <w:link w:val="BodyText2Char"/>
    <w:uiPriority w:val="99"/>
    <w:semiHidden/>
    <w:unhideWhenUsed/>
    <w:rsid w:val="008E199F"/>
    <w:pPr>
      <w:spacing w:after="120" w:line="480" w:lineRule="auto"/>
    </w:pPr>
  </w:style>
  <w:style w:type="character" w:customStyle="1" w:styleId="BodyText2Char">
    <w:name w:val="Body Text 2 Char"/>
    <w:basedOn w:val="DefaultParagraphFont"/>
    <w:link w:val="BodyText2"/>
    <w:uiPriority w:val="99"/>
    <w:semiHidden/>
    <w:rsid w:val="008E199F"/>
    <w:rPr>
      <w:sz w:val="24"/>
    </w:rPr>
  </w:style>
  <w:style w:type="paragraph" w:styleId="BodyText3">
    <w:name w:val="Body Text 3"/>
    <w:basedOn w:val="Normal"/>
    <w:link w:val="BodyText3Char"/>
    <w:uiPriority w:val="99"/>
    <w:semiHidden/>
    <w:unhideWhenUsed/>
    <w:rsid w:val="008E199F"/>
    <w:pPr>
      <w:spacing w:after="120"/>
    </w:pPr>
    <w:rPr>
      <w:sz w:val="16"/>
      <w:szCs w:val="16"/>
    </w:rPr>
  </w:style>
  <w:style w:type="character" w:customStyle="1" w:styleId="BodyText3Char">
    <w:name w:val="Body Text 3 Char"/>
    <w:basedOn w:val="DefaultParagraphFont"/>
    <w:link w:val="BodyText3"/>
    <w:uiPriority w:val="99"/>
    <w:semiHidden/>
    <w:rsid w:val="008E199F"/>
    <w:rPr>
      <w:sz w:val="16"/>
      <w:szCs w:val="16"/>
    </w:rPr>
  </w:style>
  <w:style w:type="paragraph" w:styleId="BodyTextFirstIndent">
    <w:name w:val="Body Text First Indent"/>
    <w:basedOn w:val="BodyText"/>
    <w:link w:val="BodyTextFirstIndentChar"/>
    <w:uiPriority w:val="99"/>
    <w:semiHidden/>
    <w:unhideWhenUsed/>
    <w:rsid w:val="008E199F"/>
    <w:pPr>
      <w:spacing w:after="200" w:line="259" w:lineRule="auto"/>
      <w:ind w:firstLine="360"/>
    </w:pPr>
    <w:rPr>
      <w:rFonts w:cstheme="minorBidi"/>
      <w:kern w:val="0"/>
    </w:rPr>
  </w:style>
  <w:style w:type="character" w:customStyle="1" w:styleId="BodyTextFirstIndentChar">
    <w:name w:val="Body Text First Indent Char"/>
    <w:basedOn w:val="BodyTextChar"/>
    <w:link w:val="BodyTextFirstIndent"/>
    <w:uiPriority w:val="99"/>
    <w:semiHidden/>
    <w:rsid w:val="008E199F"/>
    <w:rPr>
      <w:rFonts w:cs="Times New Roman (Body CS)"/>
      <w:kern w:val="24"/>
      <w:sz w:val="24"/>
    </w:rPr>
  </w:style>
  <w:style w:type="paragraph" w:styleId="BodyTextIndent">
    <w:name w:val="Body Text Indent"/>
    <w:basedOn w:val="Normal"/>
    <w:link w:val="BodyTextIndentChar"/>
    <w:uiPriority w:val="99"/>
    <w:semiHidden/>
    <w:unhideWhenUsed/>
    <w:rsid w:val="008E199F"/>
    <w:pPr>
      <w:spacing w:after="120"/>
      <w:ind w:left="283"/>
    </w:pPr>
  </w:style>
  <w:style w:type="character" w:customStyle="1" w:styleId="BodyTextIndentChar">
    <w:name w:val="Body Text Indent Char"/>
    <w:basedOn w:val="DefaultParagraphFont"/>
    <w:link w:val="BodyTextIndent"/>
    <w:uiPriority w:val="99"/>
    <w:semiHidden/>
    <w:rsid w:val="008E199F"/>
    <w:rPr>
      <w:sz w:val="24"/>
    </w:rPr>
  </w:style>
  <w:style w:type="paragraph" w:styleId="BodyTextFirstIndent2">
    <w:name w:val="Body Text First Indent 2"/>
    <w:basedOn w:val="BodyTextIndent"/>
    <w:link w:val="BodyTextFirstIndent2Char"/>
    <w:uiPriority w:val="99"/>
    <w:semiHidden/>
    <w:unhideWhenUsed/>
    <w:rsid w:val="008E199F"/>
    <w:pPr>
      <w:spacing w:after="200"/>
      <w:ind w:left="360" w:firstLine="360"/>
    </w:pPr>
  </w:style>
  <w:style w:type="character" w:customStyle="1" w:styleId="BodyTextFirstIndent2Char">
    <w:name w:val="Body Text First Indent 2 Char"/>
    <w:basedOn w:val="BodyTextIndentChar"/>
    <w:link w:val="BodyTextFirstIndent2"/>
    <w:uiPriority w:val="99"/>
    <w:semiHidden/>
    <w:rsid w:val="008E199F"/>
    <w:rPr>
      <w:sz w:val="24"/>
    </w:rPr>
  </w:style>
  <w:style w:type="paragraph" w:styleId="BodyTextIndent2">
    <w:name w:val="Body Text Indent 2"/>
    <w:basedOn w:val="Normal"/>
    <w:link w:val="BodyTextIndent2Char"/>
    <w:uiPriority w:val="99"/>
    <w:semiHidden/>
    <w:unhideWhenUsed/>
    <w:rsid w:val="008E199F"/>
    <w:pPr>
      <w:spacing w:after="120" w:line="480" w:lineRule="auto"/>
      <w:ind w:left="283"/>
    </w:pPr>
  </w:style>
  <w:style w:type="character" w:customStyle="1" w:styleId="BodyTextIndent2Char">
    <w:name w:val="Body Text Indent 2 Char"/>
    <w:basedOn w:val="DefaultParagraphFont"/>
    <w:link w:val="BodyTextIndent2"/>
    <w:uiPriority w:val="99"/>
    <w:semiHidden/>
    <w:rsid w:val="008E199F"/>
    <w:rPr>
      <w:sz w:val="24"/>
    </w:rPr>
  </w:style>
  <w:style w:type="paragraph" w:styleId="BodyTextIndent3">
    <w:name w:val="Body Text Indent 3"/>
    <w:basedOn w:val="Normal"/>
    <w:link w:val="BodyTextIndent3Char"/>
    <w:uiPriority w:val="99"/>
    <w:semiHidden/>
    <w:unhideWhenUsed/>
    <w:rsid w:val="008E199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8E199F"/>
    <w:rPr>
      <w:sz w:val="16"/>
      <w:szCs w:val="16"/>
    </w:rPr>
  </w:style>
  <w:style w:type="character" w:styleId="BookTitle">
    <w:name w:val="Book Title"/>
    <w:basedOn w:val="DefaultParagraphFont"/>
    <w:uiPriority w:val="33"/>
    <w:qFormat/>
    <w:rsid w:val="008E199F"/>
    <w:rPr>
      <w:b/>
      <w:bCs/>
      <w:i/>
      <w:iCs/>
      <w:spacing w:val="5"/>
    </w:rPr>
  </w:style>
  <w:style w:type="paragraph" w:styleId="Closing">
    <w:name w:val="Closing"/>
    <w:basedOn w:val="Normal"/>
    <w:link w:val="ClosingChar"/>
    <w:uiPriority w:val="99"/>
    <w:semiHidden/>
    <w:unhideWhenUsed/>
    <w:rsid w:val="008E199F"/>
    <w:pPr>
      <w:spacing w:after="0" w:line="240" w:lineRule="auto"/>
      <w:ind w:left="4252"/>
    </w:pPr>
  </w:style>
  <w:style w:type="character" w:customStyle="1" w:styleId="ClosingChar">
    <w:name w:val="Closing Char"/>
    <w:basedOn w:val="DefaultParagraphFont"/>
    <w:link w:val="Closing"/>
    <w:uiPriority w:val="99"/>
    <w:semiHidden/>
    <w:rsid w:val="008E199F"/>
    <w:rPr>
      <w:sz w:val="24"/>
    </w:rPr>
  </w:style>
  <w:style w:type="table" w:styleId="ColourfulGrid">
    <w:name w:val="Colorful Grid"/>
    <w:basedOn w:val="TableNormal"/>
    <w:uiPriority w:val="73"/>
    <w:semiHidden/>
    <w:unhideWhenUsed/>
    <w:rsid w:val="008E199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semiHidden/>
    <w:unhideWhenUsed/>
    <w:rsid w:val="008E199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urfulGridAccent2">
    <w:name w:val="Colorful Grid Accent 2"/>
    <w:basedOn w:val="TableNormal"/>
    <w:uiPriority w:val="73"/>
    <w:semiHidden/>
    <w:unhideWhenUsed/>
    <w:rsid w:val="008E199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urfulGridAccent3">
    <w:name w:val="Colorful Grid Accent 3"/>
    <w:basedOn w:val="TableNormal"/>
    <w:uiPriority w:val="73"/>
    <w:semiHidden/>
    <w:unhideWhenUsed/>
    <w:rsid w:val="008E199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urfulGridAccent4">
    <w:name w:val="Colorful Grid Accent 4"/>
    <w:basedOn w:val="TableNormal"/>
    <w:uiPriority w:val="73"/>
    <w:semiHidden/>
    <w:unhideWhenUsed/>
    <w:rsid w:val="008E199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urfulGridAccent5">
    <w:name w:val="Colorful Grid Accent 5"/>
    <w:basedOn w:val="TableNormal"/>
    <w:uiPriority w:val="73"/>
    <w:semiHidden/>
    <w:unhideWhenUsed/>
    <w:rsid w:val="008E199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urfulGridAccent6">
    <w:name w:val="Colorful Grid Accent 6"/>
    <w:basedOn w:val="TableNormal"/>
    <w:uiPriority w:val="73"/>
    <w:semiHidden/>
    <w:unhideWhenUsed/>
    <w:rsid w:val="008E199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urfulList">
    <w:name w:val="Colorful List"/>
    <w:basedOn w:val="TableNormal"/>
    <w:uiPriority w:val="72"/>
    <w:semiHidden/>
    <w:unhideWhenUsed/>
    <w:rsid w:val="008E199F"/>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2">
    <w:name w:val="Colorful List Accent 2"/>
    <w:basedOn w:val="TableNormal"/>
    <w:uiPriority w:val="72"/>
    <w:semiHidden/>
    <w:unhideWhenUsed/>
    <w:rsid w:val="008E199F"/>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urfulListAccent3">
    <w:name w:val="Colorful List Accent 3"/>
    <w:basedOn w:val="TableNormal"/>
    <w:uiPriority w:val="72"/>
    <w:semiHidden/>
    <w:unhideWhenUsed/>
    <w:rsid w:val="008E199F"/>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urfulListAccent4">
    <w:name w:val="Colorful List Accent 4"/>
    <w:basedOn w:val="TableNormal"/>
    <w:uiPriority w:val="72"/>
    <w:semiHidden/>
    <w:unhideWhenUsed/>
    <w:rsid w:val="008E199F"/>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urfulListAccent5">
    <w:name w:val="Colorful List Accent 5"/>
    <w:basedOn w:val="TableNormal"/>
    <w:uiPriority w:val="72"/>
    <w:semiHidden/>
    <w:unhideWhenUsed/>
    <w:rsid w:val="008E199F"/>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urfulListAccent6">
    <w:name w:val="Colorful List Accent 6"/>
    <w:basedOn w:val="TableNormal"/>
    <w:uiPriority w:val="72"/>
    <w:semiHidden/>
    <w:unhideWhenUsed/>
    <w:rsid w:val="008E199F"/>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urfulShading">
    <w:name w:val="Colorful Shading"/>
    <w:basedOn w:val="TableNormal"/>
    <w:uiPriority w:val="71"/>
    <w:semiHidden/>
    <w:unhideWhenUsed/>
    <w:rsid w:val="008E199F"/>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semiHidden/>
    <w:unhideWhenUsed/>
    <w:rsid w:val="008E199F"/>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semiHidden/>
    <w:unhideWhenUsed/>
    <w:rsid w:val="008E199F"/>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semiHidden/>
    <w:unhideWhenUsed/>
    <w:rsid w:val="008E199F"/>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urfulShadingAccent4">
    <w:name w:val="Colorful Shading Accent 4"/>
    <w:basedOn w:val="TableNormal"/>
    <w:uiPriority w:val="71"/>
    <w:semiHidden/>
    <w:unhideWhenUsed/>
    <w:rsid w:val="008E199F"/>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semiHidden/>
    <w:unhideWhenUsed/>
    <w:rsid w:val="008E199F"/>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semiHidden/>
    <w:unhideWhenUsed/>
    <w:rsid w:val="008E199F"/>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8E199F"/>
    <w:rPr>
      <w:sz w:val="16"/>
      <w:szCs w:val="16"/>
    </w:rPr>
  </w:style>
  <w:style w:type="paragraph" w:styleId="CommentSubject">
    <w:name w:val="annotation subject"/>
    <w:basedOn w:val="CommentText"/>
    <w:next w:val="CommentText"/>
    <w:link w:val="CommentSubjectChar"/>
    <w:uiPriority w:val="99"/>
    <w:semiHidden/>
    <w:unhideWhenUsed/>
    <w:rsid w:val="008E199F"/>
    <w:rPr>
      <w:b/>
      <w:bCs/>
    </w:rPr>
  </w:style>
  <w:style w:type="character" w:customStyle="1" w:styleId="CommentSubjectChar">
    <w:name w:val="Comment Subject Char"/>
    <w:basedOn w:val="CommentTextChar"/>
    <w:link w:val="CommentSubject"/>
    <w:uiPriority w:val="99"/>
    <w:semiHidden/>
    <w:rsid w:val="008E199F"/>
    <w:rPr>
      <w:b/>
      <w:bCs/>
      <w:sz w:val="20"/>
      <w:szCs w:val="20"/>
    </w:rPr>
  </w:style>
  <w:style w:type="table" w:styleId="DarkList">
    <w:name w:val="Dark List"/>
    <w:basedOn w:val="TableNormal"/>
    <w:uiPriority w:val="70"/>
    <w:semiHidden/>
    <w:unhideWhenUsed/>
    <w:rsid w:val="008E199F"/>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8E199F"/>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8E199F"/>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8E199F"/>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8E199F"/>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8E199F"/>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8E199F"/>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8E199F"/>
  </w:style>
  <w:style w:type="character" w:customStyle="1" w:styleId="DateChar">
    <w:name w:val="Date Char"/>
    <w:basedOn w:val="DefaultParagraphFont"/>
    <w:link w:val="Date"/>
    <w:uiPriority w:val="99"/>
    <w:semiHidden/>
    <w:rsid w:val="008E199F"/>
    <w:rPr>
      <w:sz w:val="24"/>
    </w:rPr>
  </w:style>
  <w:style w:type="paragraph" w:styleId="DocumentMap">
    <w:name w:val="Document Map"/>
    <w:basedOn w:val="Normal"/>
    <w:link w:val="DocumentMapChar"/>
    <w:uiPriority w:val="99"/>
    <w:semiHidden/>
    <w:unhideWhenUsed/>
    <w:rsid w:val="008E199F"/>
    <w:pPr>
      <w:spacing w:after="0" w:line="240" w:lineRule="auto"/>
    </w:pPr>
    <w:rPr>
      <w:rFonts w:ascii="Helvetica" w:hAnsi="Helvetica"/>
      <w:sz w:val="26"/>
      <w:szCs w:val="26"/>
    </w:rPr>
  </w:style>
  <w:style w:type="character" w:customStyle="1" w:styleId="DocumentMapChar">
    <w:name w:val="Document Map Char"/>
    <w:basedOn w:val="DefaultParagraphFont"/>
    <w:link w:val="DocumentMap"/>
    <w:uiPriority w:val="99"/>
    <w:semiHidden/>
    <w:rsid w:val="008E199F"/>
    <w:rPr>
      <w:rFonts w:ascii="Helvetica" w:hAnsi="Helvetica"/>
      <w:sz w:val="26"/>
      <w:szCs w:val="26"/>
    </w:rPr>
  </w:style>
  <w:style w:type="paragraph" w:styleId="EmailSignature">
    <w:name w:val="E-mail Signature"/>
    <w:basedOn w:val="Normal"/>
    <w:link w:val="EmailSignatureChar"/>
    <w:uiPriority w:val="99"/>
    <w:semiHidden/>
    <w:unhideWhenUsed/>
    <w:rsid w:val="008E199F"/>
    <w:pPr>
      <w:spacing w:after="0" w:line="240" w:lineRule="auto"/>
    </w:pPr>
  </w:style>
  <w:style w:type="character" w:customStyle="1" w:styleId="EmailSignatureChar">
    <w:name w:val="Email Signature Char"/>
    <w:basedOn w:val="DefaultParagraphFont"/>
    <w:link w:val="EmailSignature"/>
    <w:uiPriority w:val="99"/>
    <w:semiHidden/>
    <w:rsid w:val="008E199F"/>
    <w:rPr>
      <w:sz w:val="24"/>
    </w:rPr>
  </w:style>
  <w:style w:type="character" w:styleId="EndnoteReference">
    <w:name w:val="endnote reference"/>
    <w:basedOn w:val="DefaultParagraphFont"/>
    <w:uiPriority w:val="99"/>
    <w:semiHidden/>
    <w:unhideWhenUsed/>
    <w:rsid w:val="008E199F"/>
    <w:rPr>
      <w:vertAlign w:val="superscript"/>
    </w:rPr>
  </w:style>
  <w:style w:type="paragraph" w:styleId="EndnoteText">
    <w:name w:val="endnote text"/>
    <w:basedOn w:val="Normal"/>
    <w:link w:val="EndnoteTextChar"/>
    <w:uiPriority w:val="99"/>
    <w:semiHidden/>
    <w:unhideWhenUsed/>
    <w:rsid w:val="008E199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E199F"/>
    <w:rPr>
      <w:sz w:val="20"/>
      <w:szCs w:val="20"/>
    </w:rPr>
  </w:style>
  <w:style w:type="paragraph" w:styleId="EnvelopeAddress">
    <w:name w:val="envelope address"/>
    <w:basedOn w:val="Normal"/>
    <w:uiPriority w:val="99"/>
    <w:semiHidden/>
    <w:unhideWhenUsed/>
    <w:rsid w:val="008E199F"/>
    <w:pPr>
      <w:framePr w:w="7920" w:h="1980" w:hRule="exact" w:hSpace="180" w:wrap="auto" w:hAnchor="page" w:xAlign="center" w:yAlign="bottom"/>
      <w:spacing w:after="0" w:line="240" w:lineRule="auto"/>
      <w:ind w:left="2880"/>
    </w:pPr>
    <w:rPr>
      <w:rFonts w:asciiTheme="majorHAnsi" w:eastAsiaTheme="majorEastAsia" w:hAnsiTheme="majorHAnsi" w:cstheme="majorBidi"/>
      <w:szCs w:val="24"/>
    </w:rPr>
  </w:style>
  <w:style w:type="paragraph" w:styleId="EnvelopeReturn">
    <w:name w:val="envelope return"/>
    <w:basedOn w:val="Normal"/>
    <w:uiPriority w:val="99"/>
    <w:semiHidden/>
    <w:unhideWhenUsed/>
    <w:rsid w:val="008E199F"/>
    <w:pPr>
      <w:spacing w:after="0" w:line="240" w:lineRule="auto"/>
    </w:pPr>
    <w:rPr>
      <w:rFonts w:asciiTheme="majorHAnsi" w:eastAsiaTheme="majorEastAsia" w:hAnsiTheme="majorHAnsi" w:cstheme="majorBidi"/>
      <w:sz w:val="20"/>
      <w:szCs w:val="20"/>
    </w:rPr>
  </w:style>
  <w:style w:type="table" w:styleId="GridTable1Light">
    <w:name w:val="Grid Table 1 Light"/>
    <w:basedOn w:val="TableNormal"/>
    <w:uiPriority w:val="46"/>
    <w:rsid w:val="008E199F"/>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8E199F"/>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8E199F"/>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8E199F"/>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8E199F"/>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8E199F"/>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8E199F"/>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2">
    <w:name w:val="Grid Table 2"/>
    <w:basedOn w:val="TableNormal"/>
    <w:uiPriority w:val="47"/>
    <w:rsid w:val="008E199F"/>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8E199F"/>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8E199F"/>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8E199F"/>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8E199F"/>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8E199F"/>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8E199F"/>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8E199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8E199F"/>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8E199F"/>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8E199F"/>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8E199F"/>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8E199F"/>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8E199F"/>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8E199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8E199F"/>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8E199F"/>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8E199F"/>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8E199F"/>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8E199F"/>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8E199F"/>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Accent1">
    <w:name w:val="Grid Table 5 Dark Accent 1"/>
    <w:basedOn w:val="TableNormal"/>
    <w:uiPriority w:val="50"/>
    <w:rsid w:val="008E199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8E199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8E199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8E199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8E199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8E199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urful">
    <w:name w:val="Grid Table 6 Colorful"/>
    <w:basedOn w:val="TableNormal"/>
    <w:uiPriority w:val="51"/>
    <w:rsid w:val="008E199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urfulAccent1">
    <w:name w:val="Grid Table 6 Colorful Accent 1"/>
    <w:basedOn w:val="TableNormal"/>
    <w:uiPriority w:val="51"/>
    <w:rsid w:val="008E199F"/>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urfulAccent2">
    <w:name w:val="Grid Table 6 Colorful Accent 2"/>
    <w:basedOn w:val="TableNormal"/>
    <w:uiPriority w:val="51"/>
    <w:rsid w:val="008E199F"/>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urfulAccent3">
    <w:name w:val="Grid Table 6 Colorful Accent 3"/>
    <w:basedOn w:val="TableNormal"/>
    <w:uiPriority w:val="51"/>
    <w:rsid w:val="008E199F"/>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urfulAccent4">
    <w:name w:val="Grid Table 6 Colorful Accent 4"/>
    <w:basedOn w:val="TableNormal"/>
    <w:uiPriority w:val="51"/>
    <w:rsid w:val="008E199F"/>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urfulAccent5">
    <w:name w:val="Grid Table 6 Colorful Accent 5"/>
    <w:basedOn w:val="TableNormal"/>
    <w:uiPriority w:val="51"/>
    <w:rsid w:val="008E199F"/>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urfulAccent6">
    <w:name w:val="Grid Table 6 Colorful Accent 6"/>
    <w:basedOn w:val="TableNormal"/>
    <w:uiPriority w:val="51"/>
    <w:rsid w:val="008E199F"/>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urful">
    <w:name w:val="Grid Table 7 Colorful"/>
    <w:basedOn w:val="TableNormal"/>
    <w:uiPriority w:val="52"/>
    <w:rsid w:val="008E199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urfulAccent1">
    <w:name w:val="Grid Table 7 Colorful Accent 1"/>
    <w:basedOn w:val="TableNormal"/>
    <w:uiPriority w:val="52"/>
    <w:rsid w:val="008E199F"/>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urfulAccent2">
    <w:name w:val="Grid Table 7 Colorful Accent 2"/>
    <w:basedOn w:val="TableNormal"/>
    <w:uiPriority w:val="52"/>
    <w:rsid w:val="008E199F"/>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urfulAccent3">
    <w:name w:val="Grid Table 7 Colorful Accent 3"/>
    <w:basedOn w:val="TableNormal"/>
    <w:uiPriority w:val="52"/>
    <w:rsid w:val="008E199F"/>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urfulAccent4">
    <w:name w:val="Grid Table 7 Colorful Accent 4"/>
    <w:basedOn w:val="TableNormal"/>
    <w:uiPriority w:val="52"/>
    <w:rsid w:val="008E199F"/>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urfulAccent5">
    <w:name w:val="Grid Table 7 Colorful Accent 5"/>
    <w:basedOn w:val="TableNormal"/>
    <w:uiPriority w:val="52"/>
    <w:rsid w:val="008E199F"/>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urfulAccent6">
    <w:name w:val="Grid Table 7 Colorful Accent 6"/>
    <w:basedOn w:val="TableNormal"/>
    <w:uiPriority w:val="52"/>
    <w:rsid w:val="008E199F"/>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8E199F"/>
    <w:rPr>
      <w:color w:val="2B579A"/>
      <w:shd w:val="clear" w:color="auto" w:fill="E1DFDD"/>
    </w:rPr>
  </w:style>
  <w:style w:type="character" w:styleId="HTMLAcronym">
    <w:name w:val="HTML Acronym"/>
    <w:basedOn w:val="DefaultParagraphFont"/>
    <w:uiPriority w:val="99"/>
    <w:semiHidden/>
    <w:unhideWhenUsed/>
    <w:rsid w:val="008E199F"/>
  </w:style>
  <w:style w:type="paragraph" w:styleId="HTMLAddress">
    <w:name w:val="HTML Address"/>
    <w:basedOn w:val="Normal"/>
    <w:link w:val="HTMLAddressChar"/>
    <w:uiPriority w:val="99"/>
    <w:semiHidden/>
    <w:unhideWhenUsed/>
    <w:rsid w:val="008E199F"/>
    <w:pPr>
      <w:spacing w:after="0" w:line="240" w:lineRule="auto"/>
    </w:pPr>
    <w:rPr>
      <w:i/>
      <w:iCs/>
    </w:rPr>
  </w:style>
  <w:style w:type="character" w:customStyle="1" w:styleId="HTMLAddressChar">
    <w:name w:val="HTML Address Char"/>
    <w:basedOn w:val="DefaultParagraphFont"/>
    <w:link w:val="HTMLAddress"/>
    <w:uiPriority w:val="99"/>
    <w:semiHidden/>
    <w:rsid w:val="008E199F"/>
    <w:rPr>
      <w:i/>
      <w:iCs/>
      <w:sz w:val="24"/>
    </w:rPr>
  </w:style>
  <w:style w:type="character" w:styleId="HTMLCite">
    <w:name w:val="HTML Cite"/>
    <w:basedOn w:val="DefaultParagraphFont"/>
    <w:uiPriority w:val="99"/>
    <w:semiHidden/>
    <w:unhideWhenUsed/>
    <w:rsid w:val="008E199F"/>
    <w:rPr>
      <w:i/>
      <w:iCs/>
    </w:rPr>
  </w:style>
  <w:style w:type="character" w:styleId="HTMLCode">
    <w:name w:val="HTML Code"/>
    <w:basedOn w:val="DefaultParagraphFont"/>
    <w:uiPriority w:val="99"/>
    <w:semiHidden/>
    <w:unhideWhenUsed/>
    <w:rsid w:val="008E199F"/>
    <w:rPr>
      <w:rFonts w:ascii="Consolas" w:hAnsi="Consolas" w:cs="Consolas"/>
      <w:noProof/>
      <w:sz w:val="20"/>
      <w:szCs w:val="20"/>
    </w:rPr>
  </w:style>
  <w:style w:type="character" w:styleId="HTMLDefinition">
    <w:name w:val="HTML Definition"/>
    <w:basedOn w:val="DefaultParagraphFont"/>
    <w:uiPriority w:val="99"/>
    <w:semiHidden/>
    <w:unhideWhenUsed/>
    <w:rsid w:val="008E199F"/>
    <w:rPr>
      <w:i/>
      <w:iCs/>
    </w:rPr>
  </w:style>
  <w:style w:type="character" w:styleId="HTMLKeyboard">
    <w:name w:val="HTML Keyboard"/>
    <w:basedOn w:val="DefaultParagraphFont"/>
    <w:uiPriority w:val="99"/>
    <w:semiHidden/>
    <w:unhideWhenUsed/>
    <w:rsid w:val="008E199F"/>
    <w:rPr>
      <w:rFonts w:ascii="Consolas" w:hAnsi="Consolas" w:cs="Consolas"/>
      <w:sz w:val="20"/>
      <w:szCs w:val="20"/>
    </w:rPr>
  </w:style>
  <w:style w:type="paragraph" w:styleId="HTMLPreformatted">
    <w:name w:val="HTML Preformatted"/>
    <w:basedOn w:val="Normal"/>
    <w:link w:val="HTMLPreformattedChar"/>
    <w:uiPriority w:val="99"/>
    <w:semiHidden/>
    <w:unhideWhenUsed/>
    <w:rsid w:val="008E199F"/>
    <w:pPr>
      <w:spacing w:after="0" w:line="240" w:lineRule="auto"/>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8E199F"/>
    <w:rPr>
      <w:rFonts w:ascii="Consolas" w:hAnsi="Consolas" w:cs="Consolas"/>
      <w:sz w:val="20"/>
      <w:szCs w:val="20"/>
    </w:rPr>
  </w:style>
  <w:style w:type="character" w:styleId="HTMLSample">
    <w:name w:val="HTML Sample"/>
    <w:basedOn w:val="DefaultParagraphFont"/>
    <w:uiPriority w:val="99"/>
    <w:semiHidden/>
    <w:unhideWhenUsed/>
    <w:rsid w:val="008E199F"/>
    <w:rPr>
      <w:rFonts w:ascii="Consolas" w:hAnsi="Consolas" w:cs="Consolas"/>
      <w:sz w:val="24"/>
      <w:szCs w:val="24"/>
    </w:rPr>
  </w:style>
  <w:style w:type="character" w:styleId="HTMLTypewriter">
    <w:name w:val="HTML Typewriter"/>
    <w:basedOn w:val="DefaultParagraphFont"/>
    <w:uiPriority w:val="99"/>
    <w:semiHidden/>
    <w:unhideWhenUsed/>
    <w:rsid w:val="008E199F"/>
    <w:rPr>
      <w:rFonts w:ascii="Consolas" w:hAnsi="Consolas" w:cs="Consolas"/>
      <w:sz w:val="20"/>
      <w:szCs w:val="20"/>
    </w:rPr>
  </w:style>
  <w:style w:type="character" w:styleId="HTMLVariable">
    <w:name w:val="HTML Variable"/>
    <w:basedOn w:val="DefaultParagraphFont"/>
    <w:uiPriority w:val="99"/>
    <w:semiHidden/>
    <w:unhideWhenUsed/>
    <w:rsid w:val="008E199F"/>
    <w:rPr>
      <w:i/>
      <w:iCs/>
    </w:rPr>
  </w:style>
  <w:style w:type="paragraph" w:styleId="Index1">
    <w:name w:val="index 1"/>
    <w:basedOn w:val="Normal"/>
    <w:next w:val="Normal"/>
    <w:autoRedefine/>
    <w:uiPriority w:val="99"/>
    <w:semiHidden/>
    <w:unhideWhenUsed/>
    <w:rsid w:val="008E199F"/>
    <w:pPr>
      <w:spacing w:after="0" w:line="240" w:lineRule="auto"/>
      <w:ind w:left="240" w:hanging="240"/>
    </w:pPr>
  </w:style>
  <w:style w:type="paragraph" w:styleId="Index2">
    <w:name w:val="index 2"/>
    <w:basedOn w:val="Normal"/>
    <w:next w:val="Normal"/>
    <w:autoRedefine/>
    <w:uiPriority w:val="99"/>
    <w:semiHidden/>
    <w:unhideWhenUsed/>
    <w:rsid w:val="008E199F"/>
    <w:pPr>
      <w:spacing w:after="0" w:line="240" w:lineRule="auto"/>
      <w:ind w:left="480" w:hanging="240"/>
    </w:pPr>
  </w:style>
  <w:style w:type="paragraph" w:styleId="Index3">
    <w:name w:val="index 3"/>
    <w:basedOn w:val="Normal"/>
    <w:next w:val="Normal"/>
    <w:autoRedefine/>
    <w:uiPriority w:val="99"/>
    <w:semiHidden/>
    <w:unhideWhenUsed/>
    <w:rsid w:val="008E199F"/>
    <w:pPr>
      <w:spacing w:after="0" w:line="240" w:lineRule="auto"/>
      <w:ind w:left="720" w:hanging="240"/>
    </w:pPr>
  </w:style>
  <w:style w:type="paragraph" w:styleId="Index4">
    <w:name w:val="index 4"/>
    <w:basedOn w:val="Normal"/>
    <w:next w:val="Normal"/>
    <w:autoRedefine/>
    <w:uiPriority w:val="99"/>
    <w:semiHidden/>
    <w:unhideWhenUsed/>
    <w:rsid w:val="008E199F"/>
    <w:pPr>
      <w:spacing w:after="0" w:line="240" w:lineRule="auto"/>
      <w:ind w:left="960" w:hanging="240"/>
    </w:pPr>
  </w:style>
  <w:style w:type="paragraph" w:styleId="Index5">
    <w:name w:val="index 5"/>
    <w:basedOn w:val="Normal"/>
    <w:next w:val="Normal"/>
    <w:autoRedefine/>
    <w:uiPriority w:val="99"/>
    <w:semiHidden/>
    <w:unhideWhenUsed/>
    <w:rsid w:val="008E199F"/>
    <w:pPr>
      <w:spacing w:after="0" w:line="240" w:lineRule="auto"/>
      <w:ind w:left="1200" w:hanging="240"/>
    </w:pPr>
  </w:style>
  <w:style w:type="paragraph" w:styleId="Index6">
    <w:name w:val="index 6"/>
    <w:basedOn w:val="Normal"/>
    <w:next w:val="Normal"/>
    <w:autoRedefine/>
    <w:uiPriority w:val="99"/>
    <w:semiHidden/>
    <w:unhideWhenUsed/>
    <w:rsid w:val="008E199F"/>
    <w:pPr>
      <w:spacing w:after="0" w:line="240" w:lineRule="auto"/>
      <w:ind w:left="1440" w:hanging="240"/>
    </w:pPr>
  </w:style>
  <w:style w:type="paragraph" w:styleId="Index7">
    <w:name w:val="index 7"/>
    <w:basedOn w:val="Normal"/>
    <w:next w:val="Normal"/>
    <w:autoRedefine/>
    <w:uiPriority w:val="99"/>
    <w:semiHidden/>
    <w:unhideWhenUsed/>
    <w:rsid w:val="008E199F"/>
    <w:pPr>
      <w:spacing w:after="0" w:line="240" w:lineRule="auto"/>
      <w:ind w:left="1680" w:hanging="240"/>
    </w:pPr>
  </w:style>
  <w:style w:type="paragraph" w:styleId="Index8">
    <w:name w:val="index 8"/>
    <w:basedOn w:val="Normal"/>
    <w:next w:val="Normal"/>
    <w:autoRedefine/>
    <w:uiPriority w:val="99"/>
    <w:semiHidden/>
    <w:unhideWhenUsed/>
    <w:rsid w:val="008E199F"/>
    <w:pPr>
      <w:spacing w:after="0" w:line="240" w:lineRule="auto"/>
      <w:ind w:left="1920" w:hanging="240"/>
    </w:pPr>
  </w:style>
  <w:style w:type="paragraph" w:styleId="Index9">
    <w:name w:val="index 9"/>
    <w:basedOn w:val="Normal"/>
    <w:next w:val="Normal"/>
    <w:autoRedefine/>
    <w:uiPriority w:val="99"/>
    <w:semiHidden/>
    <w:unhideWhenUsed/>
    <w:rsid w:val="008E199F"/>
    <w:pPr>
      <w:spacing w:after="0" w:line="240" w:lineRule="auto"/>
      <w:ind w:left="2160" w:hanging="240"/>
    </w:pPr>
  </w:style>
  <w:style w:type="paragraph" w:styleId="IndexHeading">
    <w:name w:val="index heading"/>
    <w:basedOn w:val="Normal"/>
    <w:next w:val="Index1"/>
    <w:uiPriority w:val="99"/>
    <w:semiHidden/>
    <w:unhideWhenUsed/>
    <w:rsid w:val="008E199F"/>
    <w:rPr>
      <w:rFonts w:asciiTheme="majorHAnsi" w:eastAsiaTheme="majorEastAsia" w:hAnsiTheme="majorHAnsi" w:cstheme="majorBidi"/>
      <w:b/>
      <w:bCs/>
    </w:rPr>
  </w:style>
  <w:style w:type="character" w:styleId="IntenseEmphasis">
    <w:name w:val="Intense Emphasis"/>
    <w:basedOn w:val="DefaultParagraphFont"/>
    <w:uiPriority w:val="21"/>
    <w:qFormat/>
    <w:rsid w:val="008E199F"/>
    <w:rPr>
      <w:i/>
      <w:iCs/>
      <w:color w:val="4472C4" w:themeColor="accent1"/>
    </w:rPr>
  </w:style>
  <w:style w:type="paragraph" w:styleId="IntenseQuote">
    <w:name w:val="Intense Quote"/>
    <w:basedOn w:val="Normal"/>
    <w:next w:val="Normal"/>
    <w:link w:val="IntenseQuoteChar"/>
    <w:uiPriority w:val="30"/>
    <w:qFormat/>
    <w:rsid w:val="008E199F"/>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8E199F"/>
    <w:rPr>
      <w:i/>
      <w:iCs/>
      <w:color w:val="4472C4" w:themeColor="accent1"/>
      <w:sz w:val="24"/>
    </w:rPr>
  </w:style>
  <w:style w:type="character" w:styleId="IntenseReference">
    <w:name w:val="Intense Reference"/>
    <w:basedOn w:val="DefaultParagraphFont"/>
    <w:uiPriority w:val="32"/>
    <w:qFormat/>
    <w:rsid w:val="008E199F"/>
    <w:rPr>
      <w:b/>
      <w:bCs/>
      <w:smallCaps/>
      <w:color w:val="4472C4" w:themeColor="accent1"/>
      <w:spacing w:val="5"/>
    </w:rPr>
  </w:style>
  <w:style w:type="table" w:styleId="LightGrid">
    <w:name w:val="Light Grid"/>
    <w:basedOn w:val="TableNormal"/>
    <w:uiPriority w:val="62"/>
    <w:semiHidden/>
    <w:unhideWhenUsed/>
    <w:rsid w:val="008E199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8E199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8E199F"/>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8E199F"/>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8E199F"/>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8E199F"/>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8E199F"/>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8E199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8E199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8E199F"/>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8E199F"/>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8E199F"/>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8E199F"/>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8E199F"/>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8E199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8E199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8E199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8E199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8E199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8E199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8E199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8E199F"/>
  </w:style>
  <w:style w:type="paragraph" w:styleId="List">
    <w:name w:val="List"/>
    <w:basedOn w:val="Normal"/>
    <w:uiPriority w:val="99"/>
    <w:semiHidden/>
    <w:unhideWhenUsed/>
    <w:rsid w:val="008E199F"/>
    <w:pPr>
      <w:ind w:left="283" w:hanging="283"/>
      <w:contextualSpacing/>
    </w:pPr>
  </w:style>
  <w:style w:type="paragraph" w:styleId="List3">
    <w:name w:val="List 3"/>
    <w:basedOn w:val="Normal"/>
    <w:uiPriority w:val="99"/>
    <w:semiHidden/>
    <w:unhideWhenUsed/>
    <w:rsid w:val="008E199F"/>
    <w:pPr>
      <w:ind w:left="849" w:hanging="283"/>
      <w:contextualSpacing/>
    </w:pPr>
  </w:style>
  <w:style w:type="paragraph" w:styleId="List4">
    <w:name w:val="List 4"/>
    <w:basedOn w:val="Normal"/>
    <w:uiPriority w:val="99"/>
    <w:semiHidden/>
    <w:unhideWhenUsed/>
    <w:rsid w:val="008E199F"/>
    <w:pPr>
      <w:ind w:left="1132" w:hanging="283"/>
      <w:contextualSpacing/>
    </w:pPr>
  </w:style>
  <w:style w:type="paragraph" w:styleId="List5">
    <w:name w:val="List 5"/>
    <w:basedOn w:val="Normal"/>
    <w:uiPriority w:val="99"/>
    <w:semiHidden/>
    <w:unhideWhenUsed/>
    <w:rsid w:val="008E199F"/>
    <w:pPr>
      <w:ind w:left="1415" w:hanging="283"/>
      <w:contextualSpacing/>
    </w:pPr>
  </w:style>
  <w:style w:type="paragraph" w:styleId="ListBullet4">
    <w:name w:val="List Bullet 4"/>
    <w:basedOn w:val="Normal"/>
    <w:uiPriority w:val="99"/>
    <w:semiHidden/>
    <w:unhideWhenUsed/>
    <w:rsid w:val="008E199F"/>
    <w:pPr>
      <w:numPr>
        <w:numId w:val="32"/>
      </w:numPr>
      <w:contextualSpacing/>
    </w:pPr>
  </w:style>
  <w:style w:type="paragraph" w:styleId="ListBullet5">
    <w:name w:val="List Bullet 5"/>
    <w:basedOn w:val="Normal"/>
    <w:uiPriority w:val="99"/>
    <w:semiHidden/>
    <w:unhideWhenUsed/>
    <w:rsid w:val="008E199F"/>
    <w:pPr>
      <w:numPr>
        <w:numId w:val="33"/>
      </w:numPr>
      <w:contextualSpacing/>
    </w:pPr>
  </w:style>
  <w:style w:type="paragraph" w:styleId="ListContinue">
    <w:name w:val="List Continue"/>
    <w:basedOn w:val="Normal"/>
    <w:uiPriority w:val="99"/>
    <w:semiHidden/>
    <w:unhideWhenUsed/>
    <w:rsid w:val="008E199F"/>
    <w:pPr>
      <w:spacing w:after="120"/>
      <w:ind w:left="283"/>
      <w:contextualSpacing/>
    </w:pPr>
  </w:style>
  <w:style w:type="paragraph" w:styleId="ListContinue2">
    <w:name w:val="List Continue 2"/>
    <w:basedOn w:val="Normal"/>
    <w:uiPriority w:val="99"/>
    <w:semiHidden/>
    <w:unhideWhenUsed/>
    <w:rsid w:val="008E199F"/>
    <w:pPr>
      <w:spacing w:after="120"/>
      <w:ind w:left="566"/>
      <w:contextualSpacing/>
    </w:pPr>
  </w:style>
  <w:style w:type="paragraph" w:styleId="ListContinue3">
    <w:name w:val="List Continue 3"/>
    <w:basedOn w:val="Normal"/>
    <w:uiPriority w:val="99"/>
    <w:semiHidden/>
    <w:unhideWhenUsed/>
    <w:rsid w:val="008E199F"/>
    <w:pPr>
      <w:spacing w:after="120"/>
      <w:ind w:left="849"/>
      <w:contextualSpacing/>
    </w:pPr>
  </w:style>
  <w:style w:type="paragraph" w:styleId="ListContinue4">
    <w:name w:val="List Continue 4"/>
    <w:basedOn w:val="Normal"/>
    <w:uiPriority w:val="99"/>
    <w:semiHidden/>
    <w:unhideWhenUsed/>
    <w:rsid w:val="008E199F"/>
    <w:pPr>
      <w:spacing w:after="120"/>
      <w:ind w:left="1132"/>
      <w:contextualSpacing/>
    </w:pPr>
  </w:style>
  <w:style w:type="paragraph" w:styleId="ListContinue5">
    <w:name w:val="List Continue 5"/>
    <w:basedOn w:val="Normal"/>
    <w:uiPriority w:val="99"/>
    <w:semiHidden/>
    <w:unhideWhenUsed/>
    <w:rsid w:val="008E199F"/>
    <w:pPr>
      <w:spacing w:after="120"/>
      <w:ind w:left="1415"/>
      <w:contextualSpacing/>
    </w:pPr>
  </w:style>
  <w:style w:type="paragraph" w:styleId="ListNumber3">
    <w:name w:val="List Number 3"/>
    <w:basedOn w:val="Normal"/>
    <w:uiPriority w:val="99"/>
    <w:semiHidden/>
    <w:unhideWhenUsed/>
    <w:rsid w:val="008E199F"/>
    <w:pPr>
      <w:numPr>
        <w:numId w:val="34"/>
      </w:numPr>
      <w:contextualSpacing/>
    </w:pPr>
  </w:style>
  <w:style w:type="paragraph" w:styleId="ListNumber4">
    <w:name w:val="List Number 4"/>
    <w:basedOn w:val="Normal"/>
    <w:uiPriority w:val="99"/>
    <w:semiHidden/>
    <w:unhideWhenUsed/>
    <w:rsid w:val="008E199F"/>
    <w:pPr>
      <w:numPr>
        <w:numId w:val="35"/>
      </w:numPr>
      <w:contextualSpacing/>
    </w:pPr>
  </w:style>
  <w:style w:type="paragraph" w:styleId="ListNumber5">
    <w:name w:val="List Number 5"/>
    <w:basedOn w:val="Normal"/>
    <w:uiPriority w:val="99"/>
    <w:semiHidden/>
    <w:unhideWhenUsed/>
    <w:rsid w:val="008E199F"/>
    <w:pPr>
      <w:numPr>
        <w:numId w:val="36"/>
      </w:numPr>
      <w:contextualSpacing/>
    </w:pPr>
  </w:style>
  <w:style w:type="table" w:styleId="ListTable1Light">
    <w:name w:val="List Table 1 Light"/>
    <w:basedOn w:val="TableNormal"/>
    <w:uiPriority w:val="46"/>
    <w:rsid w:val="008E199F"/>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8E199F"/>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8E199F"/>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8E199F"/>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8E199F"/>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8E199F"/>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8E199F"/>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8E199F"/>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8E199F"/>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8E199F"/>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8E199F"/>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8E199F"/>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8E199F"/>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8E199F"/>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8E199F"/>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8E199F"/>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8E199F"/>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8E199F"/>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8E199F"/>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8E199F"/>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8E199F"/>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8E199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8E199F"/>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8E199F"/>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8E199F"/>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8E199F"/>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8E199F"/>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8E199F"/>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8E199F"/>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8E199F"/>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8E199F"/>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8E199F"/>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8E199F"/>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8E199F"/>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8E199F"/>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urful">
    <w:name w:val="List Table 6 Colorful"/>
    <w:basedOn w:val="TableNormal"/>
    <w:uiPriority w:val="51"/>
    <w:rsid w:val="008E199F"/>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urfulAccent1">
    <w:name w:val="List Table 6 Colorful Accent 1"/>
    <w:basedOn w:val="TableNormal"/>
    <w:uiPriority w:val="51"/>
    <w:rsid w:val="008E199F"/>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urfulAccent2">
    <w:name w:val="List Table 6 Colorful Accent 2"/>
    <w:basedOn w:val="TableNormal"/>
    <w:uiPriority w:val="51"/>
    <w:rsid w:val="008E199F"/>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urfulAccent3">
    <w:name w:val="List Table 6 Colorful Accent 3"/>
    <w:basedOn w:val="TableNormal"/>
    <w:uiPriority w:val="51"/>
    <w:rsid w:val="008E199F"/>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urfulAccent4">
    <w:name w:val="List Table 6 Colorful Accent 4"/>
    <w:basedOn w:val="TableNormal"/>
    <w:uiPriority w:val="51"/>
    <w:rsid w:val="008E199F"/>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urfulAccent5">
    <w:name w:val="List Table 6 Colorful Accent 5"/>
    <w:basedOn w:val="TableNormal"/>
    <w:uiPriority w:val="51"/>
    <w:rsid w:val="008E199F"/>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urfulAccent6">
    <w:name w:val="List Table 6 Colorful Accent 6"/>
    <w:basedOn w:val="TableNormal"/>
    <w:uiPriority w:val="51"/>
    <w:rsid w:val="008E199F"/>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urful">
    <w:name w:val="List Table 7 Colorful"/>
    <w:basedOn w:val="TableNormal"/>
    <w:uiPriority w:val="52"/>
    <w:rsid w:val="008E199F"/>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1">
    <w:name w:val="List Table 7 Colorful Accent 1"/>
    <w:basedOn w:val="TableNormal"/>
    <w:uiPriority w:val="52"/>
    <w:rsid w:val="008E199F"/>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2">
    <w:name w:val="List Table 7 Colorful Accent 2"/>
    <w:basedOn w:val="TableNormal"/>
    <w:uiPriority w:val="52"/>
    <w:rsid w:val="008E199F"/>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3">
    <w:name w:val="List Table 7 Colorful Accent 3"/>
    <w:basedOn w:val="TableNormal"/>
    <w:uiPriority w:val="52"/>
    <w:rsid w:val="008E199F"/>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4">
    <w:name w:val="List Table 7 Colorful Accent 4"/>
    <w:basedOn w:val="TableNormal"/>
    <w:uiPriority w:val="52"/>
    <w:rsid w:val="008E199F"/>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5">
    <w:name w:val="List Table 7 Colorful Accent 5"/>
    <w:basedOn w:val="TableNormal"/>
    <w:uiPriority w:val="52"/>
    <w:rsid w:val="008E199F"/>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6">
    <w:name w:val="List Table 7 Colorful Accent 6"/>
    <w:basedOn w:val="TableNormal"/>
    <w:uiPriority w:val="52"/>
    <w:rsid w:val="008E199F"/>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8E199F"/>
    <w:pPr>
      <w:tabs>
        <w:tab w:val="left" w:pos="480"/>
        <w:tab w:val="left" w:pos="960"/>
        <w:tab w:val="left" w:pos="1440"/>
        <w:tab w:val="left" w:pos="1920"/>
        <w:tab w:val="left" w:pos="2400"/>
        <w:tab w:val="left" w:pos="2880"/>
        <w:tab w:val="left" w:pos="3360"/>
        <w:tab w:val="left" w:pos="3840"/>
        <w:tab w:val="left" w:pos="4320"/>
      </w:tabs>
      <w:suppressAutoHyphens/>
      <w:spacing w:after="0"/>
    </w:pPr>
    <w:rPr>
      <w:rFonts w:ascii="Consolas" w:hAnsi="Consolas" w:cs="Consolas"/>
      <w:sz w:val="20"/>
      <w:szCs w:val="20"/>
    </w:rPr>
  </w:style>
  <w:style w:type="character" w:customStyle="1" w:styleId="MacroTextChar">
    <w:name w:val="Macro Text Char"/>
    <w:basedOn w:val="DefaultParagraphFont"/>
    <w:link w:val="MacroText"/>
    <w:uiPriority w:val="99"/>
    <w:semiHidden/>
    <w:rsid w:val="008E199F"/>
    <w:rPr>
      <w:rFonts w:ascii="Consolas" w:hAnsi="Consolas" w:cs="Consolas"/>
      <w:sz w:val="20"/>
      <w:szCs w:val="20"/>
    </w:rPr>
  </w:style>
  <w:style w:type="table" w:styleId="MediumGrid1">
    <w:name w:val="Medium Grid 1"/>
    <w:basedOn w:val="TableNormal"/>
    <w:uiPriority w:val="67"/>
    <w:semiHidden/>
    <w:unhideWhenUsed/>
    <w:rsid w:val="008E199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8E199F"/>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8E199F"/>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8E199F"/>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8E199F"/>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8E199F"/>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8E199F"/>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8E199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8E199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8E199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8E199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8E199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8E199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8E199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8E199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8E199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8E199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8E199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8E199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8E199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8E199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8E199F"/>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8E199F"/>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8E199F"/>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8E199F"/>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8E199F"/>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8E199F"/>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8E199F"/>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8E199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8E199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8E199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8E199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8E199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8E199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8E199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8E199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8E199F"/>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8E199F"/>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8E199F"/>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8E199F"/>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8E199F"/>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8E199F"/>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8E199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8E199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8E199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8E199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8E199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8E199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8E199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8E199F"/>
    <w:rPr>
      <w:color w:val="2B579A"/>
      <w:shd w:val="clear" w:color="auto" w:fill="E1DFDD"/>
    </w:rPr>
  </w:style>
  <w:style w:type="paragraph" w:styleId="MessageHeader">
    <w:name w:val="Message Header"/>
    <w:basedOn w:val="Normal"/>
    <w:link w:val="MessageHeaderChar"/>
    <w:uiPriority w:val="99"/>
    <w:semiHidden/>
    <w:unhideWhenUsed/>
    <w:rsid w:val="008E199F"/>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8E199F"/>
    <w:rPr>
      <w:rFonts w:asciiTheme="majorHAnsi" w:eastAsiaTheme="majorEastAsia" w:hAnsiTheme="majorHAnsi" w:cstheme="majorBidi"/>
      <w:sz w:val="24"/>
      <w:szCs w:val="24"/>
      <w:shd w:val="pct20" w:color="auto" w:fill="auto"/>
    </w:rPr>
  </w:style>
  <w:style w:type="paragraph" w:styleId="NoSpacing">
    <w:name w:val="No Spacing"/>
    <w:uiPriority w:val="1"/>
    <w:qFormat/>
    <w:rsid w:val="008E199F"/>
    <w:pPr>
      <w:suppressAutoHyphens/>
      <w:spacing w:after="0" w:line="240" w:lineRule="auto"/>
    </w:pPr>
    <w:rPr>
      <w:sz w:val="24"/>
    </w:rPr>
  </w:style>
  <w:style w:type="paragraph" w:styleId="NormalWeb">
    <w:name w:val="Normal (Web)"/>
    <w:basedOn w:val="Normal"/>
    <w:uiPriority w:val="99"/>
    <w:semiHidden/>
    <w:unhideWhenUsed/>
    <w:rsid w:val="008E199F"/>
    <w:rPr>
      <w:rFonts w:ascii="Times New Roman" w:hAnsi="Times New Roman" w:cs="Times New Roman"/>
      <w:szCs w:val="24"/>
    </w:rPr>
  </w:style>
  <w:style w:type="paragraph" w:styleId="NormalIndent">
    <w:name w:val="Normal Indent"/>
    <w:basedOn w:val="Normal"/>
    <w:uiPriority w:val="99"/>
    <w:semiHidden/>
    <w:unhideWhenUsed/>
    <w:rsid w:val="008E199F"/>
    <w:pPr>
      <w:ind w:left="720"/>
    </w:pPr>
  </w:style>
  <w:style w:type="paragraph" w:styleId="NoteHeading">
    <w:name w:val="Note Heading"/>
    <w:basedOn w:val="Normal"/>
    <w:next w:val="Normal"/>
    <w:link w:val="NoteHeadingChar"/>
    <w:uiPriority w:val="99"/>
    <w:semiHidden/>
    <w:unhideWhenUsed/>
    <w:rsid w:val="008E199F"/>
    <w:pPr>
      <w:spacing w:after="0" w:line="240" w:lineRule="auto"/>
    </w:pPr>
  </w:style>
  <w:style w:type="character" w:customStyle="1" w:styleId="NoteHeadingChar">
    <w:name w:val="Note Heading Char"/>
    <w:basedOn w:val="DefaultParagraphFont"/>
    <w:link w:val="NoteHeading"/>
    <w:uiPriority w:val="99"/>
    <w:semiHidden/>
    <w:rsid w:val="008E199F"/>
    <w:rPr>
      <w:sz w:val="24"/>
    </w:rPr>
  </w:style>
  <w:style w:type="character" w:styleId="PlaceholderText">
    <w:name w:val="Placeholder Text"/>
    <w:basedOn w:val="DefaultParagraphFont"/>
    <w:uiPriority w:val="99"/>
    <w:semiHidden/>
    <w:rsid w:val="008E199F"/>
    <w:rPr>
      <w:color w:val="666666"/>
    </w:rPr>
  </w:style>
  <w:style w:type="table" w:styleId="PlainTable1">
    <w:name w:val="Plain Table 1"/>
    <w:basedOn w:val="TableNormal"/>
    <w:uiPriority w:val="41"/>
    <w:rsid w:val="008E199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8E199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8E199F"/>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8E199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8E199F"/>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8E199F"/>
    <w:pPr>
      <w:spacing w:after="0" w:line="240" w:lineRule="auto"/>
    </w:pPr>
    <w:rPr>
      <w:rFonts w:ascii="Consolas" w:hAnsi="Consolas" w:cs="Consolas"/>
      <w:sz w:val="21"/>
      <w:szCs w:val="21"/>
    </w:rPr>
  </w:style>
  <w:style w:type="character" w:customStyle="1" w:styleId="PlainTextChar">
    <w:name w:val="Plain Text Char"/>
    <w:basedOn w:val="DefaultParagraphFont"/>
    <w:link w:val="PlainText"/>
    <w:uiPriority w:val="99"/>
    <w:semiHidden/>
    <w:rsid w:val="008E199F"/>
    <w:rPr>
      <w:rFonts w:ascii="Consolas" w:hAnsi="Consolas" w:cs="Consolas"/>
      <w:sz w:val="21"/>
      <w:szCs w:val="21"/>
    </w:rPr>
  </w:style>
  <w:style w:type="paragraph" w:styleId="Salutation">
    <w:name w:val="Salutation"/>
    <w:basedOn w:val="Normal"/>
    <w:next w:val="Normal"/>
    <w:link w:val="SalutationChar"/>
    <w:uiPriority w:val="99"/>
    <w:semiHidden/>
    <w:unhideWhenUsed/>
    <w:rsid w:val="008E199F"/>
  </w:style>
  <w:style w:type="character" w:customStyle="1" w:styleId="SalutationChar">
    <w:name w:val="Salutation Char"/>
    <w:basedOn w:val="DefaultParagraphFont"/>
    <w:link w:val="Salutation"/>
    <w:uiPriority w:val="99"/>
    <w:semiHidden/>
    <w:rsid w:val="008E199F"/>
    <w:rPr>
      <w:sz w:val="24"/>
    </w:rPr>
  </w:style>
  <w:style w:type="paragraph" w:styleId="Signature">
    <w:name w:val="Signature"/>
    <w:basedOn w:val="Normal"/>
    <w:link w:val="SignatureChar"/>
    <w:uiPriority w:val="99"/>
    <w:semiHidden/>
    <w:unhideWhenUsed/>
    <w:rsid w:val="008E199F"/>
    <w:pPr>
      <w:spacing w:after="0" w:line="240" w:lineRule="auto"/>
      <w:ind w:left="4252"/>
    </w:pPr>
  </w:style>
  <w:style w:type="character" w:customStyle="1" w:styleId="SignatureChar">
    <w:name w:val="Signature Char"/>
    <w:basedOn w:val="DefaultParagraphFont"/>
    <w:link w:val="Signature"/>
    <w:uiPriority w:val="99"/>
    <w:semiHidden/>
    <w:rsid w:val="008E199F"/>
    <w:rPr>
      <w:sz w:val="24"/>
    </w:rPr>
  </w:style>
  <w:style w:type="character" w:styleId="SmartHyperlink">
    <w:name w:val="Smart Hyperlink"/>
    <w:basedOn w:val="DefaultParagraphFont"/>
    <w:uiPriority w:val="99"/>
    <w:semiHidden/>
    <w:unhideWhenUsed/>
    <w:rsid w:val="008E199F"/>
    <w:rPr>
      <w:u w:val="dotted"/>
    </w:rPr>
  </w:style>
  <w:style w:type="character" w:styleId="SmartLink">
    <w:name w:val="Smart Link"/>
    <w:basedOn w:val="DefaultParagraphFont"/>
    <w:uiPriority w:val="99"/>
    <w:semiHidden/>
    <w:unhideWhenUsed/>
    <w:rsid w:val="008E199F"/>
    <w:rPr>
      <w:color w:val="0000FF"/>
      <w:u w:val="single"/>
      <w:shd w:val="clear" w:color="auto" w:fill="F3F2F1"/>
    </w:rPr>
  </w:style>
  <w:style w:type="character" w:styleId="SubtleEmphasis">
    <w:name w:val="Subtle Emphasis"/>
    <w:basedOn w:val="DefaultParagraphFont"/>
    <w:uiPriority w:val="19"/>
    <w:qFormat/>
    <w:rsid w:val="008E199F"/>
    <w:rPr>
      <w:i/>
      <w:iCs/>
      <w:color w:val="404040" w:themeColor="text1" w:themeTint="BF"/>
    </w:rPr>
  </w:style>
  <w:style w:type="character" w:styleId="SubtleReference">
    <w:name w:val="Subtle Reference"/>
    <w:basedOn w:val="DefaultParagraphFont"/>
    <w:uiPriority w:val="31"/>
    <w:qFormat/>
    <w:rsid w:val="008E199F"/>
    <w:rPr>
      <w:smallCaps/>
      <w:color w:val="5A5A5A" w:themeColor="text1" w:themeTint="A5"/>
    </w:rPr>
  </w:style>
  <w:style w:type="table" w:styleId="Table3Deffects1">
    <w:name w:val="Table 3D effects 1"/>
    <w:basedOn w:val="TableNormal"/>
    <w:uiPriority w:val="99"/>
    <w:semiHidden/>
    <w:unhideWhenUsed/>
    <w:rsid w:val="008E199F"/>
    <w:pPr>
      <w:suppressAutoHyphens/>
      <w:spacing w:after="20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E199F"/>
    <w:pPr>
      <w:suppressAutoHyphens/>
      <w:spacing w:after="20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E199F"/>
    <w:pPr>
      <w:suppressAutoHyphens/>
      <w:spacing w:after="20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E199F"/>
    <w:pPr>
      <w:suppressAutoHyphens/>
      <w:spacing w:after="20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E199F"/>
    <w:pPr>
      <w:suppressAutoHyphens/>
      <w:spacing w:after="20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E199F"/>
    <w:pPr>
      <w:suppressAutoHyphens/>
      <w:spacing w:after="20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E199F"/>
    <w:pPr>
      <w:suppressAutoHyphens/>
      <w:spacing w:after="20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urful1">
    <w:name w:val="Table Colorful 1"/>
    <w:basedOn w:val="TableNormal"/>
    <w:uiPriority w:val="99"/>
    <w:semiHidden/>
    <w:unhideWhenUsed/>
    <w:rsid w:val="008E199F"/>
    <w:pPr>
      <w:suppressAutoHyphens/>
      <w:spacing w:after="20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urful2">
    <w:name w:val="Table Colorful 2"/>
    <w:basedOn w:val="TableNormal"/>
    <w:uiPriority w:val="99"/>
    <w:semiHidden/>
    <w:unhideWhenUsed/>
    <w:rsid w:val="008E199F"/>
    <w:pPr>
      <w:suppressAutoHyphens/>
      <w:spacing w:after="20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urful3">
    <w:name w:val="Table Colorful 3"/>
    <w:basedOn w:val="TableNormal"/>
    <w:uiPriority w:val="99"/>
    <w:semiHidden/>
    <w:unhideWhenUsed/>
    <w:rsid w:val="008E199F"/>
    <w:pPr>
      <w:suppressAutoHyphens/>
      <w:spacing w:after="20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E199F"/>
    <w:pPr>
      <w:suppressAutoHyphens/>
      <w:spacing w:after="20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E199F"/>
    <w:pPr>
      <w:suppressAutoHyphens/>
      <w:spacing w:after="20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E199F"/>
    <w:pPr>
      <w:suppressAutoHyphens/>
      <w:spacing w:after="20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E199F"/>
    <w:pPr>
      <w:suppressAutoHyphens/>
      <w:spacing w:after="20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E199F"/>
    <w:pPr>
      <w:suppressAutoHyphens/>
      <w:spacing w:after="20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E199F"/>
    <w:pPr>
      <w:suppressAutoHyphens/>
      <w:spacing w:after="20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E199F"/>
    <w:pPr>
      <w:suppressAutoHyphens/>
      <w:spacing w:after="20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E199F"/>
    <w:pPr>
      <w:suppressAutoHyphens/>
      <w:spacing w:after="20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E199F"/>
    <w:pPr>
      <w:suppressAutoHyphens/>
      <w:spacing w:after="20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E199F"/>
    <w:pPr>
      <w:suppressAutoHyphens/>
      <w:spacing w:after="20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E199F"/>
    <w:pPr>
      <w:suppressAutoHyphens/>
      <w:spacing w:after="20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E199F"/>
    <w:pPr>
      <w:suppressAutoHyphens/>
      <w:spacing w:after="20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E199F"/>
    <w:pPr>
      <w:suppressAutoHyphens/>
      <w:spacing w:after="20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E199F"/>
    <w:pPr>
      <w:suppressAutoHyphens/>
      <w:spacing w:after="20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E199F"/>
    <w:pPr>
      <w:suppressAutoHyphens/>
      <w:spacing w:after="20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8E199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8E199F"/>
    <w:pPr>
      <w:suppressAutoHyphens/>
      <w:spacing w:after="20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E199F"/>
    <w:pPr>
      <w:suppressAutoHyphens/>
      <w:spacing w:after="20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E199F"/>
    <w:pPr>
      <w:suppressAutoHyphens/>
      <w:spacing w:after="20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E199F"/>
    <w:pPr>
      <w:suppressAutoHyphens/>
      <w:spacing w:after="20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E199F"/>
    <w:pPr>
      <w:suppressAutoHyphens/>
      <w:spacing w:after="20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E199F"/>
    <w:pPr>
      <w:suppressAutoHyphens/>
      <w:spacing w:after="20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E199F"/>
    <w:pPr>
      <w:suppressAutoHyphens/>
      <w:spacing w:after="20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E199F"/>
    <w:pPr>
      <w:suppressAutoHyphens/>
      <w:spacing w:after="20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8E199F"/>
    <w:pPr>
      <w:spacing w:after="0"/>
      <w:ind w:left="240" w:hanging="240"/>
    </w:pPr>
  </w:style>
  <w:style w:type="paragraph" w:styleId="TableofFigures">
    <w:name w:val="table of figures"/>
    <w:basedOn w:val="Normal"/>
    <w:next w:val="Normal"/>
    <w:uiPriority w:val="99"/>
    <w:semiHidden/>
    <w:unhideWhenUsed/>
    <w:rsid w:val="008E199F"/>
    <w:pPr>
      <w:spacing w:after="0"/>
    </w:pPr>
  </w:style>
  <w:style w:type="table" w:styleId="TableProfessional">
    <w:name w:val="Table Professional"/>
    <w:basedOn w:val="TableNormal"/>
    <w:uiPriority w:val="99"/>
    <w:semiHidden/>
    <w:unhideWhenUsed/>
    <w:rsid w:val="008E199F"/>
    <w:pPr>
      <w:suppressAutoHyphens/>
      <w:spacing w:after="20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E199F"/>
    <w:pPr>
      <w:suppressAutoHyphens/>
      <w:spacing w:after="20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E199F"/>
    <w:pPr>
      <w:suppressAutoHyphens/>
      <w:spacing w:after="20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E199F"/>
    <w:pPr>
      <w:suppressAutoHyphens/>
      <w:spacing w:after="20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E199F"/>
    <w:pPr>
      <w:suppressAutoHyphens/>
      <w:spacing w:after="20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E199F"/>
    <w:pPr>
      <w:suppressAutoHyphens/>
      <w:spacing w:after="20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E199F"/>
    <w:pPr>
      <w:suppressAutoHyphens/>
      <w:spacing w:after="20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E199F"/>
    <w:pPr>
      <w:suppressAutoHyphens/>
      <w:spacing w:after="20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E199F"/>
    <w:pPr>
      <w:suppressAutoHyphens/>
      <w:spacing w:after="20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E199F"/>
    <w:pPr>
      <w:suppressAutoHyphens/>
      <w:spacing w:after="20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25991346">
      <w:bodyDiv w:val="1"/>
      <w:marLeft w:val="0"/>
      <w:marRight w:val="0"/>
      <w:marTop w:val="0"/>
      <w:marBottom w:val="0"/>
      <w:divBdr>
        <w:top w:val="none" w:sz="0" w:space="0" w:color="auto"/>
        <w:left w:val="none" w:sz="0" w:space="0" w:color="auto"/>
        <w:bottom w:val="none" w:sz="0" w:space="0" w:color="auto"/>
        <w:right w:val="none" w:sz="0" w:space="0" w:color="auto"/>
      </w:divBdr>
    </w:div>
    <w:div w:id="411506731">
      <w:bodyDiv w:val="1"/>
      <w:marLeft w:val="0"/>
      <w:marRight w:val="0"/>
      <w:marTop w:val="0"/>
      <w:marBottom w:val="0"/>
      <w:divBdr>
        <w:top w:val="none" w:sz="0" w:space="0" w:color="auto"/>
        <w:left w:val="none" w:sz="0" w:space="0" w:color="auto"/>
        <w:bottom w:val="none" w:sz="0" w:space="0" w:color="auto"/>
        <w:right w:val="none" w:sz="0" w:space="0" w:color="auto"/>
      </w:divBdr>
    </w:div>
    <w:div w:id="819463063">
      <w:bodyDiv w:val="1"/>
      <w:marLeft w:val="0"/>
      <w:marRight w:val="0"/>
      <w:marTop w:val="0"/>
      <w:marBottom w:val="0"/>
      <w:divBdr>
        <w:top w:val="none" w:sz="0" w:space="0" w:color="auto"/>
        <w:left w:val="none" w:sz="0" w:space="0" w:color="auto"/>
        <w:bottom w:val="none" w:sz="0" w:space="0" w:color="auto"/>
        <w:right w:val="none" w:sz="0" w:space="0" w:color="auto"/>
      </w:divBdr>
    </w:div>
    <w:div w:id="1303265086">
      <w:bodyDiv w:val="1"/>
      <w:marLeft w:val="0"/>
      <w:marRight w:val="0"/>
      <w:marTop w:val="0"/>
      <w:marBottom w:val="0"/>
      <w:divBdr>
        <w:top w:val="none" w:sz="0" w:space="0" w:color="auto"/>
        <w:left w:val="none" w:sz="0" w:space="0" w:color="auto"/>
        <w:bottom w:val="none" w:sz="0" w:space="0" w:color="auto"/>
        <w:right w:val="none" w:sz="0" w:space="0" w:color="auto"/>
      </w:divBdr>
    </w:div>
    <w:div w:id="1427190841">
      <w:bodyDiv w:val="1"/>
      <w:marLeft w:val="0"/>
      <w:marRight w:val="0"/>
      <w:marTop w:val="0"/>
      <w:marBottom w:val="0"/>
      <w:divBdr>
        <w:top w:val="none" w:sz="0" w:space="0" w:color="auto"/>
        <w:left w:val="none" w:sz="0" w:space="0" w:color="auto"/>
        <w:bottom w:val="none" w:sz="0" w:space="0" w:color="auto"/>
        <w:right w:val="none" w:sz="0" w:space="0" w:color="auto"/>
      </w:divBdr>
    </w:div>
    <w:div w:id="1585457962">
      <w:bodyDiv w:val="1"/>
      <w:marLeft w:val="0"/>
      <w:marRight w:val="0"/>
      <w:marTop w:val="0"/>
      <w:marBottom w:val="0"/>
      <w:divBdr>
        <w:top w:val="none" w:sz="0" w:space="0" w:color="auto"/>
        <w:left w:val="none" w:sz="0" w:space="0" w:color="auto"/>
        <w:bottom w:val="none" w:sz="0" w:space="0" w:color="auto"/>
        <w:right w:val="none" w:sz="0" w:space="0" w:color="auto"/>
      </w:divBdr>
    </w:div>
    <w:div w:id="1591312075">
      <w:bodyDiv w:val="1"/>
      <w:marLeft w:val="0"/>
      <w:marRight w:val="0"/>
      <w:marTop w:val="0"/>
      <w:marBottom w:val="0"/>
      <w:divBdr>
        <w:top w:val="none" w:sz="0" w:space="0" w:color="auto"/>
        <w:left w:val="none" w:sz="0" w:space="0" w:color="auto"/>
        <w:bottom w:val="none" w:sz="0" w:space="0" w:color="auto"/>
        <w:right w:val="none" w:sz="0" w:space="0" w:color="auto"/>
      </w:divBdr>
    </w:div>
    <w:div w:id="1709144339">
      <w:bodyDiv w:val="1"/>
      <w:marLeft w:val="0"/>
      <w:marRight w:val="0"/>
      <w:marTop w:val="0"/>
      <w:marBottom w:val="0"/>
      <w:divBdr>
        <w:top w:val="none" w:sz="0" w:space="0" w:color="auto"/>
        <w:left w:val="none" w:sz="0" w:space="0" w:color="auto"/>
        <w:bottom w:val="none" w:sz="0" w:space="0" w:color="auto"/>
        <w:right w:val="none" w:sz="0" w:space="0" w:color="auto"/>
      </w:divBdr>
    </w:div>
    <w:div w:id="2007781129">
      <w:bodyDiv w:val="1"/>
      <w:marLeft w:val="0"/>
      <w:marRight w:val="0"/>
      <w:marTop w:val="0"/>
      <w:marBottom w:val="0"/>
      <w:divBdr>
        <w:top w:val="none" w:sz="0" w:space="0" w:color="auto"/>
        <w:left w:val="none" w:sz="0" w:space="0" w:color="auto"/>
        <w:bottom w:val="none" w:sz="0" w:space="0" w:color="auto"/>
        <w:right w:val="none" w:sz="0" w:space="0" w:color="auto"/>
      </w:divBdr>
    </w:div>
    <w:div w:id="2036073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3.jpg"/><Relationship Id="rId21" Type="http://schemas.openxmlformats.org/officeDocument/2006/relationships/hyperlink" Target="https://www.mooraboolwindfarm.com" TargetMode="External"/><Relationship Id="rId42" Type="http://schemas.openxmlformats.org/officeDocument/2006/relationships/hyperlink" Target="https://batteryhub.deakin.edu.au" TargetMode="External"/><Relationship Id="rId47" Type="http://schemas.openxmlformats.org/officeDocument/2006/relationships/hyperlink" Target="https://energy.unimelb.edu.au" TargetMode="External"/><Relationship Id="rId63" Type="http://schemas.openxmlformats.org/officeDocument/2006/relationships/hyperlink" Target="https://innovationvictoria.com" TargetMode="External"/><Relationship Id="rId68" Type="http://schemas.openxmlformats.org/officeDocument/2006/relationships/hyperlink" Target="https://www.accesshub.gov.au/" TargetMode="External"/><Relationship Id="rId16" Type="http://schemas.openxmlformats.org/officeDocument/2006/relationships/hyperlink" Target="https://www.aemc.gov.au" TargetMode="External"/><Relationship Id="rId11" Type="http://schemas.openxmlformats.org/officeDocument/2006/relationships/footer" Target="footer2.xml"/><Relationship Id="rId24" Type="http://schemas.openxmlformats.org/officeDocument/2006/relationships/hyperlink" Target="https://engie.com.au/about-us/our-generation-activities/battery-storage/hazelwood-battery" TargetMode="External"/><Relationship Id="rId32" Type="http://schemas.openxmlformats.org/officeDocument/2006/relationships/hyperlink" Target="https://www.cefc.com.au" TargetMode="External"/><Relationship Id="rId37" Type="http://schemas.openxmlformats.org/officeDocument/2006/relationships/hyperlink" Target="https://www.environment.vic.gov.au/biodiversity/habitat-value" TargetMode="External"/><Relationship Id="rId40" Type="http://schemas.openxmlformats.org/officeDocument/2006/relationships/image" Target="media/image4.jpg"/><Relationship Id="rId45" Type="http://schemas.openxmlformats.org/officeDocument/2006/relationships/hyperlink" Target="https://www.csiro.au/en/research" TargetMode="External"/><Relationship Id="rId53" Type="http://schemas.openxmlformats.org/officeDocument/2006/relationships/hyperlink" Target="https://www.energy.vic.gov.au/renewable-energy/first-peoples-energy" TargetMode="External"/><Relationship Id="rId58" Type="http://schemas.openxmlformats.org/officeDocument/2006/relationships/hyperlink" Target="https://www.energy.vic.gov.au/renewable-energy/offshore-wind-energy" TargetMode="External"/><Relationship Id="rId66" Type="http://schemas.openxmlformats.org/officeDocument/2006/relationships/hyperlink" Target="https://creativecommons.org/licenses/by/4.0/" TargetMode="External"/><Relationship Id="rId74" Type="http://schemas.openxmlformats.org/officeDocument/2006/relationships/customXml" Target="../customXml/item3.xml"/><Relationship Id="rId5" Type="http://schemas.openxmlformats.org/officeDocument/2006/relationships/webSettings" Target="webSettings.xml"/><Relationship Id="rId61" Type="http://schemas.openxmlformats.org/officeDocument/2006/relationships/hyperlink" Target="https://www.invest.vic.gov.au" TargetMode="External"/><Relationship Id="rId19" Type="http://schemas.openxmlformats.org/officeDocument/2006/relationships/hyperlink" Target="https://www.energy.vic.gov.au/about-energy/about-the-electricity-sector" TargetMode="External"/><Relationship Id="rId14" Type="http://schemas.openxmlformats.org/officeDocument/2006/relationships/hyperlink" Target="https://www.deeca.vic.gov.au/aboriginalselfdetermination/self-determination-reform-strategy" TargetMode="External"/><Relationship Id="rId22" Type="http://schemas.openxmlformats.org/officeDocument/2006/relationships/hyperlink" Target="https://ekuenergy.com/aus/projects/rangebank" TargetMode="External"/><Relationship Id="rId27" Type="http://schemas.openxmlformats.org/officeDocument/2006/relationships/hyperlink" Target="https://www.fulhamsolar.com.au" TargetMode="External"/><Relationship Id="rId30" Type="http://schemas.openxmlformats.org/officeDocument/2006/relationships/hyperlink" Target="https://www.dcceew.gov.au/energy/renewable/capacity-investment-scheme" TargetMode="External"/><Relationship Id="rId35" Type="http://schemas.openxmlformats.org/officeDocument/2006/relationships/hyperlink" Target="https://www.industry.gov.au/investor-front-door" TargetMode="External"/><Relationship Id="rId43" Type="http://schemas.openxmlformats.org/officeDocument/2006/relationships/hyperlink" Target="https://resources.vic.gov.au/critical-minerals" TargetMode="External"/><Relationship Id="rId48" Type="http://schemas.openxmlformats.org/officeDocument/2006/relationships/hyperlink" Target="https://www.monash.edu/energy-institute" TargetMode="External"/><Relationship Id="rId56" Type="http://schemas.openxmlformats.org/officeDocument/2006/relationships/hyperlink" Target="mailto:BIE@deeca.vic.gov.au" TargetMode="External"/><Relationship Id="rId64" Type="http://schemas.openxmlformats.org/officeDocument/2006/relationships/hyperlink" Target="https://www.secvictoria.com.au" TargetMode="External"/><Relationship Id="rId69" Type="http://schemas.openxmlformats.org/officeDocument/2006/relationships/hyperlink" Target="https://www.deeca.vic.gov.au/" TargetMode="External"/><Relationship Id="rId77" Type="http://schemas.openxmlformats.org/officeDocument/2006/relationships/customXml" Target="../customXml/item6.xml"/><Relationship Id="rId8" Type="http://schemas.openxmlformats.org/officeDocument/2006/relationships/header" Target="header1.xml"/><Relationship Id="rId51" Type="http://schemas.openxmlformats.org/officeDocument/2006/relationships/hyperlink" Target="https://www.energy.vic.gov.au/renewable-energy/our-energy-workforce/victorian-energy-jobs-plan" TargetMode="External"/><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yperlink" Target="https://www.aer.gov.au" TargetMode="External"/><Relationship Id="rId25" Type="http://schemas.openxmlformats.org/officeDocument/2006/relationships/hyperlink" Target="https://terangbess.com" TargetMode="External"/><Relationship Id="rId33" Type="http://schemas.openxmlformats.org/officeDocument/2006/relationships/hyperlink" Target="https://www.nrf.gov.au" TargetMode="External"/><Relationship Id="rId38" Type="http://schemas.openxmlformats.org/officeDocument/2006/relationships/hyperlink" Target="https://www.marineandcoasts.vic.gov.au/marine-and-coastal-knowledge/MBV" TargetMode="External"/><Relationship Id="rId46" Type="http://schemas.openxmlformats.org/officeDocument/2006/relationships/hyperlink" Target="https://www.rmit.edu.au/research/centres-collaborations/centre-for-advanced-materials-and-industrial-chemistry" TargetMode="External"/><Relationship Id="rId59" Type="http://schemas.openxmlformats.org/officeDocument/2006/relationships/hyperlink" Target="https://www.solar.vic.gov.au" TargetMode="External"/><Relationship Id="rId67" Type="http://schemas.openxmlformats.org/officeDocument/2006/relationships/hyperlink" Target="mailto:customer.service@deeca.vic.gov.au" TargetMode="External"/><Relationship Id="rId20" Type="http://schemas.openxmlformats.org/officeDocument/2006/relationships/image" Target="media/image2.jpg"/><Relationship Id="rId41" Type="http://schemas.openxmlformats.org/officeDocument/2006/relationships/hyperlink" Target="https://treasury.gov.au/policy-topics/future-made-australia" TargetMode="External"/><Relationship Id="rId54" Type="http://schemas.openxmlformats.org/officeDocument/2006/relationships/hyperlink" Target="https://www.energy.vic.gov.au/renewable-energy/first-peoples-energy/first-peoples-resources" TargetMode="External"/><Relationship Id="rId62" Type="http://schemas.openxmlformats.org/officeDocument/2006/relationships/hyperlink" Target="https://djsir.vic.gov.au/about-us/overview/organisation-structure/departments-organisation-chart/victorias-investment-coordinator-general" TargetMode="External"/><Relationship Id="rId70" Type="http://schemas.openxmlformats.org/officeDocument/2006/relationships/footer" Target="footer4.xml"/><Relationship Id="rId75"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aemo.com.au/library" TargetMode="External"/><Relationship Id="rId23" Type="http://schemas.openxmlformats.org/officeDocument/2006/relationships/hyperlink" Target="https://shellenergy.com.au/decarbonisation/projects/rangebank-bess-project/" TargetMode="External"/><Relationship Id="rId28" Type="http://schemas.openxmlformats.org/officeDocument/2006/relationships/hyperlink" Target="https://edifyenergy.com/project/gannawarra-solarfarm" TargetMode="External"/><Relationship Id="rId36" Type="http://schemas.openxmlformats.org/officeDocument/2006/relationships/hyperlink" Target="https://www.environment.vic.gov.au/home/managing-impacts-of-renewable-energy-on-environment" TargetMode="External"/><Relationship Id="rId49" Type="http://schemas.openxmlformats.org/officeDocument/2006/relationships/hyperlink" Target="https://batteryhub.deakin.edu.au" TargetMode="External"/><Relationship Id="rId57" Type="http://schemas.openxmlformats.org/officeDocument/2006/relationships/hyperlink" Target="https://www.energy.vic.gov.au/industry/investment-opportunities" TargetMode="External"/><Relationship Id="rId10" Type="http://schemas.openxmlformats.org/officeDocument/2006/relationships/footer" Target="footer1.xml"/><Relationship Id="rId31" Type="http://schemas.openxmlformats.org/officeDocument/2006/relationships/hyperlink" Target="https://www.dcceew.gov.au/energy/markets/nem-wms-review" TargetMode="External"/><Relationship Id="rId44" Type="http://schemas.openxmlformats.org/officeDocument/2006/relationships/hyperlink" Target="https://lotusrecycling.com.au" TargetMode="External"/><Relationship Id="rId52" Type="http://schemas.openxmlformats.org/officeDocument/2006/relationships/hyperlink" Target="https://www.energy.vic.gov.au/renewable-energy/our-energy-workforce/women-in-energy-strategy" TargetMode="External"/><Relationship Id="rId60" Type="http://schemas.openxmlformats.org/officeDocument/2006/relationships/hyperlink" Target="https://www.energy.vic.gov.au/renewable-energy/renewable-energy-zones" TargetMode="External"/><Relationship Id="rId65" Type="http://schemas.openxmlformats.org/officeDocument/2006/relationships/hyperlink" Target="https://www.energy.vic.gov.au/industry/investment-opportunities" TargetMode="External"/><Relationship Id="rId73"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footer" Target="footer3.xml"/><Relationship Id="rId18" Type="http://schemas.openxmlformats.org/officeDocument/2006/relationships/image" Target="media/image1.png"/><Relationship Id="rId39" Type="http://schemas.openxmlformats.org/officeDocument/2006/relationships/hyperlink" Target="https://www.ari.vic.gov.au/research/strategic-projects-for-policy/science-for-renewable-energy-policy" TargetMode="External"/><Relationship Id="rId34" Type="http://schemas.openxmlformats.org/officeDocument/2006/relationships/hyperlink" Target="https://arena.gov.au" TargetMode="External"/><Relationship Id="rId50" Type="http://schemas.openxmlformats.org/officeDocument/2006/relationships/hyperlink" Target="https://solstice-ai.com" TargetMode="External"/><Relationship Id="rId55" Type="http://schemas.openxmlformats.org/officeDocument/2006/relationships/hyperlink" Target="https://www.vicgrid.com.au/about/news/news-stories/driving-better-community-engagement-and-benefits-from-renewable-energy-projects" TargetMode="External"/><Relationship Id="rId76" Type="http://schemas.openxmlformats.org/officeDocument/2006/relationships/customXml" Target="../customXml/item5.xml"/><Relationship Id="rId7" Type="http://schemas.openxmlformats.org/officeDocument/2006/relationships/endnotes" Target="endnotes.xml"/><Relationship Id="rId71" Type="http://schemas.openxmlformats.org/officeDocument/2006/relationships/fontTable" Target="fontTable.xml"/><Relationship Id="rId2" Type="http://schemas.openxmlformats.org/officeDocument/2006/relationships/numbering" Target="numbering.xml"/><Relationship Id="rId29" Type="http://schemas.openxmlformats.org/officeDocument/2006/relationships/hyperlink" Target="https://gentari.com.au/project/gannawarra-storage-system"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energy.vic.gov.au/renewable-energy/our-energy-workforce/victorian-energy-jobs-plan" TargetMode="External"/><Relationship Id="rId3" Type="http://schemas.openxmlformats.org/officeDocument/2006/relationships/hyperlink" Target="https://www.eiu.com/n/wp-content/uploads/2026/07/EIU_Liveability-Index-2026.pdf" TargetMode="External"/><Relationship Id="rId7" Type="http://schemas.openxmlformats.org/officeDocument/2006/relationships/hyperlink" Target="https://www.invest.vic.gov.au/understand-the-market/know-the-victorian-economy/start-up-ecosystem-in-victoria" TargetMode="External"/><Relationship Id="rId2" Type="http://schemas.openxmlformats.org/officeDocument/2006/relationships/hyperlink" Target="https://www.melbourne.vic.gov.au/why-invest-melbourne" TargetMode="External"/><Relationship Id="rId1" Type="http://schemas.openxmlformats.org/officeDocument/2006/relationships/hyperlink" Target="https://www.planning.vic.gov.au/guides-and-resources/Data-spatial-and-insights/discover-and-access-planning-open-data/victoria-in-future" TargetMode="External"/><Relationship Id="rId6" Type="http://schemas.openxmlformats.org/officeDocument/2006/relationships/hyperlink" Target="https://www.vic.gov.au/economic-growth-statement" TargetMode="External"/><Relationship Id="rId5" Type="http://schemas.openxmlformats.org/officeDocument/2006/relationships/hyperlink" Target="https://www.aemo.com.au/energy-systems/major-publications/integrated-system-plan-isp/2026-integrated-system-plan-isp" TargetMode="External"/><Relationship Id="rId4" Type="http://schemas.openxmlformats.org/officeDocument/2006/relationships/hyperlink" Target="https://www.aer.gov.au/about/aer/our-rol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Volumes/Samsung%20Backup/DEECA%20Work/Document_accessible_APR20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3BB992C-176B-7A4E-894C-6831AFADC7DF}">
  <we:reference id="wa200010725" version="1.0.0.1" store="en-US" storeType="OMEX"/>
  <we:alternateReferences>
    <we:reference id="WA200010725" version="1.0.0.1" store="" storeType="OMEX"/>
  </we:alternateReferences>
  <we:properties>
    <we:property name="claude.fileId" value="&quot;ef0199af-1006-4006-81e7-59452219f8ea&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ECM V2 Project" ma:contentTypeID="0x0101009298E819CE1EBB4F8D2096B3E0F0C2911D0089CB9B435CF9D0418843098ECE4DAE45" ma:contentTypeVersion="159" ma:contentTypeDescription="All project related information. The library can be used to manage multiple projects." ma:contentTypeScope="" ma:versionID="861209c218f1ee1f5353bde9f478453a">
  <xsd:schema xmlns:xsd="http://www.w3.org/2001/XMLSchema" xmlns:xs="http://www.w3.org/2001/XMLSchema" xmlns:p="http://schemas.microsoft.com/office/2006/metadata/properties" xmlns:ns2="9fd47c19-1c4a-4d7d-b342-c10cef269344" xmlns:ns3="a5f32de4-e402-4188-b034-e71ca7d22e54" targetNamespace="http://schemas.microsoft.com/office/2006/metadata/properties" ma:root="true" ma:fieldsID="d98cf43ba584f00f2b315c093d7b71c0" ns2:_="" ns3:_="">
    <xsd:import namespace="9fd47c19-1c4a-4d7d-b342-c10cef269344"/>
    <xsd:import namespace="a5f32de4-e402-4188-b034-e71ca7d22e54"/>
    <xsd:element name="properties">
      <xsd:complexType>
        <xsd:sequence>
          <xsd:element name="documentManagement">
            <xsd:complexType>
              <xsd:all>
                <xsd:element ref="ns3:_dlc_DocId" minOccurs="0"/>
                <xsd:element ref="ns3:_dlc_DocIdUrl" minOccurs="0"/>
                <xsd:element ref="ns3:_dlc_DocIdPersistId" minOccurs="0"/>
                <xsd:element ref="ns2:pd01c257034b4e86b1f58279a3bd54c6" minOccurs="0"/>
                <xsd:element ref="ns2:TaxCatchAll" minOccurs="0"/>
                <xsd:element ref="ns2:TaxCatchAllLabel" minOccurs="0"/>
                <xsd:element ref="ns2:fb3179c379644f499d7166d0c985669b" minOccurs="0"/>
                <xsd:element ref="ns2:b9b43b809ea4445880dbf70bb9849525" minOccurs="0"/>
                <xsd:element ref="ns2:Project_Phase" minOccurs="0"/>
                <xsd:element ref="ns2:f2ccc2d036544b63b99cbcec8aa9ae6a" minOccurs="0"/>
                <xsd:element ref="ns2:g91c59fb10974fa1a03160ad8386f0f4" minOccurs="0"/>
                <xsd:element ref="ns2:ProjNa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pd01c257034b4e86b1f58279a3bd54c6" ma:index="11" nillable="true" ma:taxonomy="true" ma:internalName="pd01c257034b4e86b1f58279a3bd54c6" ma:taxonomyFieldName="Security_x0020_Classification" ma:displayName="Security Classification" ma:readOnly="false" ma:default="2;#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67ae33c2-3e85-4fd6-8d79-5ec87fbfd400}" ma:internalName="TaxCatchAll" ma:showField="CatchAllData" ma:web="bd11e820-61e0-4ad6-9882-a4e79b3e62a8">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67ae33c2-3e85-4fd6-8d79-5ec87fbfd400}" ma:internalName="TaxCatchAllLabel" ma:readOnly="true" ma:showField="CatchAllDataLabel" ma:web="bd11e820-61e0-4ad6-9882-a4e79b3e62a8">
      <xsd:complexType>
        <xsd:complexContent>
          <xsd:extension base="dms:MultiChoiceLookup">
            <xsd:sequence>
              <xsd:element name="Value" type="dms:Lookup" maxOccurs="unbounded" minOccurs="0" nillable="true"/>
            </xsd:sequence>
          </xsd:extension>
        </xsd:complexContent>
      </xsd:complexType>
    </xsd:element>
    <xsd:element name="fb3179c379644f499d7166d0c985669b" ma:index="15" nillable="true" ma:taxonomy="true" ma:internalName="fb3179c379644f499d7166d0c985669b" ma:taxonomyFieldName="Dissemination_x0020_Limiting_x0020_Marker" ma:displayName="Dissemination Limiting Marker" ma:readOnly="false" ma:default="3;#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b9b43b809ea4445880dbf70bb9849525" ma:index="17" nillable="true" ma:taxonomy="true" ma:internalName="b9b43b809ea4445880dbf70bb9849525" ma:taxonomyFieldName="Department_x0020_Document_x0020_Type" ma:displayName="Department Document Type" ma:default="" ma:fieldId="{b9b43b80-9ea4-4458-80db-f70bb9849525}" ma:sspId="797aeec6-0273-40f2-ab3e-beee73212332" ma:termSetId="356315ab-6133-43a1-a2d6-d78a601e579c" ma:anchorId="00000000-0000-0000-0000-000000000000" ma:open="false" ma:isKeyword="false">
      <xsd:complexType>
        <xsd:sequence>
          <xsd:element ref="pc:Terms" minOccurs="0" maxOccurs="1"/>
        </xsd:sequence>
      </xsd:complexType>
    </xsd:element>
    <xsd:element name="Project_Phase" ma:index="19" nillable="true" ma:displayName="Project_Phase" ma:format="Dropdown" ma:internalName="Project_Phase">
      <xsd:simpleType>
        <xsd:restriction base="dms:Choice">
          <xsd:enumeration value="Initiate"/>
          <xsd:enumeration value="Plan"/>
          <xsd:enumeration value="Build"/>
          <xsd:enumeration value="Test"/>
          <xsd:enumeration value="Implement"/>
          <xsd:enumeration value="Run"/>
        </xsd:restriction>
      </xsd:simpleType>
    </xsd:element>
    <xsd:element name="f2ccc2d036544b63b99cbcec8aa9ae6a" ma:index="20" ma:taxonomy="true" ma:internalName="f2ccc2d036544b63b99cbcec8aa9ae6a" ma:taxonomyFieldName="Records_x0020_Class_x0020_Project" ma:displayName="Classification" ma:readOnly="false" ma:default="" ma:fieldId="{f2ccc2d0-3654-4b63-b99c-bcec8aa9ae6a}" ma:sspId="797aeec6-0273-40f2-ab3e-beee73212332" ma:termSetId="4258747f-0974-48f0-ac10-46f208a52cd4" ma:anchorId="6988e523-b3ea-42d5-8ccf-de7bd6c5ed85" ma:open="false" ma:isKeyword="false">
      <xsd:complexType>
        <xsd:sequence>
          <xsd:element ref="pc:Terms" minOccurs="0" maxOccurs="1"/>
        </xsd:sequence>
      </xsd:complexType>
    </xsd:element>
    <xsd:element name="g91c59fb10974fa1a03160ad8386f0f4" ma:index="21" nillable="true" ma:taxonomy="true" ma:internalName="g91c59fb10974fa1a03160ad8386f0f4" ma:taxonomyFieldName="Record_x0020_Purpose" ma:displayName="Record Purpose" ma:readOnly="false" ma:default="" ma:fieldId="{091c59fb-1097-4fa1-a031-60ad8386f0f4}" ma:sspId="797aeec6-0273-40f2-ab3e-beee73212332" ma:termSetId="bcf5a239-fe11-49e0-8a78-d51fb720f0dd" ma:anchorId="00000000-0000-0000-0000-000000000000" ma:open="false" ma:isKeyword="false">
      <xsd:complexType>
        <xsd:sequence>
          <xsd:element ref="pc:Terms" minOccurs="0" maxOccurs="1"/>
        </xsd:sequence>
      </xsd:complexType>
    </xsd:element>
    <xsd:element name="ProjName" ma:index="24" nillable="true" ma:displayName="Project Name" ma:description="ECM V2 Project Name" ma:format="Dropdown" ma:indexed="true" ma:internalName="ProjName">
      <xsd:simpleType>
        <xsd:union memberTypes="dms:Text">
          <xsd:simpleType>
            <xsd:restriction base="dms:Choice">
              <xsd:enumeration value="Add Project Name"/>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797aeec6-0273-40f2-ab3e-beee73212332" ContentTypeId="0x0101009298E819CE1EBB4F8D2096B3E0F0C291" PreviousValue="false"/>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3</Value>
      <Value>2</Value>
      <Value>129</Value>
    </TaxCatchAll>
    <ProjName xmlns="9fd47c19-1c4a-4d7d-b342-c10cef269344" xsi:nil="true"/>
    <b9b43b809ea4445880dbf70bb9849525 xmlns="9fd47c19-1c4a-4d7d-b342-c10cef269344">
      <Terms xmlns="http://schemas.microsoft.com/office/infopath/2007/PartnerControls"/>
    </b9b43b809ea4445880dbf70bb9849525>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g91c59fb10974fa1a03160ad8386f0f4 xmlns="9fd47c19-1c4a-4d7d-b342-c10cef269344">
      <Terms xmlns="http://schemas.microsoft.com/office/infopath/2007/PartnerControls"/>
    </g91c59fb10974fa1a03160ad8386f0f4>
    <Project_Phase xmlns="9fd47c19-1c4a-4d7d-b342-c10cef269344" xsi:nil="true"/>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f2ccc2d036544b63b99cbcec8aa9ae6a xmlns="9fd47c19-1c4a-4d7d-b342-c10cef269344">
      <Terms xmlns="http://schemas.microsoft.com/office/infopath/2007/PartnerControls">
        <TermInfo xmlns="http://schemas.microsoft.com/office/infopath/2007/PartnerControls">
          <TermName xmlns="http://schemas.microsoft.com/office/infopath/2007/PartnerControls">Reference Materials</TermName>
          <TermId xmlns="http://schemas.microsoft.com/office/infopath/2007/PartnerControls">f95fc07f-4085-41de-ae1e-da9e571af2f5</TermId>
        </TermInfo>
      </Terms>
    </f2ccc2d036544b63b99cbcec8aa9ae6a>
    <_dlc_DocId xmlns="a5f32de4-e402-4188-b034-e71ca7d22e54">DOCID657-1005555988-432</_dlc_DocId>
    <_dlc_DocIdUrl xmlns="a5f32de4-e402-4188-b034-e71ca7d22e54">
      <Url>https://delwpvicgovau.sharepoint.com/sites/ecm_657/_layouts/15/DocIdRedir.aspx?ID=DOCID657-1005555988-432</Url>
      <Description>DOCID657-1005555988-432</Description>
    </_dlc_DocIdUrl>
  </documentManagement>
</p:properties>
</file>

<file path=customXml/itemProps1.xml><?xml version="1.0" encoding="utf-8"?>
<ds:datastoreItem xmlns:ds="http://schemas.openxmlformats.org/officeDocument/2006/customXml" ds:itemID="{AA314458-6C92-8743-9C55-D817C2FDF7D6}">
  <ds:schemaRefs>
    <ds:schemaRef ds:uri="http://schemas.openxmlformats.org/officeDocument/2006/bibliography"/>
  </ds:schemaRefs>
</ds:datastoreItem>
</file>

<file path=customXml/itemProps2.xml><?xml version="1.0" encoding="utf-8"?>
<ds:datastoreItem xmlns:ds="http://schemas.openxmlformats.org/officeDocument/2006/customXml" ds:itemID="{DC016F65-5B23-4191-94A0-EA13B9DAD2EE}"/>
</file>

<file path=customXml/itemProps3.xml><?xml version="1.0" encoding="utf-8"?>
<ds:datastoreItem xmlns:ds="http://schemas.openxmlformats.org/officeDocument/2006/customXml" ds:itemID="{E3D75009-503C-4656-A1CD-06C93E0ACE89}"/>
</file>

<file path=customXml/itemProps4.xml><?xml version="1.0" encoding="utf-8"?>
<ds:datastoreItem xmlns:ds="http://schemas.openxmlformats.org/officeDocument/2006/customXml" ds:itemID="{F64CAE94-135D-4061-BB74-BA12B473BFA4}"/>
</file>

<file path=customXml/itemProps5.xml><?xml version="1.0" encoding="utf-8"?>
<ds:datastoreItem xmlns:ds="http://schemas.openxmlformats.org/officeDocument/2006/customXml" ds:itemID="{7FDDD53D-3D9B-49EC-8C01-BC847B169F64}"/>
</file>

<file path=customXml/itemProps6.xml><?xml version="1.0" encoding="utf-8"?>
<ds:datastoreItem xmlns:ds="http://schemas.openxmlformats.org/officeDocument/2006/customXml" ds:itemID="{3C315148-B7A1-4845-B61E-2A9E5D262F00}"/>
</file>

<file path=docProps/app.xml><?xml version="1.0" encoding="utf-8"?>
<Properties xmlns="http://schemas.openxmlformats.org/officeDocument/2006/extended-properties" xmlns:vt="http://schemas.openxmlformats.org/officeDocument/2006/docPropsVTypes">
  <Template>Document_accessible_APR2026.dotx</Template>
  <TotalTime>154</TotalTime>
  <Pages>54</Pages>
  <Words>8447</Words>
  <Characters>51359</Characters>
  <Application>Microsoft Office Word</Application>
  <DocSecurity>0</DocSecurity>
  <Lines>1092</Lines>
  <Paragraphs>720</Paragraphs>
  <ScaleCrop>false</ScaleCrop>
  <HeadingPairs>
    <vt:vector size="2" baseType="variant">
      <vt:variant>
        <vt:lpstr>Title</vt:lpstr>
      </vt:variant>
      <vt:variant>
        <vt:i4>1</vt:i4>
      </vt:variant>
    </vt:vector>
  </HeadingPairs>
  <TitlesOfParts>
    <vt:vector size="1" baseType="lpstr">
      <vt:lpstr>Renewable Energy Investment Prospectus: Utility-Scale Electricity Generation and Storage</vt:lpstr>
    </vt:vector>
  </TitlesOfParts>
  <Manager>N/A</Manager>
  <Company>Department of Energy, Environment and Climate Action </Company>
  <LinksUpToDate>false</LinksUpToDate>
  <CharactersWithSpaces>59086</CharactersWithSpaces>
  <SharedDoc>false</SharedDoc>
  <HyperlinkBase>www.deeca.vic.gov.au</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Renewable Energy Investment Prospectus: Utility-Scale Electricity Generation and Storage</dc:title>
  <dc:subject>Renewable Energy Investment Prospectus: Utility-Scale Electricity Generation and Storage</dc:subject>
  <dc:creator>Department of Energy, Environment and Climate Action </dc:creator>
  <cp:keywords>renewable energy; investment prospectus; Victoria; distributed energy resources; electric vehicles; rooftop solar; battery storage; smart meters; virtual power plants; flexible demand</cp:keywords>
  <dc:description>© The State of Victoria Department of Energy, Environment and Climate Action September 2026</dc:description>
  <cp:lastModifiedBy>John Allen</cp:lastModifiedBy>
  <cp:revision>21</cp:revision>
  <dcterms:created xsi:type="dcterms:W3CDTF">2026-10-20T01:54:00Z</dcterms:created>
  <dcterms:modified xsi:type="dcterms:W3CDTF">2026-10-22T05:22:00Z</dcterms:modified>
  <cp:category>Prospectus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257e2ab-f512-40e2-9c9a-c64247360765_Enabled">
    <vt:lpwstr>true</vt:lpwstr>
  </property>
  <property fmtid="{D5CDD505-2E9C-101B-9397-08002B2CF9AE}" pid="3" name="MSIP_Label_4257e2ab-f512-40e2-9c9a-c64247360765_SetDate">
    <vt:lpwstr>2022-09-20T23:29:16Z</vt:lpwstr>
  </property>
  <property fmtid="{D5CDD505-2E9C-101B-9397-08002B2CF9AE}" pid="4" name="MSIP_Label_4257e2ab-f512-40e2-9c9a-c64247360765_Method">
    <vt:lpwstr>Privileged</vt:lpwstr>
  </property>
  <property fmtid="{D5CDD505-2E9C-101B-9397-08002B2CF9AE}" pid="5" name="MSIP_Label_4257e2ab-f512-40e2-9c9a-c64247360765_Name">
    <vt:lpwstr>OFFICIAL</vt:lpwstr>
  </property>
  <property fmtid="{D5CDD505-2E9C-101B-9397-08002B2CF9AE}" pid="6" name="MSIP_Label_4257e2ab-f512-40e2-9c9a-c64247360765_SiteId">
    <vt:lpwstr>e8bdd6f7-fc18-4e48-a554-7f547927223b</vt:lpwstr>
  </property>
  <property fmtid="{D5CDD505-2E9C-101B-9397-08002B2CF9AE}" pid="7" name="MSIP_Label_4257e2ab-f512-40e2-9c9a-c64247360765_ActionId">
    <vt:lpwstr>e5bb7520-2aea-48aa-81c7-1c8f860860fb</vt:lpwstr>
  </property>
  <property fmtid="{D5CDD505-2E9C-101B-9397-08002B2CF9AE}" pid="8" name="MSIP_Label_4257e2ab-f512-40e2-9c9a-c64247360765_ContentBits">
    <vt:lpwstr>2</vt:lpwstr>
  </property>
  <property fmtid="{D5CDD505-2E9C-101B-9397-08002B2CF9AE}" pid="9" name="ContentTypeId">
    <vt:lpwstr>0x0101009298E819CE1EBB4F8D2096B3E0F0C2911D0089CB9B435CF9D0418843098ECE4DAE45</vt:lpwstr>
  </property>
  <property fmtid="{D5CDD505-2E9C-101B-9397-08002B2CF9AE}" pid="10" name="MediaServiceImageTags">
    <vt:lpwstr/>
  </property>
  <property fmtid="{D5CDD505-2E9C-101B-9397-08002B2CF9AE}" pid="11" name="Records Class Project">
    <vt:lpwstr>129;#Reference Materials|f95fc07f-4085-41de-ae1e-da9e571af2f5</vt:lpwstr>
  </property>
  <property fmtid="{D5CDD505-2E9C-101B-9397-08002B2CF9AE}" pid="12" name="Records_x0020_Class_x0020_Project">
    <vt:lpwstr>129;#Reference Materials|f95fc07f-4085-41de-ae1e-da9e571af2f5</vt:lpwstr>
  </property>
  <property fmtid="{D5CDD505-2E9C-101B-9397-08002B2CF9AE}" pid="13" name="Department Document Type">
    <vt:lpwstr/>
  </property>
  <property fmtid="{D5CDD505-2E9C-101B-9397-08002B2CF9AE}" pid="14" name="Dissemination Limiting Marker">
    <vt:lpwstr>3;#FOUO|955eb6fc-b35a-4808-8aa5-31e514fa3f26</vt:lpwstr>
  </property>
  <property fmtid="{D5CDD505-2E9C-101B-9397-08002B2CF9AE}" pid="15" name="Security Classification">
    <vt:lpwstr>2;#Unclassified|7fa379f4-4aba-4692-ab80-7d39d3a23cf4</vt:lpwstr>
  </property>
  <property fmtid="{D5CDD505-2E9C-101B-9397-08002B2CF9AE}" pid="16" name="Record Purpose">
    <vt:lpwstr/>
  </property>
  <property fmtid="{D5CDD505-2E9C-101B-9397-08002B2CF9AE}" pid="17" name="Security_x0020_Classification">
    <vt:lpwstr>2;#Unclassified|7fa379f4-4aba-4692-ab80-7d39d3a23cf4</vt:lpwstr>
  </property>
  <property fmtid="{D5CDD505-2E9C-101B-9397-08002B2CF9AE}" pid="18" name="Record_x0020_Purpose">
    <vt:lpwstr/>
  </property>
  <property fmtid="{D5CDD505-2E9C-101B-9397-08002B2CF9AE}" pid="19" name="Department_x0020_Document_x0020_Type">
    <vt:lpwstr/>
  </property>
  <property fmtid="{D5CDD505-2E9C-101B-9397-08002B2CF9AE}" pid="20" name="lcf76f155ced4ddcb4097134ff3c332f">
    <vt:lpwstr/>
  </property>
  <property fmtid="{D5CDD505-2E9C-101B-9397-08002B2CF9AE}" pid="21" name="Dissemination_x0020_Limiting_x0020_Marker">
    <vt:lpwstr>3;#FOUO|955eb6fc-b35a-4808-8aa5-31e514fa3f26</vt:lpwstr>
  </property>
  <property fmtid="{D5CDD505-2E9C-101B-9397-08002B2CF9AE}" pid="22" name="_dlc_DocIdItemGuid">
    <vt:lpwstr>89476c46-0366-4353-a223-0047cae9cea9</vt:lpwstr>
  </property>
</Properties>
</file>