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22E5" w14:textId="42BB579B" w:rsidR="007C6184" w:rsidRPr="00EC7EDE" w:rsidRDefault="007C6184" w:rsidP="006016F1">
      <w:pPr>
        <w:pStyle w:val="Heading1"/>
        <w:rPr>
          <w:sz w:val="56"/>
          <w:szCs w:val="56"/>
        </w:rPr>
      </w:pPr>
      <w:r w:rsidRPr="00EC7EDE">
        <w:rPr>
          <w:sz w:val="56"/>
          <w:szCs w:val="56"/>
        </w:rPr>
        <w:t xml:space="preserve">Summary report: </w:t>
      </w:r>
      <w:r w:rsidRPr="00EC7EDE">
        <w:rPr>
          <w:sz w:val="56"/>
          <w:szCs w:val="56"/>
        </w:rPr>
        <w:br/>
        <w:t>Assessment of the Victorian Energy Upgrades program</w:t>
      </w:r>
    </w:p>
    <w:p w14:paraId="367F5E36" w14:textId="72AC1C2F" w:rsidR="007C6184" w:rsidRDefault="007C6184" w:rsidP="006016F1">
      <w:pPr>
        <w:pStyle w:val="Heading2"/>
      </w:pPr>
      <w:r w:rsidRPr="007C6184">
        <w:t xml:space="preserve">2021 – 2024 </w:t>
      </w:r>
    </w:p>
    <w:p w14:paraId="1D53B99E" w14:textId="77777777" w:rsidR="007C6184" w:rsidRDefault="007C6184" w:rsidP="007C6184">
      <w:pPr>
        <w:rPr>
          <w:lang w:val="en-GB"/>
        </w:rPr>
      </w:pPr>
    </w:p>
    <w:p w14:paraId="7D181E8D" w14:textId="11992DC0" w:rsidR="007C6184" w:rsidRPr="007C6184" w:rsidRDefault="007C6184" w:rsidP="007C6184">
      <w:pPr>
        <w:pStyle w:val="BodyText"/>
        <w:rPr>
          <w:lang w:val="en-US"/>
        </w:rPr>
      </w:pPr>
      <w:r w:rsidRPr="007C6184">
        <w:rPr>
          <w:lang w:val="en-US"/>
        </w:rPr>
        <w:t>The Department of Energy, Environment and Climate Action (DEECA) undertook an assessment of the Victorian Energy Upgrades (VEU) program for 2021 to 2024, to inform the preparation of VEU program targets for 2026 and 2027.</w:t>
      </w:r>
    </w:p>
    <w:p w14:paraId="62E82572" w14:textId="7C36F926" w:rsidR="00B165A7" w:rsidRPr="00801C84" w:rsidRDefault="00B165A7" w:rsidP="007C6184">
      <w:pPr>
        <w:pStyle w:val="TOC2"/>
        <w:ind w:left="0" w:firstLine="0"/>
        <w:rPr>
          <w:rFonts w:cstheme="minorBidi"/>
          <w:kern w:val="2"/>
          <w:lang w:eastAsia="en-GB"/>
          <w14:ligatures w14:val="standardContextual"/>
        </w:rPr>
        <w:sectPr w:rsidR="00B165A7" w:rsidRPr="00801C84" w:rsidSect="00EB277B">
          <w:footerReference w:type="even" r:id="rId8"/>
          <w:footerReference w:type="default" r:id="rId9"/>
          <w:pgSz w:w="11906" w:h="16838"/>
          <w:pgMar w:top="1134" w:right="1134" w:bottom="1134" w:left="1134" w:header="720" w:footer="454" w:gutter="0"/>
          <w:cols w:space="720"/>
          <w:noEndnote/>
          <w:docGrid w:linePitch="326"/>
        </w:sectPr>
      </w:pPr>
    </w:p>
    <w:p w14:paraId="29BD22CF" w14:textId="6EC36EA6" w:rsidR="007C6184" w:rsidRDefault="007C6184" w:rsidP="007C6184">
      <w:pPr>
        <w:pStyle w:val="BodyText"/>
        <w:rPr>
          <w:rFonts w:asciiTheme="majorHAnsi" w:eastAsiaTheme="majorEastAsia" w:hAnsiTheme="majorHAnsi" w:cs="Times New Roman (Headings CS)"/>
          <w:b/>
          <w:bCs/>
          <w:sz w:val="40"/>
          <w:szCs w:val="36"/>
          <w:lang w:val="en-US"/>
        </w:rPr>
      </w:pPr>
      <w:r w:rsidRPr="007C6184">
        <w:rPr>
          <w:rFonts w:asciiTheme="majorHAnsi" w:eastAsiaTheme="majorEastAsia" w:hAnsiTheme="majorHAnsi" w:cs="Times New Roman (Headings CS)"/>
          <w:b/>
          <w:bCs/>
          <w:sz w:val="40"/>
          <w:szCs w:val="36"/>
          <w:lang w:val="en-US"/>
        </w:rPr>
        <w:lastRenderedPageBreak/>
        <w:t>Overview of the VEU program</w:t>
      </w:r>
    </w:p>
    <w:p w14:paraId="387F759E" w14:textId="77777777" w:rsidR="007C6184" w:rsidRPr="007C6184" w:rsidRDefault="007C6184" w:rsidP="007C6184">
      <w:pPr>
        <w:pStyle w:val="BodyText"/>
        <w:rPr>
          <w:lang w:val="en-US"/>
        </w:rPr>
      </w:pPr>
      <w:r w:rsidRPr="007C6184">
        <w:rPr>
          <w:lang w:val="en-US"/>
        </w:rPr>
        <w:t xml:space="preserve">The VEU program is a market-based scheme which provides financial assistance to households and businesses undertaking energy efficiency upgrades. Some of the most popular VEU upgrades to date include lighting, water heating, space heating and cooling, weather sealing, in-home displays and low flow shower roses. </w:t>
      </w:r>
    </w:p>
    <w:p w14:paraId="0CCFED57" w14:textId="77777777" w:rsidR="007C6184" w:rsidRDefault="007C6184" w:rsidP="007C6184">
      <w:pPr>
        <w:pStyle w:val="BodyText"/>
        <w:rPr>
          <w:lang w:val="en-US"/>
        </w:rPr>
      </w:pPr>
      <w:r w:rsidRPr="007C6184">
        <w:rPr>
          <w:lang w:val="en-US"/>
        </w:rPr>
        <w:t xml:space="preserve">The VEU program is transitioning from delivering low-cost, high-volume upgrades to focus on larger, more impactful and complex electrification upgrades at scale, to play a key role in accelerating Victoria’s energy transition. </w:t>
      </w:r>
    </w:p>
    <w:p w14:paraId="1C01A2EB" w14:textId="77777777" w:rsidR="007C6184" w:rsidRPr="007C6184" w:rsidRDefault="007C6184" w:rsidP="007C6184">
      <w:pPr>
        <w:pStyle w:val="BodyText"/>
        <w:rPr>
          <w:lang w:val="en-US"/>
        </w:rPr>
      </w:pPr>
      <w:r w:rsidRPr="007C6184">
        <w:rPr>
          <w:lang w:val="en-US"/>
        </w:rPr>
        <w:t>Since the program’s inception in 2009, VEU has:</w:t>
      </w:r>
    </w:p>
    <w:p w14:paraId="479F7C1D" w14:textId="17A37065" w:rsidR="007C6184" w:rsidRPr="007C6184" w:rsidRDefault="007C6184" w:rsidP="007C6184">
      <w:pPr>
        <w:pStyle w:val="BodyText"/>
        <w:numPr>
          <w:ilvl w:val="0"/>
          <w:numId w:val="52"/>
        </w:numPr>
        <w:rPr>
          <w:lang w:val="en-US"/>
        </w:rPr>
      </w:pPr>
      <w:r w:rsidRPr="007C6184">
        <w:rPr>
          <w:lang w:val="en-US"/>
        </w:rPr>
        <w:t>Supported almost 2.4 million households and more than 180,000 businesses to participate in the program</w:t>
      </w:r>
      <w:r w:rsidR="00EC7EDE">
        <w:rPr>
          <w:lang w:val="en-US"/>
        </w:rPr>
        <w:t>.</w:t>
      </w:r>
    </w:p>
    <w:p w14:paraId="3B9BC3C9" w14:textId="053F8287" w:rsidR="007C6184" w:rsidRPr="007C6184" w:rsidRDefault="007C6184" w:rsidP="007C6184">
      <w:pPr>
        <w:pStyle w:val="BodyText"/>
        <w:numPr>
          <w:ilvl w:val="0"/>
          <w:numId w:val="52"/>
        </w:numPr>
        <w:rPr>
          <w:lang w:val="en-US"/>
        </w:rPr>
      </w:pPr>
      <w:proofErr w:type="gramStart"/>
      <w:r w:rsidRPr="007C6184">
        <w:rPr>
          <w:lang w:val="en-US"/>
        </w:rPr>
        <w:t>Abated more than 90 million tonnes of greenhouse gas emissions</w:t>
      </w:r>
      <w:proofErr w:type="gramEnd"/>
      <w:r w:rsidRPr="007C6184">
        <w:rPr>
          <w:lang w:val="en-US"/>
        </w:rPr>
        <w:t xml:space="preserve">, which is equivalent to taking all the cars in Victoria off the road for five years. </w:t>
      </w:r>
    </w:p>
    <w:p w14:paraId="5E27DA37" w14:textId="77777777" w:rsidR="00B36B1F" w:rsidRDefault="00B36B1F">
      <w:pPr>
        <w:suppressAutoHyphens w:val="0"/>
        <w:spacing w:after="160"/>
        <w:rPr>
          <w:rFonts w:asciiTheme="majorHAnsi" w:eastAsiaTheme="majorEastAsia" w:hAnsiTheme="majorHAnsi" w:cs="Times New Roman (Headings CS)"/>
          <w:b/>
          <w:bCs/>
          <w:sz w:val="40"/>
          <w:szCs w:val="36"/>
          <w:lang w:val="en-GB"/>
        </w:rPr>
      </w:pPr>
      <w:r>
        <w:br w:type="page"/>
      </w:r>
    </w:p>
    <w:p w14:paraId="2A3B281E" w14:textId="34954940" w:rsidR="007C6184" w:rsidRDefault="007C6184" w:rsidP="006016F1">
      <w:pPr>
        <w:pStyle w:val="Heading1"/>
      </w:pPr>
      <w:r w:rsidRPr="007C6184">
        <w:lastRenderedPageBreak/>
        <w:t>How were the benefits and costs of the VEU program distributed?</w:t>
      </w:r>
    </w:p>
    <w:p w14:paraId="5C7B14FF" w14:textId="70D884DE" w:rsidR="007C6184" w:rsidRDefault="007C6184" w:rsidP="007C6184">
      <w:pPr>
        <w:pStyle w:val="BodyText"/>
        <w:rPr>
          <w:lang w:val="en-US"/>
        </w:rPr>
      </w:pPr>
      <w:r w:rsidRPr="007C6184">
        <w:rPr>
          <w:lang w:val="en-US"/>
        </w:rPr>
        <w:t>Overall, the VEU program has achieved a balanced distribution of program benefits</w:t>
      </w:r>
      <w:r>
        <w:rPr>
          <w:lang w:val="en-US"/>
        </w:rPr>
        <w:t xml:space="preserve"> </w:t>
      </w:r>
      <w:r w:rsidRPr="007C6184">
        <w:rPr>
          <w:lang w:val="en-US"/>
        </w:rPr>
        <w:t>across different consumer groups, with opportunities to monitor and improve the</w:t>
      </w:r>
      <w:r>
        <w:rPr>
          <w:lang w:val="en-US"/>
        </w:rPr>
        <w:t xml:space="preserve"> </w:t>
      </w:r>
      <w:r w:rsidRPr="007C6184">
        <w:rPr>
          <w:lang w:val="en-US"/>
        </w:rPr>
        <w:t xml:space="preserve">distribution of program costs for each target setting period. </w:t>
      </w:r>
    </w:p>
    <w:p w14:paraId="71C994B5" w14:textId="77777777" w:rsidR="007C6184" w:rsidRPr="007C6184" w:rsidRDefault="007C6184" w:rsidP="006016F1">
      <w:pPr>
        <w:pStyle w:val="Heading2"/>
      </w:pPr>
      <w:r w:rsidRPr="007C6184">
        <w:t>Benefits</w:t>
      </w:r>
    </w:p>
    <w:p w14:paraId="2CF90ABC" w14:textId="77777777" w:rsidR="007C6184" w:rsidRPr="007C6184" w:rsidRDefault="007C6184" w:rsidP="007C6184">
      <w:pPr>
        <w:pStyle w:val="BodyText"/>
      </w:pPr>
      <w:r w:rsidRPr="007C6184">
        <w:t>In the 2021 to 2024 period, the VEU program’s emissions savings have been achieved with:</w:t>
      </w:r>
    </w:p>
    <w:p w14:paraId="5B110CF2" w14:textId="77777777" w:rsidR="007C6184" w:rsidRDefault="007C6184" w:rsidP="007C6184">
      <w:pPr>
        <w:pStyle w:val="BodyText"/>
        <w:numPr>
          <w:ilvl w:val="0"/>
          <w:numId w:val="52"/>
        </w:numPr>
        <w:spacing w:after="0"/>
        <w:ind w:left="357" w:hanging="357"/>
        <w:rPr>
          <w:lang w:val="en-US"/>
        </w:rPr>
      </w:pPr>
      <w:r w:rsidRPr="007C6184">
        <w:rPr>
          <w:lang w:val="en-US"/>
        </w:rPr>
        <w:t xml:space="preserve">Uptake in metropolitan and regional Victoria </w:t>
      </w:r>
      <w:proofErr w:type="gramStart"/>
      <w:r w:rsidRPr="007C6184">
        <w:rPr>
          <w:lang w:val="en-US"/>
        </w:rPr>
        <w:t>proportional</w:t>
      </w:r>
      <w:proofErr w:type="gramEnd"/>
      <w:r w:rsidRPr="007C6184">
        <w:rPr>
          <w:lang w:val="en-US"/>
        </w:rPr>
        <w:t xml:space="preserve"> to the population living in these areas.</w:t>
      </w:r>
    </w:p>
    <w:p w14:paraId="1C153FD3" w14:textId="77777777" w:rsidR="007C6184" w:rsidRDefault="007C6184" w:rsidP="007C6184">
      <w:pPr>
        <w:pStyle w:val="ListBullet2"/>
      </w:pPr>
      <w:r w:rsidRPr="007C6184">
        <w:t>70%</w:t>
      </w:r>
      <w:r w:rsidRPr="007C6184">
        <w:rPr>
          <w:b/>
          <w:bCs/>
        </w:rPr>
        <w:t xml:space="preserve"> </w:t>
      </w:r>
      <w:r w:rsidRPr="007C6184">
        <w:t>VEU upgrades undertaken in metro postcodes</w:t>
      </w:r>
    </w:p>
    <w:p w14:paraId="23E33441" w14:textId="7600E9C6" w:rsidR="007C6184" w:rsidRPr="007C6184" w:rsidRDefault="007C6184" w:rsidP="007C6184">
      <w:pPr>
        <w:pStyle w:val="ListBullet2"/>
      </w:pPr>
      <w:r w:rsidRPr="007C6184">
        <w:t>30%</w:t>
      </w:r>
      <w:r w:rsidRPr="007C6184">
        <w:rPr>
          <w:b/>
          <w:bCs/>
        </w:rPr>
        <w:t xml:space="preserve"> </w:t>
      </w:r>
      <w:r w:rsidRPr="007C6184">
        <w:t>VEU upgrades undertaken in regional postcodes</w:t>
      </w:r>
    </w:p>
    <w:p w14:paraId="47F711C0" w14:textId="77777777" w:rsidR="007C6184" w:rsidRDefault="007C6184" w:rsidP="007C6184">
      <w:pPr>
        <w:pStyle w:val="BodyText"/>
        <w:numPr>
          <w:ilvl w:val="0"/>
          <w:numId w:val="52"/>
        </w:numPr>
        <w:rPr>
          <w:lang w:val="en-US"/>
        </w:rPr>
      </w:pPr>
      <w:r w:rsidRPr="007C6184">
        <w:rPr>
          <w:lang w:val="en-US"/>
        </w:rPr>
        <w:t>Proportional distribution of benefits across socio-economic groups, with almost 1 in 5 VEECs</w:t>
      </w:r>
      <w:r>
        <w:rPr>
          <w:rStyle w:val="FootnoteReference"/>
          <w:lang w:val="en-US"/>
        </w:rPr>
        <w:footnoteReference w:id="1"/>
      </w:r>
      <w:r>
        <w:rPr>
          <w:lang w:val="en-US"/>
        </w:rPr>
        <w:t xml:space="preserve"> </w:t>
      </w:r>
      <w:r w:rsidRPr="007C6184">
        <w:rPr>
          <w:lang w:val="en-US"/>
        </w:rPr>
        <w:t xml:space="preserve">created from postcodes with the lowest socio-economic index. </w:t>
      </w:r>
    </w:p>
    <w:p w14:paraId="3F850198" w14:textId="3CB4A747" w:rsidR="007C6184" w:rsidRPr="007C6184" w:rsidRDefault="007C6184" w:rsidP="007C6184">
      <w:pPr>
        <w:pStyle w:val="BodyText"/>
        <w:numPr>
          <w:ilvl w:val="0"/>
          <w:numId w:val="52"/>
        </w:numPr>
        <w:rPr>
          <w:lang w:val="en-US"/>
        </w:rPr>
      </w:pPr>
      <w:r w:rsidRPr="007C6184">
        <w:rPr>
          <w:lang w:val="en-US"/>
        </w:rPr>
        <w:t>Balanced incentive distribution between residential and business sectors, with 46% of VEECs created on upgrades for households, and 54% on upgrades for businesses.</w:t>
      </w:r>
    </w:p>
    <w:p w14:paraId="367A70C8" w14:textId="12B1B4E8" w:rsidR="007C6184" w:rsidRPr="007C6184" w:rsidRDefault="007C6184" w:rsidP="007C6184">
      <w:pPr>
        <w:pStyle w:val="BodyText"/>
        <w:numPr>
          <w:ilvl w:val="0"/>
          <w:numId w:val="52"/>
        </w:numPr>
        <w:rPr>
          <w:b/>
          <w:bCs/>
          <w:lang w:val="en-US"/>
        </w:rPr>
      </w:pPr>
      <w:r w:rsidRPr="007C6184">
        <w:rPr>
          <w:lang w:val="en-US"/>
        </w:rPr>
        <w:t>30+ upgrades</w:t>
      </w:r>
      <w:r w:rsidRPr="007C6184">
        <w:rPr>
          <w:b/>
          <w:bCs/>
          <w:lang w:val="en-US"/>
        </w:rPr>
        <w:t xml:space="preserve"> </w:t>
      </w:r>
      <w:r w:rsidRPr="007C6184">
        <w:rPr>
          <w:lang w:val="en-US"/>
        </w:rPr>
        <w:t>available as of June 2025, including heating and cooling, hot water systems and induction cooktops.</w:t>
      </w:r>
    </w:p>
    <w:p w14:paraId="7E028DDD" w14:textId="07B00F33" w:rsidR="007C6184" w:rsidRDefault="007C6184" w:rsidP="007C6184">
      <w:pPr>
        <w:pStyle w:val="BodyText"/>
      </w:pPr>
      <w:r w:rsidRPr="007C6184">
        <w:lastRenderedPageBreak/>
        <w:t>There is an opportunity for improved data collection to monitor uptake from low-income and vulnerable households and renters, which will enable initiatives to be implemented to further encourage VEU uptake from those consumer cohorts.</w:t>
      </w:r>
    </w:p>
    <w:p w14:paraId="2142D634" w14:textId="31184AC3" w:rsidR="007C6184" w:rsidRPr="006016F1" w:rsidRDefault="007C6184" w:rsidP="006016F1">
      <w:pPr>
        <w:pStyle w:val="Heading2"/>
      </w:pPr>
      <w:r w:rsidRPr="006016F1">
        <w:t>Costs</w:t>
      </w:r>
    </w:p>
    <w:p w14:paraId="4C7EDE41" w14:textId="77777777" w:rsidR="00EC7EDE" w:rsidRDefault="00EC7EDE" w:rsidP="00EC7EDE">
      <w:pPr>
        <w:pStyle w:val="BodyText"/>
        <w:rPr>
          <w:lang w:val="en-US"/>
        </w:rPr>
      </w:pPr>
      <w:r w:rsidRPr="007C6184">
        <w:rPr>
          <w:lang w:val="en-US"/>
        </w:rPr>
        <w:t>On the cost side, VEEC costs are passed through to all energy consumers based on individuals’ energy consumption.</w:t>
      </w:r>
    </w:p>
    <w:p w14:paraId="61CAD70B" w14:textId="77777777" w:rsidR="007C6184" w:rsidRPr="007C6184" w:rsidRDefault="007C6184" w:rsidP="007C6184">
      <w:pPr>
        <w:pStyle w:val="BodyText"/>
      </w:pPr>
      <w:r w:rsidRPr="007C6184">
        <w:t xml:space="preserve">VEEC prices for the 2021-2024 period averaged $78 per certificate, higher than the modelled average price of $68. </w:t>
      </w:r>
    </w:p>
    <w:p w14:paraId="3DA8BD9A" w14:textId="4B770585" w:rsidR="007C6184" w:rsidRPr="007C6184" w:rsidRDefault="007C6184" w:rsidP="007C6184">
      <w:pPr>
        <w:pStyle w:val="BodyText"/>
      </w:pPr>
      <w:r w:rsidRPr="007C6184">
        <w:t>Some retailers paid a shortfall penalty for not meeting their certificate surrender obligations under the VEU program, most significantly for the 2023 target.</w:t>
      </w:r>
    </w:p>
    <w:p w14:paraId="0D7E9969" w14:textId="77777777" w:rsidR="007C6184" w:rsidRPr="007C6184" w:rsidRDefault="007C6184" w:rsidP="007C6184">
      <w:pPr>
        <w:pStyle w:val="BodyText"/>
      </w:pPr>
      <w:r w:rsidRPr="007C6184">
        <w:t>In 2023:</w:t>
      </w:r>
    </w:p>
    <w:p w14:paraId="6422CFDD" w14:textId="124A20EC" w:rsidR="007C6184" w:rsidRPr="007C6184" w:rsidRDefault="007C6184" w:rsidP="007C6184">
      <w:pPr>
        <w:pStyle w:val="ListBullet"/>
      </w:pPr>
      <w:r w:rsidRPr="007C6184">
        <w:t xml:space="preserve">28 energy retailers met their energy liability achieving 95 per cent of the total certificate surrenders required to meet the energy liability across all retailers. </w:t>
      </w:r>
    </w:p>
    <w:p w14:paraId="10F5B9B7" w14:textId="2E943371" w:rsidR="007C6184" w:rsidRDefault="007C6184" w:rsidP="00B36B1F">
      <w:pPr>
        <w:pStyle w:val="LastBulletinList"/>
      </w:pPr>
      <w:r w:rsidRPr="007C6184">
        <w:t>3 energy retailers did not meet their energy liabilities, with a certificate shortfall of 331,586 VEECs resulting in almost $30 million in penalties paid.</w:t>
      </w:r>
    </w:p>
    <w:p w14:paraId="2FC4D3BA" w14:textId="77777777" w:rsidR="007C6184" w:rsidRPr="007C6184" w:rsidRDefault="007C6184" w:rsidP="007C6184">
      <w:pPr>
        <w:pStyle w:val="BodyText"/>
      </w:pPr>
      <w:r w:rsidRPr="007C6184">
        <w:t xml:space="preserve">Despite higher VEEC prices, the VEU program has supported a net benefit for all Victorians over the 2021-24 period, due to energy efficiency upgrades under VEU reducing electricity demand and putting downward pressure on retail price. </w:t>
      </w:r>
    </w:p>
    <w:p w14:paraId="2CFB5027" w14:textId="47B2A533" w:rsidR="007C6184" w:rsidRPr="007C6184" w:rsidRDefault="007C6184" w:rsidP="007C6184">
      <w:pPr>
        <w:pStyle w:val="BodyText"/>
      </w:pPr>
      <w:r w:rsidRPr="007C6184">
        <w:t>Based on actual VEEC prices in 2021-24, between 2021 and 2030:</w:t>
      </w:r>
    </w:p>
    <w:p w14:paraId="403EA9E1" w14:textId="77777777" w:rsidR="007C6184" w:rsidRPr="007C6184" w:rsidRDefault="007C6184" w:rsidP="007C6184">
      <w:pPr>
        <w:pStyle w:val="ListBullet"/>
      </w:pPr>
      <w:r w:rsidRPr="007C6184">
        <w:t xml:space="preserve">Non-participating consumers save $8 per year on average, even if they do not participate in VEU. </w:t>
      </w:r>
    </w:p>
    <w:p w14:paraId="314329A7" w14:textId="43E856C1" w:rsidR="007C6184" w:rsidRDefault="007C6184" w:rsidP="00EC7EDE">
      <w:pPr>
        <w:pStyle w:val="LastBulletinList"/>
      </w:pPr>
      <w:r w:rsidRPr="007C6184">
        <w:lastRenderedPageBreak/>
        <w:t xml:space="preserve">On average, participating households save $110 per year on their energy bills </w:t>
      </w:r>
      <w:proofErr w:type="gramStart"/>
      <w:r w:rsidRPr="007C6184">
        <w:t>while  participating</w:t>
      </w:r>
      <w:proofErr w:type="gramEnd"/>
      <w:r w:rsidRPr="007C6184">
        <w:t xml:space="preserve"> businesses save $3,700 per year.</w:t>
      </w:r>
    </w:p>
    <w:p w14:paraId="0340E922" w14:textId="1C2CD5BE" w:rsidR="007C6184" w:rsidRDefault="007C6184" w:rsidP="007C6184">
      <w:pPr>
        <w:pStyle w:val="BodyText"/>
      </w:pPr>
      <w:r w:rsidRPr="007C6184">
        <w:t>With rapid uptake of electrification activities, especially space heating and cooling, participating households are saving more than projected. For instance, when replacing a ducted gas heater with an efficient reverse cycle air conditioner, households save $950-$1,100 per year on their energy bills.</w:t>
      </w:r>
    </w:p>
    <w:p w14:paraId="0C8428C3" w14:textId="53A78C16" w:rsidR="007C6184" w:rsidRDefault="007C6184" w:rsidP="006016F1">
      <w:pPr>
        <w:pStyle w:val="Heading1"/>
      </w:pPr>
      <w:r w:rsidRPr="007C6184">
        <w:t>How has the VEU program delivered against its legislated objectives and intended outcomes?</w:t>
      </w:r>
    </w:p>
    <w:p w14:paraId="4179BFC6" w14:textId="77777777" w:rsidR="007C6184" w:rsidRPr="007C6184" w:rsidRDefault="007C6184" w:rsidP="007C6184">
      <w:pPr>
        <w:pStyle w:val="BodyText"/>
        <w:rPr>
          <w:lang w:val="en-US"/>
        </w:rPr>
      </w:pPr>
      <w:r w:rsidRPr="007C6184">
        <w:rPr>
          <w:lang w:val="en-US"/>
        </w:rPr>
        <w:t xml:space="preserve">This assessment suggests that the VEU program achieved its legislated objectives and did so while supporting Victorian households and businesses to save money on their energy bills. </w:t>
      </w:r>
    </w:p>
    <w:p w14:paraId="76BEDAC1" w14:textId="77777777" w:rsidR="007C6184" w:rsidRPr="007C6184" w:rsidRDefault="007C6184" w:rsidP="007C6184">
      <w:pPr>
        <w:pStyle w:val="BodyText"/>
        <w:rPr>
          <w:lang w:val="en-US"/>
        </w:rPr>
      </w:pPr>
      <w:r w:rsidRPr="007C6184">
        <w:rPr>
          <w:lang w:val="en-US"/>
        </w:rPr>
        <w:t xml:space="preserve">In terms of reducing greenhouse gas emissions, supporting the energy transition and supporting the energy efficiency industry, between 2021 and 2024 the VEU program has: </w:t>
      </w:r>
    </w:p>
    <w:p w14:paraId="7B64F966" w14:textId="5BA0CDDE" w:rsidR="007C6184" w:rsidRPr="007C6184" w:rsidRDefault="007C6184" w:rsidP="007C6184">
      <w:pPr>
        <w:pStyle w:val="ListBullet"/>
      </w:pPr>
      <w:r w:rsidRPr="007C6184">
        <w:t>Supported more than 1.8 million households and 11</w:t>
      </w:r>
      <w:r w:rsidR="0082207F">
        <w:t>4</w:t>
      </w:r>
      <w:r w:rsidRPr="007C6184">
        <w:t xml:space="preserve">,000 businesses to participate in the program. </w:t>
      </w:r>
    </w:p>
    <w:p w14:paraId="6BC0B26A" w14:textId="7CC7CA29" w:rsidR="007C6184" w:rsidRPr="007C6184" w:rsidRDefault="007C6184" w:rsidP="007C6184">
      <w:pPr>
        <w:pStyle w:val="ListBullet"/>
      </w:pPr>
      <w:r w:rsidRPr="007C6184">
        <w:t>Abated more than 25 million tonnes of greenhouse gas emissions</w:t>
      </w:r>
      <w:r w:rsidR="00EC7EDE">
        <w:t>.</w:t>
      </w:r>
    </w:p>
    <w:p w14:paraId="532A4C9D" w14:textId="74A3A17D" w:rsidR="007C6184" w:rsidRPr="007C6184" w:rsidRDefault="007C6184" w:rsidP="007C6184">
      <w:pPr>
        <w:pStyle w:val="ListBullet"/>
      </w:pPr>
      <w:r w:rsidRPr="007C6184">
        <w:t>Provided almost $1.7 billion in incentives for households and businesses when undertaking VEU upgrades.</w:t>
      </w:r>
    </w:p>
    <w:p w14:paraId="18306C77" w14:textId="27B7ED46" w:rsidR="007C6184" w:rsidRPr="007C6184" w:rsidRDefault="007C6184" w:rsidP="007C6184">
      <w:pPr>
        <w:pStyle w:val="ListBullet"/>
      </w:pPr>
      <w:r w:rsidRPr="007C6184">
        <w:t>Supported more businesses to participate in the VEU and energy efficiency industry.</w:t>
      </w:r>
      <w:r>
        <w:t xml:space="preserve"> </w:t>
      </w:r>
      <w:r w:rsidRPr="007C6184">
        <w:rPr>
          <w:lang w:val="en-US"/>
        </w:rPr>
        <w:t xml:space="preserve">From 2021 to 2024, the number of active accredited providers in the VEU program </w:t>
      </w:r>
      <w:proofErr w:type="gramStart"/>
      <w:r w:rsidRPr="007C6184">
        <w:rPr>
          <w:lang w:val="en-US"/>
        </w:rPr>
        <w:t>has grown</w:t>
      </w:r>
      <w:proofErr w:type="gramEnd"/>
      <w:r w:rsidRPr="007C6184">
        <w:rPr>
          <w:lang w:val="en-US"/>
        </w:rPr>
        <w:t xml:space="preserve"> 60 percent.</w:t>
      </w:r>
    </w:p>
    <w:p w14:paraId="5BFF82D9" w14:textId="3FCE41D6" w:rsidR="007C6184" w:rsidRPr="007C6184" w:rsidRDefault="007C6184" w:rsidP="007C6184">
      <w:pPr>
        <w:pStyle w:val="ListBullet2"/>
      </w:pPr>
      <w:r w:rsidRPr="007C6184">
        <w:t>2021: 82 providers</w:t>
      </w:r>
    </w:p>
    <w:p w14:paraId="35903C3B" w14:textId="4515C621" w:rsidR="007C6184" w:rsidRDefault="007C6184" w:rsidP="007C6184">
      <w:pPr>
        <w:pStyle w:val="ListBullet2"/>
      </w:pPr>
      <w:r w:rsidRPr="007C6184">
        <w:lastRenderedPageBreak/>
        <w:t>2024: 131 providers</w:t>
      </w:r>
    </w:p>
    <w:p w14:paraId="2039115C" w14:textId="7322D677" w:rsidR="007C6184" w:rsidRPr="007C6184" w:rsidRDefault="007C6184" w:rsidP="006016F1">
      <w:pPr>
        <w:pStyle w:val="Heading1"/>
      </w:pPr>
      <w:r w:rsidRPr="007C6184">
        <w:t>How well is the program operating from consumer and industry perspectives?</w:t>
      </w:r>
    </w:p>
    <w:p w14:paraId="16EA42C7" w14:textId="68557AF9" w:rsidR="007C6184" w:rsidRPr="007C6184" w:rsidRDefault="007C6184" w:rsidP="007C6184">
      <w:pPr>
        <w:pStyle w:val="BodyText"/>
        <w:rPr>
          <w:lang w:val="en-US"/>
        </w:rPr>
      </w:pPr>
      <w:r w:rsidRPr="007C6184">
        <w:rPr>
          <w:lang w:val="en-US"/>
        </w:rPr>
        <w:t>Overall, the VEU program received generally positive feedback from Victorian energy consumers.</w:t>
      </w:r>
    </w:p>
    <w:p w14:paraId="77C8FCD2" w14:textId="325B84EA" w:rsidR="007C6184" w:rsidRPr="007C6184" w:rsidRDefault="007C6184" w:rsidP="007C6184">
      <w:pPr>
        <w:pStyle w:val="BodyText"/>
        <w:rPr>
          <w:lang w:val="en-US"/>
        </w:rPr>
      </w:pPr>
      <w:r w:rsidRPr="007C6184">
        <w:rPr>
          <w:lang w:val="en-US"/>
        </w:rPr>
        <w:t xml:space="preserve">Market research suggests that the VEU program has a positive reputation overall, with the VEU program commended among participants. Consumer perspectives on the VEU program speak </w:t>
      </w:r>
      <w:proofErr w:type="gramStart"/>
      <w:r w:rsidRPr="007C6184">
        <w:rPr>
          <w:lang w:val="en-US"/>
        </w:rPr>
        <w:t>to</w:t>
      </w:r>
      <w:proofErr w:type="gramEnd"/>
      <w:r w:rsidRPr="007C6184">
        <w:rPr>
          <w:lang w:val="en-US"/>
        </w:rPr>
        <w:t xml:space="preserve"> its success:</w:t>
      </w:r>
    </w:p>
    <w:p w14:paraId="07BA5E79" w14:textId="1135BDA8" w:rsidR="007C6184" w:rsidRPr="007C6184" w:rsidRDefault="007C6184" w:rsidP="007C6184">
      <w:pPr>
        <w:pStyle w:val="ListBullet"/>
      </w:pPr>
      <w:r w:rsidRPr="007C6184">
        <w:t xml:space="preserve">9 in 10 participants are satisfied with the program and the product </w:t>
      </w:r>
      <w:proofErr w:type="gramStart"/>
      <w:r w:rsidRPr="007C6184">
        <w:t>installed, and</w:t>
      </w:r>
      <w:proofErr w:type="gramEnd"/>
      <w:r w:rsidRPr="007C6184">
        <w:t xml:space="preserve"> are open to participating again in the future. </w:t>
      </w:r>
    </w:p>
    <w:p w14:paraId="13C6EE19" w14:textId="55B9A11C" w:rsidR="007C6184" w:rsidRPr="007C6184" w:rsidRDefault="007C6184" w:rsidP="007C6184">
      <w:pPr>
        <w:pStyle w:val="LastBulletinList"/>
      </w:pPr>
      <w:r w:rsidRPr="007C6184">
        <w:t>2 in 3 Victorians are likely to participate in the program in the next 5 years.</w:t>
      </w:r>
    </w:p>
    <w:p w14:paraId="5A8C497D" w14:textId="56C6F911" w:rsidR="007C6184" w:rsidRPr="007C6184" w:rsidRDefault="007C6184" w:rsidP="007C6184">
      <w:pPr>
        <w:pStyle w:val="BodyText"/>
        <w:rPr>
          <w:lang w:val="en-US"/>
        </w:rPr>
      </w:pPr>
      <w:r w:rsidRPr="007C6184">
        <w:rPr>
          <w:lang w:val="en-US"/>
        </w:rPr>
        <w:t xml:space="preserve">Additionally, the VEU program has a low average complaints rate of 0.27%, or one in every 400 installations. Complaints have been </w:t>
      </w:r>
      <w:proofErr w:type="gramStart"/>
      <w:r w:rsidRPr="007C6184">
        <w:rPr>
          <w:lang w:val="en-US"/>
        </w:rPr>
        <w:t>trending down</w:t>
      </w:r>
      <w:proofErr w:type="gramEnd"/>
      <w:r w:rsidRPr="007C6184">
        <w:rPr>
          <w:lang w:val="en-US"/>
        </w:rPr>
        <w:t xml:space="preserve"> since the introduction of the telemarketing and door</w:t>
      </w:r>
      <w:r w:rsidR="00EC7EDE">
        <w:rPr>
          <w:lang w:val="en-US"/>
        </w:rPr>
        <w:t xml:space="preserve"> </w:t>
      </w:r>
      <w:r w:rsidRPr="007C6184">
        <w:rPr>
          <w:lang w:val="en-US"/>
        </w:rPr>
        <w:t>knocking ban.</w:t>
      </w:r>
    </w:p>
    <w:p w14:paraId="52EC18AD" w14:textId="72EFCC69" w:rsidR="007C6184" w:rsidRPr="007C6184" w:rsidRDefault="007C6184" w:rsidP="007C6184">
      <w:pPr>
        <w:pStyle w:val="BodyText"/>
        <w:rPr>
          <w:lang w:val="en-US"/>
        </w:rPr>
      </w:pPr>
      <w:r w:rsidRPr="007C6184">
        <w:rPr>
          <w:lang w:val="en-US"/>
        </w:rPr>
        <w:t xml:space="preserve">1 in 2 Victorians are aware of the program, highlighting opportunities to improve brand awareness. </w:t>
      </w:r>
    </w:p>
    <w:p w14:paraId="467B7DA3" w14:textId="77777777" w:rsidR="007C6184" w:rsidRPr="007C6184" w:rsidRDefault="007C6184" w:rsidP="007C6184">
      <w:pPr>
        <w:pStyle w:val="BodyText"/>
        <w:rPr>
          <w:lang w:val="en-US"/>
        </w:rPr>
      </w:pPr>
      <w:r w:rsidRPr="007C6184">
        <w:rPr>
          <w:lang w:val="en-US"/>
        </w:rPr>
        <w:t xml:space="preserve">DEECA has limited formal data available </w:t>
      </w:r>
      <w:proofErr w:type="gramStart"/>
      <w:r w:rsidRPr="007C6184">
        <w:rPr>
          <w:lang w:val="en-US"/>
        </w:rPr>
        <w:t>on</w:t>
      </w:r>
      <w:proofErr w:type="gramEnd"/>
      <w:r w:rsidRPr="007C6184">
        <w:rPr>
          <w:lang w:val="en-US"/>
        </w:rPr>
        <w:t xml:space="preserve"> industry perspectives of the VEU program. Accredited provider participation in the program continues to increase, however there is scope for further engagement. </w:t>
      </w:r>
    </w:p>
    <w:p w14:paraId="0A8FB96C" w14:textId="4F22F7D4" w:rsidR="007C6184" w:rsidRDefault="007C6184" w:rsidP="007C6184">
      <w:pPr>
        <w:pStyle w:val="BodyText"/>
        <w:rPr>
          <w:lang w:val="en-US"/>
        </w:rPr>
      </w:pPr>
      <w:r w:rsidRPr="007C6184">
        <w:rPr>
          <w:lang w:val="en-US"/>
        </w:rPr>
        <w:t xml:space="preserve">The assessment recommends </w:t>
      </w:r>
      <w:proofErr w:type="gramStart"/>
      <w:r w:rsidRPr="007C6184">
        <w:rPr>
          <w:lang w:val="en-US"/>
        </w:rPr>
        <w:t>DEECA</w:t>
      </w:r>
      <w:proofErr w:type="gramEnd"/>
      <w:r w:rsidRPr="007C6184">
        <w:rPr>
          <w:lang w:val="en-US"/>
        </w:rPr>
        <w:t xml:space="preserve"> and the Essential Services Commission </w:t>
      </w:r>
      <w:proofErr w:type="gramStart"/>
      <w:r w:rsidRPr="007C6184">
        <w:rPr>
          <w:lang w:val="en-US"/>
        </w:rPr>
        <w:t>work</w:t>
      </w:r>
      <w:proofErr w:type="gramEnd"/>
      <w:r w:rsidRPr="007C6184">
        <w:rPr>
          <w:lang w:val="en-US"/>
        </w:rPr>
        <w:t xml:space="preserve"> collaboratively to determine data needs for future program monitoring, evaluation and </w:t>
      </w:r>
      <w:r w:rsidRPr="007C6184">
        <w:rPr>
          <w:lang w:val="en-US"/>
        </w:rPr>
        <w:lastRenderedPageBreak/>
        <w:t xml:space="preserve">improvement. Further data requirements may also be considered as part of the </w:t>
      </w:r>
      <w:hyperlink r:id="rId10" w:history="1">
        <w:r w:rsidRPr="007C6184">
          <w:rPr>
            <w:rStyle w:val="Hyperlink"/>
            <w:lang w:val="en-US"/>
          </w:rPr>
          <w:t>VEU Strategic Review</w:t>
        </w:r>
      </w:hyperlink>
      <w:r w:rsidRPr="007C6184">
        <w:rPr>
          <w:lang w:val="en-US"/>
        </w:rPr>
        <w:t>.</w:t>
      </w:r>
    </w:p>
    <w:p w14:paraId="5EFD0806" w14:textId="77777777" w:rsidR="007C6184" w:rsidRPr="007C6184" w:rsidRDefault="007C6184" w:rsidP="006016F1">
      <w:pPr>
        <w:pStyle w:val="Heading1"/>
      </w:pPr>
      <w:r w:rsidRPr="007C6184">
        <w:t>Next steps</w:t>
      </w:r>
    </w:p>
    <w:p w14:paraId="2C29A5C6" w14:textId="77777777" w:rsidR="007C6184" w:rsidRPr="007C6184" w:rsidRDefault="007C6184" w:rsidP="007C6184">
      <w:pPr>
        <w:pStyle w:val="BodyText"/>
        <w:rPr>
          <w:lang w:val="en-US"/>
        </w:rPr>
      </w:pPr>
      <w:r w:rsidRPr="007C6184">
        <w:rPr>
          <w:lang w:val="en-US"/>
        </w:rPr>
        <w:t xml:space="preserve">As part of the assessment, DEECA has made several recommendations for future opportunities for program improvement, many of which are already progressing. </w:t>
      </w:r>
    </w:p>
    <w:p w14:paraId="54C95D5E" w14:textId="77777777" w:rsidR="007C6184" w:rsidRPr="007C6184" w:rsidRDefault="007C6184" w:rsidP="007C6184">
      <w:pPr>
        <w:pStyle w:val="BodyText"/>
        <w:rPr>
          <w:lang w:val="en-US"/>
        </w:rPr>
      </w:pPr>
      <w:r w:rsidRPr="007C6184">
        <w:rPr>
          <w:lang w:val="en-US"/>
        </w:rPr>
        <w:t xml:space="preserve">DEECA is undertaking work to:  </w:t>
      </w:r>
    </w:p>
    <w:p w14:paraId="4C0FC114" w14:textId="77777777" w:rsidR="007C6184" w:rsidRPr="007C6184" w:rsidRDefault="007C6184" w:rsidP="006016F1">
      <w:pPr>
        <w:pStyle w:val="ListBullet"/>
        <w:ind w:left="357" w:hanging="357"/>
        <w:contextualSpacing/>
      </w:pPr>
      <w:r w:rsidRPr="007C6184">
        <w:t>improve data collection and monitoring</w:t>
      </w:r>
    </w:p>
    <w:p w14:paraId="136F059E" w14:textId="77777777" w:rsidR="007C6184" w:rsidRPr="007C6184" w:rsidRDefault="007C6184" w:rsidP="006016F1">
      <w:pPr>
        <w:pStyle w:val="ListBullet"/>
        <w:ind w:left="357" w:hanging="357"/>
        <w:contextualSpacing/>
      </w:pPr>
      <w:r w:rsidRPr="007C6184">
        <w:t>strengthen VEU brand awareness</w:t>
      </w:r>
    </w:p>
    <w:p w14:paraId="253740B6" w14:textId="77777777" w:rsidR="007C6184" w:rsidRPr="007C6184" w:rsidRDefault="007C6184" w:rsidP="006016F1">
      <w:pPr>
        <w:pStyle w:val="ListBullet"/>
        <w:ind w:left="357" w:hanging="357"/>
        <w:contextualSpacing/>
      </w:pPr>
      <w:r w:rsidRPr="007C6184">
        <w:t>support industry participation and engagement</w:t>
      </w:r>
    </w:p>
    <w:p w14:paraId="53BA5670" w14:textId="77777777" w:rsidR="007C6184" w:rsidRPr="007C6184" w:rsidRDefault="007C6184" w:rsidP="006016F1">
      <w:pPr>
        <w:pStyle w:val="ListBullet"/>
        <w:ind w:left="357" w:hanging="357"/>
        <w:contextualSpacing/>
      </w:pPr>
      <w:r w:rsidRPr="007C6184">
        <w:t>ensure program accessibility for low-income and/or vulnerable consumers and renters.</w:t>
      </w:r>
    </w:p>
    <w:p w14:paraId="4DE8A2AA" w14:textId="534F7933" w:rsidR="007C6184" w:rsidRPr="007C6184" w:rsidRDefault="007C6184" w:rsidP="006016F1">
      <w:pPr>
        <w:pStyle w:val="BodyText"/>
      </w:pPr>
      <w:r w:rsidRPr="007C6184">
        <w:rPr>
          <w:lang w:val="en-US"/>
        </w:rPr>
        <w:t>Stakeholders are welcome to provide feedback by emailing the team at</w:t>
      </w:r>
      <w:r>
        <w:rPr>
          <w:lang w:val="en-US"/>
        </w:rPr>
        <w:t xml:space="preserve"> </w:t>
      </w:r>
      <w:hyperlink r:id="rId11" w:history="1">
        <w:r w:rsidRPr="007C6184">
          <w:rPr>
            <w:rStyle w:val="Hyperlink"/>
            <w:lang w:val="en-US"/>
          </w:rPr>
          <w:t>energy.upgrades@deeca.vic.gov.au</w:t>
        </w:r>
      </w:hyperlink>
    </w:p>
    <w:p w14:paraId="09D58DD9" w14:textId="77777777" w:rsidR="00222FF2" w:rsidRPr="006016F1" w:rsidRDefault="00222FF2" w:rsidP="006016F1">
      <w:pPr>
        <w:pStyle w:val="Heading1"/>
      </w:pPr>
      <w:bookmarkStart w:id="0" w:name="_Toc184285036"/>
      <w:bookmarkStart w:id="1" w:name="_Toc205885010"/>
      <w:r w:rsidRPr="006016F1">
        <w:t>Publication information</w:t>
      </w:r>
      <w:bookmarkEnd w:id="0"/>
      <w:bookmarkEnd w:id="1"/>
    </w:p>
    <w:p w14:paraId="60AF7E45" w14:textId="77777777" w:rsidR="00222FF2" w:rsidRPr="00801C84" w:rsidRDefault="00222FF2" w:rsidP="006016F1">
      <w:pPr>
        <w:pStyle w:val="Heading2"/>
      </w:pPr>
      <w:bookmarkStart w:id="2" w:name="_Toc205885011"/>
      <w:r w:rsidRPr="00801C84">
        <w:t>Acknowledgements</w:t>
      </w:r>
      <w:bookmarkEnd w:id="2"/>
    </w:p>
    <w:p w14:paraId="478BFEFF" w14:textId="77777777" w:rsidR="00FF45EB" w:rsidRPr="00801C84" w:rsidRDefault="00FF45EB" w:rsidP="00FF45EB">
      <w:pPr>
        <w:pStyle w:val="BodyText"/>
        <w:spacing w:after="120"/>
        <w:rPr>
          <w:lang w:val="en-AU"/>
        </w:rPr>
      </w:pPr>
      <w:r w:rsidRPr="00801C84">
        <w:rPr>
          <w:lang w:val="en-AU"/>
        </w:rPr>
        <w:t>We acknowledge and respect Victorian Traditional Owners as the original custodians of Victoria’s land and waters, their unique ability to care for Country and deep spiritual connection to it.</w:t>
      </w:r>
    </w:p>
    <w:p w14:paraId="60C265FC" w14:textId="77777777" w:rsidR="00FF45EB" w:rsidRPr="00801C84" w:rsidRDefault="00FF45EB" w:rsidP="00FF45EB">
      <w:pPr>
        <w:pStyle w:val="BodyText"/>
        <w:spacing w:after="120"/>
        <w:rPr>
          <w:lang w:val="en-AU"/>
        </w:rPr>
      </w:pPr>
      <w:r w:rsidRPr="00801C84">
        <w:rPr>
          <w:lang w:val="en-AU"/>
        </w:rPr>
        <w:t xml:space="preserve">We honour Elders past and present whose </w:t>
      </w:r>
      <w:proofErr w:type="gramStart"/>
      <w:r w:rsidRPr="00801C84">
        <w:rPr>
          <w:lang w:val="en-AU"/>
        </w:rPr>
        <w:t>knowledge</w:t>
      </w:r>
      <w:proofErr w:type="gramEnd"/>
      <w:r w:rsidRPr="00801C84">
        <w:rPr>
          <w:lang w:val="en-AU"/>
        </w:rPr>
        <w:t xml:space="preserve"> and wisdom has ensured the continuation of culture and traditional practices.</w:t>
      </w:r>
    </w:p>
    <w:p w14:paraId="1CCF5D39" w14:textId="77777777" w:rsidR="00222FF2" w:rsidRPr="00801C84" w:rsidRDefault="00FF45EB" w:rsidP="00C51A83">
      <w:pPr>
        <w:pStyle w:val="BodyText"/>
        <w:spacing w:after="120"/>
        <w:rPr>
          <w:lang w:val="en-AU"/>
        </w:rPr>
      </w:pPr>
      <w:r w:rsidRPr="00801C84">
        <w:rPr>
          <w:lang w:val="en-AU"/>
        </w:rPr>
        <w:t>DEECA is committed to genuinely partnering with Victorian Traditional Owners and Victoria’s Aboriginal community to progress their aspirations.</w:t>
      </w:r>
    </w:p>
    <w:p w14:paraId="5A382407" w14:textId="77777777" w:rsidR="00222FF2" w:rsidRPr="00801C84" w:rsidRDefault="00222FF2" w:rsidP="00EC7EDE">
      <w:pPr>
        <w:pStyle w:val="Heading2"/>
      </w:pPr>
      <w:bookmarkStart w:id="3" w:name="_Toc205885012"/>
      <w:r w:rsidRPr="00801C84">
        <w:lastRenderedPageBreak/>
        <w:t>Copyright</w:t>
      </w:r>
      <w:bookmarkEnd w:id="3"/>
    </w:p>
    <w:p w14:paraId="36CB15F5" w14:textId="4D7E4B5A" w:rsidR="00222FF2" w:rsidRPr="00801C84" w:rsidRDefault="00222FF2" w:rsidP="00C51A83">
      <w:pPr>
        <w:pStyle w:val="BodyText"/>
        <w:spacing w:after="120"/>
        <w:ind w:right="-285"/>
        <w:rPr>
          <w:lang w:val="en-AU"/>
        </w:rPr>
      </w:pPr>
      <w:r w:rsidRPr="00801C84">
        <w:rPr>
          <w:lang w:val="en-AU"/>
        </w:rPr>
        <w:t xml:space="preserve">© The State of Victoria Department of Energy, Environment and Climate Action, </w:t>
      </w:r>
      <w:r w:rsidR="007C6184">
        <w:rPr>
          <w:lang w:val="en-AU"/>
        </w:rPr>
        <w:t>October</w:t>
      </w:r>
      <w:r w:rsidR="00190AA0" w:rsidRPr="00801C84">
        <w:rPr>
          <w:lang w:val="en-AU"/>
        </w:rPr>
        <w:t xml:space="preserve"> </w:t>
      </w:r>
      <w:r w:rsidRPr="00801C84">
        <w:rPr>
          <w:lang w:val="en-AU"/>
        </w:rPr>
        <w:t>202</w:t>
      </w:r>
      <w:r w:rsidR="00FF45EB" w:rsidRPr="00801C84">
        <w:rPr>
          <w:lang w:val="en-AU"/>
        </w:rPr>
        <w:t>5</w:t>
      </w:r>
      <w:r w:rsidRPr="00801C84">
        <w:rPr>
          <w:lang w:val="en-AU"/>
        </w:rPr>
        <w:t>.</w:t>
      </w:r>
    </w:p>
    <w:p w14:paraId="4AC1E74D" w14:textId="74EFE9AA" w:rsidR="00222FF2" w:rsidRPr="00801C84" w:rsidRDefault="00222FF2" w:rsidP="00190AA0">
      <w:pPr>
        <w:pStyle w:val="BodyText"/>
        <w:spacing w:line="276" w:lineRule="auto"/>
        <w:ind w:right="-285"/>
        <w:rPr>
          <w:lang w:val="en-AU"/>
        </w:rPr>
      </w:pPr>
      <w:r w:rsidRPr="006016F1">
        <w:rPr>
          <w:b/>
          <w:bCs/>
          <w:color w:val="000000" w:themeColor="text1"/>
          <w:lang w:val="en-AU"/>
        </w:rPr>
        <w:t>ISBN</w:t>
      </w:r>
      <w:r w:rsidRPr="006016F1">
        <w:rPr>
          <w:color w:val="000000" w:themeColor="text1"/>
          <w:lang w:val="en-AU"/>
        </w:rPr>
        <w:t xml:space="preserve"> </w:t>
      </w:r>
      <w:r w:rsidR="006016F1" w:rsidRPr="006016F1">
        <w:rPr>
          <w:color w:val="000000" w:themeColor="text1"/>
          <w:lang w:val="en-AU"/>
        </w:rPr>
        <w:t>978-1-76176-643-5</w:t>
      </w:r>
      <w:r w:rsidR="006016F1" w:rsidRPr="006016F1">
        <w:rPr>
          <w:b/>
          <w:bCs/>
          <w:color w:val="000000" w:themeColor="text1"/>
          <w:lang w:val="en-AU"/>
        </w:rPr>
        <w:t xml:space="preserve"> </w:t>
      </w:r>
      <w:r w:rsidR="004A2F65" w:rsidRPr="00801C84">
        <w:rPr>
          <w:b/>
          <w:bCs/>
          <w:lang w:val="en-AU"/>
        </w:rPr>
        <w:t>(pdf/online/MS word)</w:t>
      </w:r>
    </w:p>
    <w:p w14:paraId="0BD354A9" w14:textId="5AD0E658" w:rsidR="00222FF2" w:rsidRPr="00801C84" w:rsidRDefault="00222FF2" w:rsidP="00EC7EDE">
      <w:pPr>
        <w:pStyle w:val="Heading2"/>
      </w:pPr>
      <w:bookmarkStart w:id="4" w:name="_Toc205885014"/>
      <w:r w:rsidRPr="00801C84">
        <w:t>Disclaimer</w:t>
      </w:r>
      <w:bookmarkEnd w:id="4"/>
    </w:p>
    <w:p w14:paraId="45638926" w14:textId="77777777" w:rsidR="00222FF2" w:rsidRPr="00801C84" w:rsidRDefault="00222FF2" w:rsidP="00C51A83">
      <w:pPr>
        <w:pStyle w:val="BodyText"/>
        <w:spacing w:after="120"/>
        <w:rPr>
          <w:lang w:val="en-AU"/>
        </w:rPr>
      </w:pPr>
      <w:r w:rsidRPr="00801C84">
        <w:rPr>
          <w:lang w:val="en-AU"/>
        </w:rPr>
        <w:t xml:space="preserve">This publication may be of assistance to </w:t>
      </w:r>
      <w:proofErr w:type="gramStart"/>
      <w:r w:rsidRPr="00801C84">
        <w:rPr>
          <w:lang w:val="en-AU"/>
        </w:rPr>
        <w:t>you</w:t>
      </w:r>
      <w:proofErr w:type="gramEnd"/>
      <w:r w:rsidRPr="00801C84">
        <w:rPr>
          <w:lang w:val="en-AU"/>
        </w:rPr>
        <w:t xml:space="preserve"> but the State of Victoria and its employees do not guarantee that the publication is without flaw of any kind or is wholly appropriate for your </w:t>
      </w:r>
      <w:proofErr w:type="gramStart"/>
      <w:r w:rsidRPr="00801C84">
        <w:rPr>
          <w:lang w:val="en-AU"/>
        </w:rPr>
        <w:t>particular purposes</w:t>
      </w:r>
      <w:proofErr w:type="gramEnd"/>
      <w:r w:rsidRPr="00801C84">
        <w:rPr>
          <w:lang w:val="en-AU"/>
        </w:rPr>
        <w:t xml:space="preserve"> and therefore disclaims all liability for any error, loss or other consequence which may arise from you relying on any information in this publication.</w:t>
      </w:r>
    </w:p>
    <w:p w14:paraId="169141A9" w14:textId="77777777" w:rsidR="00222FF2" w:rsidRPr="00801C84" w:rsidRDefault="00222FF2" w:rsidP="00EC7EDE">
      <w:pPr>
        <w:pStyle w:val="Heading2"/>
      </w:pPr>
      <w:bookmarkStart w:id="5" w:name="_Toc205885015"/>
      <w:r w:rsidRPr="00801C84">
        <w:t>Accessibility</w:t>
      </w:r>
      <w:bookmarkEnd w:id="5"/>
    </w:p>
    <w:p w14:paraId="02BB6384" w14:textId="564FB845" w:rsidR="006016F1" w:rsidRDefault="00222FF2" w:rsidP="006016F1">
      <w:pPr>
        <w:pStyle w:val="BodyText"/>
        <w:spacing w:after="120"/>
        <w:rPr>
          <w:lang w:val="en-AU"/>
        </w:rPr>
      </w:pPr>
      <w:r w:rsidRPr="00801C84">
        <w:rPr>
          <w:lang w:val="en-AU"/>
        </w:rPr>
        <w:t xml:space="preserve">To receive this document in an alternative format, phone the Customer </w:t>
      </w:r>
      <w:r w:rsidR="007C6184">
        <w:rPr>
          <w:lang w:val="en-AU"/>
        </w:rPr>
        <w:t>Contact</w:t>
      </w:r>
      <w:r w:rsidRPr="00801C84">
        <w:rPr>
          <w:lang w:val="en-AU"/>
        </w:rPr>
        <w:t xml:space="preserve"> Centre on 136 186, email </w:t>
      </w:r>
      <w:hyperlink r:id="rId12" w:tooltip="Send an email to customer service" w:history="1">
        <w:r w:rsidR="007C6184">
          <w:rPr>
            <w:rStyle w:val="Hyperlink"/>
            <w:lang w:val="en-AU"/>
          </w:rPr>
          <w:t>customer.service@deeca.vic.gov.au</w:t>
        </w:r>
      </w:hyperlink>
      <w:r w:rsidRPr="00801C84">
        <w:rPr>
          <w:lang w:val="en-AU"/>
        </w:rPr>
        <w:t>, or contact National Relay Service on 133 677. Available at DEECA website (</w:t>
      </w:r>
      <w:hyperlink r:id="rId13" w:tooltip="Hyperlink to the DEECA website" w:history="1">
        <w:r w:rsidRPr="00801C84">
          <w:rPr>
            <w:rStyle w:val="Hyperlink"/>
            <w:lang w:val="en-AU"/>
          </w:rPr>
          <w:t>www.deeca.vic.gov.au</w:t>
        </w:r>
      </w:hyperlink>
      <w:r w:rsidRPr="00801C84">
        <w:rPr>
          <w:lang w:val="en-AU"/>
        </w:rPr>
        <w:t>).</w:t>
      </w:r>
    </w:p>
    <w:p w14:paraId="138EF54C" w14:textId="659791A5" w:rsidR="00F767CD" w:rsidRPr="006016F1" w:rsidRDefault="00222FF2" w:rsidP="006016F1">
      <w:pPr>
        <w:pStyle w:val="BodyText"/>
        <w:spacing w:after="120"/>
        <w:rPr>
          <w:lang w:val="en-AU"/>
        </w:rPr>
      </w:pPr>
      <w:r w:rsidRPr="00801C84">
        <w:rPr>
          <w:b/>
          <w:bCs/>
          <w:lang w:val="en-AU"/>
        </w:rPr>
        <w:t>End of document.</w:t>
      </w:r>
    </w:p>
    <w:sectPr w:rsidR="00F767CD" w:rsidRPr="006016F1" w:rsidSect="00EB277B">
      <w:footerReference w:type="default" r:id="rId14"/>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1C2B" w14:textId="77777777" w:rsidR="00740AE6" w:rsidRDefault="00740AE6" w:rsidP="00F2730B">
      <w:pPr>
        <w:spacing w:after="0" w:line="240" w:lineRule="auto"/>
      </w:pPr>
      <w:r>
        <w:separator/>
      </w:r>
    </w:p>
  </w:endnote>
  <w:endnote w:type="continuationSeparator" w:id="0">
    <w:p w14:paraId="22D1BB8B" w14:textId="77777777" w:rsidR="00740AE6" w:rsidRDefault="00740AE6"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 w:name="VIC SemiBold">
    <w:panose1 w:val="00000700000000000000"/>
    <w:charset w:val="00"/>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0CD03211"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1D67DB"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5DEBDE9E"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CC83EFF" w14:textId="7814F46E" w:rsidR="00EB277B" w:rsidRPr="007C6184" w:rsidRDefault="007C6184" w:rsidP="007C6184">
    <w:pPr>
      <w:pStyle w:val="Footer"/>
      <w:ind w:right="360"/>
      <w:rPr>
        <w:sz w:val="18"/>
        <w:szCs w:val="18"/>
        <w:lang w:val="en-US"/>
      </w:rPr>
    </w:pPr>
    <w:r w:rsidRPr="007C6184">
      <w:rPr>
        <w:sz w:val="18"/>
        <w:szCs w:val="18"/>
        <w:lang w:val="en-US"/>
      </w:rPr>
      <w:t>Summary report: Assessment of the Victorian Energy Upgrades program 2021 –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611922DB"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C5B05DA" w14:textId="7E0DE624" w:rsidR="00B165A7" w:rsidRPr="007C6184" w:rsidRDefault="007C6184" w:rsidP="007C6184">
    <w:pPr>
      <w:pStyle w:val="Footer"/>
      <w:ind w:right="360"/>
      <w:rPr>
        <w:sz w:val="18"/>
        <w:szCs w:val="18"/>
        <w:lang w:val="en-US"/>
      </w:rPr>
    </w:pPr>
    <w:r w:rsidRPr="007C6184">
      <w:rPr>
        <w:sz w:val="18"/>
        <w:szCs w:val="18"/>
        <w:lang w:val="en-US"/>
      </w:rPr>
      <w:t>Summary report: Assessment of the Victorian Energy Upgrades program 2021 –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FECE" w14:textId="77777777" w:rsidR="00740AE6" w:rsidRDefault="00740AE6" w:rsidP="00F2730B">
      <w:pPr>
        <w:spacing w:after="0" w:line="240" w:lineRule="auto"/>
      </w:pPr>
      <w:r>
        <w:separator/>
      </w:r>
    </w:p>
  </w:footnote>
  <w:footnote w:type="continuationSeparator" w:id="0">
    <w:p w14:paraId="24D1850A" w14:textId="77777777" w:rsidR="00740AE6" w:rsidRDefault="00740AE6" w:rsidP="00F2730B">
      <w:pPr>
        <w:spacing w:after="0" w:line="240" w:lineRule="auto"/>
      </w:pPr>
      <w:r>
        <w:continuationSeparator/>
      </w:r>
    </w:p>
  </w:footnote>
  <w:footnote w:id="1">
    <w:p w14:paraId="3A0D75B6" w14:textId="035E712A" w:rsidR="007C6184" w:rsidRPr="007C6184" w:rsidRDefault="007C6184" w:rsidP="007C6184">
      <w:pPr>
        <w:pStyle w:val="BasicParagraph"/>
        <w:rPr>
          <w:rStyle w:val="FootnoteReference"/>
          <w:rFonts w:asciiTheme="minorHAnsi" w:hAnsiTheme="minorHAnsi" w:cstheme="minorHAnsi"/>
        </w:rPr>
      </w:pPr>
      <w:r w:rsidRPr="007C6184">
        <w:rPr>
          <w:rStyle w:val="FootnoteReference"/>
          <w:rFonts w:asciiTheme="minorHAnsi" w:hAnsiTheme="minorHAnsi" w:cstheme="minorHAnsi"/>
        </w:rPr>
        <w:footnoteRef/>
      </w:r>
      <w:r w:rsidRPr="007C6184">
        <w:rPr>
          <w:rStyle w:val="FootnoteReference"/>
          <w:rFonts w:asciiTheme="minorHAnsi" w:hAnsiTheme="minorHAnsi" w:cstheme="minorHAnsi"/>
        </w:rPr>
        <w:t xml:space="preserve">    Victorian Energy Efficiency Certificates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885AC3"/>
    <w:multiLevelType w:val="hybridMultilevel"/>
    <w:tmpl w:val="FC54CF0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6"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3A0A8D"/>
    <w:multiLevelType w:val="multilevel"/>
    <w:tmpl w:val="CC14A68E"/>
    <w:styleLink w:val="CurrentList22"/>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3" w15:restartNumberingAfterBreak="0">
    <w:nsid w:val="1E8769C5"/>
    <w:multiLevelType w:val="hybridMultilevel"/>
    <w:tmpl w:val="0150A5D4"/>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87F79"/>
    <w:multiLevelType w:val="multilevel"/>
    <w:tmpl w:val="76E011A8"/>
    <w:styleLink w:val="CurrentList20"/>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21B01E6"/>
    <w:multiLevelType w:val="hybridMultilevel"/>
    <w:tmpl w:val="8EFCD86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AE1A6F"/>
    <w:multiLevelType w:val="multilevel"/>
    <w:tmpl w:val="7832A434"/>
    <w:styleLink w:val="CurrentList23"/>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3"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98A4659"/>
    <w:multiLevelType w:val="multilevel"/>
    <w:tmpl w:val="73F4ECA2"/>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0"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8D2A36"/>
    <w:multiLevelType w:val="multilevel"/>
    <w:tmpl w:val="054A31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D708E6"/>
    <w:multiLevelType w:val="hybridMultilevel"/>
    <w:tmpl w:val="FC54CF0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D3D0138"/>
    <w:multiLevelType w:val="hybridMultilevel"/>
    <w:tmpl w:val="47260004"/>
    <w:lvl w:ilvl="0" w:tplc="C2FCE5AA">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31D65E9"/>
    <w:multiLevelType w:val="hybridMultilevel"/>
    <w:tmpl w:val="925070F0"/>
    <w:lvl w:ilvl="0" w:tplc="3D845916">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5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2" w15:restartNumberingAfterBreak="0">
    <w:nsid w:val="77427AA2"/>
    <w:multiLevelType w:val="multilevel"/>
    <w:tmpl w:val="61B00330"/>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pStyle w:val="Heading3"/>
      <w:lvlText w:val="%1.%2.%3"/>
      <w:lvlJc w:val="left"/>
      <w:pPr>
        <w:ind w:left="1440" w:hanging="720"/>
      </w:pPr>
      <w:rPr>
        <w:rFonts w:hint="default"/>
      </w:rPr>
    </w:lvl>
    <w:lvl w:ilvl="3">
      <w:start w:val="1"/>
      <w:numFmt w:val="decimal"/>
      <w:pStyle w:val="Heading4"/>
      <w:lvlText w:val="%1.%2.%3.%4"/>
      <w:lvlJc w:val="left"/>
      <w:pPr>
        <w:ind w:left="1584" w:hanging="864"/>
      </w:pPr>
      <w:rPr>
        <w:rFonts w:hint="default"/>
      </w:rPr>
    </w:lvl>
    <w:lvl w:ilvl="4">
      <w:start w:val="1"/>
      <w:numFmt w:val="decimal"/>
      <w:pStyle w:val="Heading5"/>
      <w:lvlText w:val="%1.%2.%3.%4.%5"/>
      <w:lvlJc w:val="left"/>
      <w:pPr>
        <w:ind w:left="1728" w:hanging="1008"/>
      </w:pPr>
      <w:rPr>
        <w:rFonts w:hint="default"/>
      </w:rPr>
    </w:lvl>
    <w:lvl w:ilvl="5">
      <w:start w:val="1"/>
      <w:numFmt w:val="decimal"/>
      <w:pStyle w:val="Heading6"/>
      <w:lvlText w:val="%1.%2.%3.%4.%5.%6"/>
      <w:lvlJc w:val="left"/>
      <w:pPr>
        <w:ind w:left="1872" w:hanging="1152"/>
      </w:pPr>
      <w:rPr>
        <w:rFonts w:hint="default"/>
      </w:rPr>
    </w:lvl>
    <w:lvl w:ilvl="6">
      <w:start w:val="1"/>
      <w:numFmt w:val="decimal"/>
      <w:pStyle w:val="Heading7"/>
      <w:lvlText w:val="%1.%2.%3.%4.%5.%6.%7"/>
      <w:lvlJc w:val="left"/>
      <w:pPr>
        <w:ind w:left="2016" w:hanging="1296"/>
      </w:pPr>
      <w:rPr>
        <w:rFonts w:hint="default"/>
      </w:rPr>
    </w:lvl>
    <w:lvl w:ilvl="7">
      <w:start w:val="1"/>
      <w:numFmt w:val="decimal"/>
      <w:pStyle w:val="Heading8"/>
      <w:lvlText w:val="%1.%2.%3.%4.%5.%6.%7.%8"/>
      <w:lvlJc w:val="left"/>
      <w:pPr>
        <w:ind w:left="2160" w:hanging="1440"/>
      </w:pPr>
      <w:rPr>
        <w:rFonts w:hint="default"/>
      </w:rPr>
    </w:lvl>
    <w:lvl w:ilvl="8">
      <w:start w:val="1"/>
      <w:numFmt w:val="decimal"/>
      <w:pStyle w:val="Heading9"/>
      <w:lvlText w:val="%1.%2.%3.%4.%5.%6.%7.%8.%9"/>
      <w:lvlJc w:val="left"/>
      <w:pPr>
        <w:ind w:left="2304" w:hanging="1584"/>
      </w:pPr>
      <w:rPr>
        <w:rFonts w:hint="default"/>
      </w:rPr>
    </w:lvl>
  </w:abstractNum>
  <w:abstractNum w:abstractNumId="53" w15:restartNumberingAfterBreak="0">
    <w:nsid w:val="79EE0002"/>
    <w:multiLevelType w:val="multilevel"/>
    <w:tmpl w:val="555AEC9A"/>
    <w:styleLink w:val="CurrentList2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4"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21"/>
  </w:num>
  <w:num w:numId="2" w16cid:durableId="601570190">
    <w:abstractNumId w:val="54"/>
  </w:num>
  <w:num w:numId="3" w16cid:durableId="1813522522">
    <w:abstractNumId w:val="3"/>
  </w:num>
  <w:num w:numId="4" w16cid:durableId="533276510">
    <w:abstractNumId w:val="50"/>
  </w:num>
  <w:num w:numId="5" w16cid:durableId="771362055">
    <w:abstractNumId w:val="2"/>
  </w:num>
  <w:num w:numId="6" w16cid:durableId="3823149">
    <w:abstractNumId w:val="33"/>
  </w:num>
  <w:num w:numId="7" w16cid:durableId="338390637">
    <w:abstractNumId w:val="6"/>
  </w:num>
  <w:num w:numId="8" w16cid:durableId="182984412">
    <w:abstractNumId w:val="39"/>
  </w:num>
  <w:num w:numId="9" w16cid:durableId="853954488">
    <w:abstractNumId w:val="31"/>
  </w:num>
  <w:num w:numId="10" w16cid:durableId="307325374">
    <w:abstractNumId w:val="11"/>
  </w:num>
  <w:num w:numId="11" w16cid:durableId="1207567416">
    <w:abstractNumId w:val="20"/>
  </w:num>
  <w:num w:numId="12" w16cid:durableId="1714499310">
    <w:abstractNumId w:val="19"/>
  </w:num>
  <w:num w:numId="13" w16cid:durableId="1557817223">
    <w:abstractNumId w:val="36"/>
  </w:num>
  <w:num w:numId="14" w16cid:durableId="766468131">
    <w:abstractNumId w:val="8"/>
  </w:num>
  <w:num w:numId="15" w16cid:durableId="401634644">
    <w:abstractNumId w:val="5"/>
  </w:num>
  <w:num w:numId="16" w16cid:durableId="2004504209">
    <w:abstractNumId w:val="26"/>
    <w:lvlOverride w:ilvl="0">
      <w:lvl w:ilvl="0">
        <w:start w:val="1"/>
        <w:numFmt w:val="bullet"/>
        <w:lvlText w:val=""/>
        <w:lvlJc w:val="left"/>
        <w:pPr>
          <w:ind w:left="360" w:hanging="360"/>
        </w:pPr>
        <w:rPr>
          <w:rFonts w:ascii="Symbol" w:hAnsi="Symbol" w:hint="default"/>
        </w:rPr>
      </w:lvl>
    </w:lvlOverride>
  </w:num>
  <w:num w:numId="17" w16cid:durableId="1333338980">
    <w:abstractNumId w:val="9"/>
  </w:num>
  <w:num w:numId="18" w16cid:durableId="2077896738">
    <w:abstractNumId w:val="29"/>
  </w:num>
  <w:num w:numId="19" w16cid:durableId="318195612">
    <w:abstractNumId w:val="0"/>
  </w:num>
  <w:num w:numId="20" w16cid:durableId="172572898">
    <w:abstractNumId w:val="32"/>
  </w:num>
  <w:num w:numId="21" w16cid:durableId="1306818322">
    <w:abstractNumId w:val="1"/>
  </w:num>
  <w:num w:numId="22" w16cid:durableId="1536767415">
    <w:abstractNumId w:val="40"/>
  </w:num>
  <w:num w:numId="23" w16cid:durableId="54209663">
    <w:abstractNumId w:val="7"/>
  </w:num>
  <w:num w:numId="24" w16cid:durableId="1347441872">
    <w:abstractNumId w:val="45"/>
  </w:num>
  <w:num w:numId="25" w16cid:durableId="1336883623">
    <w:abstractNumId w:val="38"/>
  </w:num>
  <w:num w:numId="26" w16cid:durableId="1859196455">
    <w:abstractNumId w:val="10"/>
  </w:num>
  <w:num w:numId="27" w16cid:durableId="1643851276">
    <w:abstractNumId w:val="27"/>
  </w:num>
  <w:num w:numId="28" w16cid:durableId="1329362202">
    <w:abstractNumId w:val="24"/>
  </w:num>
  <w:num w:numId="29" w16cid:durableId="1795561713">
    <w:abstractNumId w:val="40"/>
  </w:num>
  <w:num w:numId="30" w16cid:durableId="71048478">
    <w:abstractNumId w:val="40"/>
  </w:num>
  <w:num w:numId="31" w16cid:durableId="755857827">
    <w:abstractNumId w:val="30"/>
  </w:num>
  <w:num w:numId="32" w16cid:durableId="1933396817">
    <w:abstractNumId w:val="40"/>
  </w:num>
  <w:num w:numId="33" w16cid:durableId="1457986831">
    <w:abstractNumId w:val="40"/>
  </w:num>
  <w:num w:numId="34" w16cid:durableId="1703019878">
    <w:abstractNumId w:val="40"/>
  </w:num>
  <w:num w:numId="35" w16cid:durableId="1865440867">
    <w:abstractNumId w:val="40"/>
  </w:num>
  <w:num w:numId="36" w16cid:durableId="829516848">
    <w:abstractNumId w:val="40"/>
  </w:num>
  <w:num w:numId="37" w16cid:durableId="2076001543">
    <w:abstractNumId w:val="43"/>
  </w:num>
  <w:num w:numId="38" w16cid:durableId="1204173423">
    <w:abstractNumId w:val="37"/>
  </w:num>
  <w:num w:numId="39" w16cid:durableId="1448893088">
    <w:abstractNumId w:val="51"/>
  </w:num>
  <w:num w:numId="40" w16cid:durableId="1900021242">
    <w:abstractNumId w:val="48"/>
  </w:num>
  <w:num w:numId="41" w16cid:durableId="995105162">
    <w:abstractNumId w:val="47"/>
  </w:num>
  <w:num w:numId="42" w16cid:durableId="1581451535">
    <w:abstractNumId w:val="17"/>
  </w:num>
  <w:num w:numId="43" w16cid:durableId="1752506282">
    <w:abstractNumId w:val="3"/>
  </w:num>
  <w:num w:numId="44" w16cid:durableId="1456093856">
    <w:abstractNumId w:val="3"/>
  </w:num>
  <w:num w:numId="45" w16cid:durableId="1900241663">
    <w:abstractNumId w:val="3"/>
  </w:num>
  <w:num w:numId="46" w16cid:durableId="1535843761">
    <w:abstractNumId w:val="28"/>
  </w:num>
  <w:num w:numId="47" w16cid:durableId="1818298069">
    <w:abstractNumId w:val="18"/>
  </w:num>
  <w:num w:numId="48" w16cid:durableId="2061048727">
    <w:abstractNumId w:val="16"/>
  </w:num>
  <w:num w:numId="49" w16cid:durableId="1849246280">
    <w:abstractNumId w:val="14"/>
  </w:num>
  <w:num w:numId="50" w16cid:durableId="785197264">
    <w:abstractNumId w:val="41"/>
  </w:num>
  <w:num w:numId="51" w16cid:durableId="1299335420">
    <w:abstractNumId w:val="23"/>
  </w:num>
  <w:num w:numId="52" w16cid:durableId="1754938255">
    <w:abstractNumId w:val="26"/>
  </w:num>
  <w:num w:numId="53" w16cid:durableId="1013340051">
    <w:abstractNumId w:val="49"/>
  </w:num>
  <w:num w:numId="54" w16cid:durableId="888301183">
    <w:abstractNumId w:val="34"/>
  </w:num>
  <w:num w:numId="55" w16cid:durableId="631786223">
    <w:abstractNumId w:val="42"/>
  </w:num>
  <w:num w:numId="56" w16cid:durableId="1977949511">
    <w:abstractNumId w:val="44"/>
  </w:num>
  <w:num w:numId="57" w16cid:durableId="1722317285">
    <w:abstractNumId w:val="2"/>
  </w:num>
  <w:num w:numId="58" w16cid:durableId="1273047373">
    <w:abstractNumId w:val="2"/>
  </w:num>
  <w:num w:numId="59" w16cid:durableId="1198547965">
    <w:abstractNumId w:val="4"/>
  </w:num>
  <w:num w:numId="60" w16cid:durableId="2036882994">
    <w:abstractNumId w:val="13"/>
  </w:num>
  <w:num w:numId="61" w16cid:durableId="1610773982">
    <w:abstractNumId w:val="46"/>
  </w:num>
  <w:num w:numId="62" w16cid:durableId="778722934">
    <w:abstractNumId w:val="22"/>
  </w:num>
  <w:num w:numId="63" w16cid:durableId="1678580103">
    <w:abstractNumId w:val="52"/>
  </w:num>
  <w:num w:numId="64" w16cid:durableId="202326470">
    <w:abstractNumId w:val="35"/>
  </w:num>
  <w:num w:numId="65" w16cid:durableId="264461812">
    <w:abstractNumId w:val="15"/>
  </w:num>
  <w:num w:numId="66" w16cid:durableId="206602011">
    <w:abstractNumId w:val="53"/>
  </w:num>
  <w:num w:numId="67" w16cid:durableId="1841580471">
    <w:abstractNumId w:val="12"/>
  </w:num>
  <w:num w:numId="68" w16cid:durableId="95572033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nBASNYOvC2JJkrJOdUH31zGNp3QG18uEqZodfHQF1UR+cBKOMKSuwq6IfyEjxYTB/2WI95wnXTBjI7pygwGkQ==" w:salt="e2D8GrkiC8cUmtQJ/bmNmA=="/>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F5"/>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42CB"/>
    <w:rsid w:val="00045691"/>
    <w:rsid w:val="00046FB2"/>
    <w:rsid w:val="000473FF"/>
    <w:rsid w:val="000505A5"/>
    <w:rsid w:val="00050A02"/>
    <w:rsid w:val="00051ABC"/>
    <w:rsid w:val="000532AC"/>
    <w:rsid w:val="00055918"/>
    <w:rsid w:val="0005753B"/>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19B"/>
    <w:rsid w:val="000B62B5"/>
    <w:rsid w:val="000C021F"/>
    <w:rsid w:val="000C1881"/>
    <w:rsid w:val="000C259F"/>
    <w:rsid w:val="000C377A"/>
    <w:rsid w:val="000C4A37"/>
    <w:rsid w:val="000C4B11"/>
    <w:rsid w:val="000D4E1A"/>
    <w:rsid w:val="000D7F89"/>
    <w:rsid w:val="000F00F6"/>
    <w:rsid w:val="000F0CEF"/>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5457"/>
    <w:rsid w:val="001273C5"/>
    <w:rsid w:val="00131B14"/>
    <w:rsid w:val="00132474"/>
    <w:rsid w:val="001326C2"/>
    <w:rsid w:val="0013327E"/>
    <w:rsid w:val="00135B36"/>
    <w:rsid w:val="00143665"/>
    <w:rsid w:val="001438E9"/>
    <w:rsid w:val="001450B6"/>
    <w:rsid w:val="001475FA"/>
    <w:rsid w:val="001500AB"/>
    <w:rsid w:val="00150D75"/>
    <w:rsid w:val="00151489"/>
    <w:rsid w:val="00152A8B"/>
    <w:rsid w:val="00156D15"/>
    <w:rsid w:val="00157642"/>
    <w:rsid w:val="00162157"/>
    <w:rsid w:val="00163F36"/>
    <w:rsid w:val="00164E6C"/>
    <w:rsid w:val="0016764A"/>
    <w:rsid w:val="001679C2"/>
    <w:rsid w:val="001708FE"/>
    <w:rsid w:val="00170B1E"/>
    <w:rsid w:val="00171185"/>
    <w:rsid w:val="00171D24"/>
    <w:rsid w:val="00172357"/>
    <w:rsid w:val="00175022"/>
    <w:rsid w:val="00185ABC"/>
    <w:rsid w:val="00185F2D"/>
    <w:rsid w:val="00187524"/>
    <w:rsid w:val="00187BEB"/>
    <w:rsid w:val="00190AA0"/>
    <w:rsid w:val="00191553"/>
    <w:rsid w:val="001920A5"/>
    <w:rsid w:val="00192DC5"/>
    <w:rsid w:val="0019451B"/>
    <w:rsid w:val="001950EE"/>
    <w:rsid w:val="001A118C"/>
    <w:rsid w:val="001A358E"/>
    <w:rsid w:val="001A4A2B"/>
    <w:rsid w:val="001A5872"/>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4706B"/>
    <w:rsid w:val="002528F3"/>
    <w:rsid w:val="00252A99"/>
    <w:rsid w:val="00252B69"/>
    <w:rsid w:val="002533B0"/>
    <w:rsid w:val="00253B39"/>
    <w:rsid w:val="00253CE5"/>
    <w:rsid w:val="00253E2B"/>
    <w:rsid w:val="00254BFC"/>
    <w:rsid w:val="002565F3"/>
    <w:rsid w:val="0026107A"/>
    <w:rsid w:val="002612BF"/>
    <w:rsid w:val="0026182E"/>
    <w:rsid w:val="002623BE"/>
    <w:rsid w:val="002629BE"/>
    <w:rsid w:val="0026417C"/>
    <w:rsid w:val="00266DF9"/>
    <w:rsid w:val="0027268F"/>
    <w:rsid w:val="0027313B"/>
    <w:rsid w:val="002742CF"/>
    <w:rsid w:val="00276F9F"/>
    <w:rsid w:val="0028015F"/>
    <w:rsid w:val="00281939"/>
    <w:rsid w:val="00283316"/>
    <w:rsid w:val="00283702"/>
    <w:rsid w:val="00283D59"/>
    <w:rsid w:val="00284372"/>
    <w:rsid w:val="002848F0"/>
    <w:rsid w:val="00285B57"/>
    <w:rsid w:val="0028681B"/>
    <w:rsid w:val="00287102"/>
    <w:rsid w:val="00287AA8"/>
    <w:rsid w:val="00287CD4"/>
    <w:rsid w:val="00291546"/>
    <w:rsid w:val="00291651"/>
    <w:rsid w:val="00292641"/>
    <w:rsid w:val="00292E19"/>
    <w:rsid w:val="00295CE3"/>
    <w:rsid w:val="002A16FC"/>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6466"/>
    <w:rsid w:val="0030735D"/>
    <w:rsid w:val="00307463"/>
    <w:rsid w:val="00307AE3"/>
    <w:rsid w:val="0031002A"/>
    <w:rsid w:val="00310309"/>
    <w:rsid w:val="003116DC"/>
    <w:rsid w:val="00311725"/>
    <w:rsid w:val="00320AAB"/>
    <w:rsid w:val="00320E94"/>
    <w:rsid w:val="003211A9"/>
    <w:rsid w:val="003226E3"/>
    <w:rsid w:val="00324579"/>
    <w:rsid w:val="00332FE6"/>
    <w:rsid w:val="003357C9"/>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6D0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39"/>
    <w:rsid w:val="00434D8A"/>
    <w:rsid w:val="00450334"/>
    <w:rsid w:val="004511D5"/>
    <w:rsid w:val="00451ABC"/>
    <w:rsid w:val="00452CA4"/>
    <w:rsid w:val="0045371F"/>
    <w:rsid w:val="00454FF3"/>
    <w:rsid w:val="0045522A"/>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BAC"/>
    <w:rsid w:val="00490E07"/>
    <w:rsid w:val="0049105A"/>
    <w:rsid w:val="00492757"/>
    <w:rsid w:val="004976B7"/>
    <w:rsid w:val="004A0E5A"/>
    <w:rsid w:val="004A2F65"/>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8193E"/>
    <w:rsid w:val="00595BC4"/>
    <w:rsid w:val="00597962"/>
    <w:rsid w:val="005A0001"/>
    <w:rsid w:val="005A001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1610"/>
    <w:rsid w:val="005E2B4C"/>
    <w:rsid w:val="005E393E"/>
    <w:rsid w:val="005E3F95"/>
    <w:rsid w:val="005E4303"/>
    <w:rsid w:val="005E730C"/>
    <w:rsid w:val="005E7912"/>
    <w:rsid w:val="005E7E0B"/>
    <w:rsid w:val="005F05E4"/>
    <w:rsid w:val="005F1A1C"/>
    <w:rsid w:val="005F1D94"/>
    <w:rsid w:val="005F28AC"/>
    <w:rsid w:val="005F78B5"/>
    <w:rsid w:val="00600114"/>
    <w:rsid w:val="006016F1"/>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1332"/>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2141"/>
    <w:rsid w:val="006C27A8"/>
    <w:rsid w:val="006C32E8"/>
    <w:rsid w:val="006C58DF"/>
    <w:rsid w:val="006C66A6"/>
    <w:rsid w:val="006D30B7"/>
    <w:rsid w:val="006D4F10"/>
    <w:rsid w:val="006D5080"/>
    <w:rsid w:val="006D5699"/>
    <w:rsid w:val="006D56CD"/>
    <w:rsid w:val="006E5AC4"/>
    <w:rsid w:val="006E5B70"/>
    <w:rsid w:val="006E7774"/>
    <w:rsid w:val="006E786E"/>
    <w:rsid w:val="006F1B27"/>
    <w:rsid w:val="006F4F16"/>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0AE6"/>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3F5E"/>
    <w:rsid w:val="007968FE"/>
    <w:rsid w:val="007972D5"/>
    <w:rsid w:val="007A006C"/>
    <w:rsid w:val="007A019C"/>
    <w:rsid w:val="007A02EE"/>
    <w:rsid w:val="007A16FB"/>
    <w:rsid w:val="007A22A7"/>
    <w:rsid w:val="007A261A"/>
    <w:rsid w:val="007A526F"/>
    <w:rsid w:val="007A5657"/>
    <w:rsid w:val="007A5FC5"/>
    <w:rsid w:val="007A7C60"/>
    <w:rsid w:val="007A7ED1"/>
    <w:rsid w:val="007B211D"/>
    <w:rsid w:val="007B23BC"/>
    <w:rsid w:val="007B37C8"/>
    <w:rsid w:val="007B509C"/>
    <w:rsid w:val="007B65B8"/>
    <w:rsid w:val="007B7E53"/>
    <w:rsid w:val="007C0899"/>
    <w:rsid w:val="007C1092"/>
    <w:rsid w:val="007C1E53"/>
    <w:rsid w:val="007C23F2"/>
    <w:rsid w:val="007C24A9"/>
    <w:rsid w:val="007C41AA"/>
    <w:rsid w:val="007C4DAC"/>
    <w:rsid w:val="007C6184"/>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1F"/>
    <w:rsid w:val="007F39FA"/>
    <w:rsid w:val="007F4039"/>
    <w:rsid w:val="007F58BA"/>
    <w:rsid w:val="007F6BDB"/>
    <w:rsid w:val="007F748D"/>
    <w:rsid w:val="00801702"/>
    <w:rsid w:val="00801C84"/>
    <w:rsid w:val="00801F8F"/>
    <w:rsid w:val="00803E96"/>
    <w:rsid w:val="00807062"/>
    <w:rsid w:val="008071AB"/>
    <w:rsid w:val="008118D0"/>
    <w:rsid w:val="00811E7F"/>
    <w:rsid w:val="008124B6"/>
    <w:rsid w:val="00812580"/>
    <w:rsid w:val="00821025"/>
    <w:rsid w:val="0082207F"/>
    <w:rsid w:val="00823811"/>
    <w:rsid w:val="00825375"/>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5392"/>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86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1BB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1165"/>
    <w:rsid w:val="009E2BDB"/>
    <w:rsid w:val="009E417E"/>
    <w:rsid w:val="009E52EF"/>
    <w:rsid w:val="009E5947"/>
    <w:rsid w:val="009E761C"/>
    <w:rsid w:val="009F26C0"/>
    <w:rsid w:val="009F308A"/>
    <w:rsid w:val="009F57D1"/>
    <w:rsid w:val="009F5E71"/>
    <w:rsid w:val="009F6E97"/>
    <w:rsid w:val="009F7B8C"/>
    <w:rsid w:val="00A011D4"/>
    <w:rsid w:val="00A012C7"/>
    <w:rsid w:val="00A01FF5"/>
    <w:rsid w:val="00A03959"/>
    <w:rsid w:val="00A03AD7"/>
    <w:rsid w:val="00A04291"/>
    <w:rsid w:val="00A07F91"/>
    <w:rsid w:val="00A107D7"/>
    <w:rsid w:val="00A10D57"/>
    <w:rsid w:val="00A13E2A"/>
    <w:rsid w:val="00A14049"/>
    <w:rsid w:val="00A16B81"/>
    <w:rsid w:val="00A16E58"/>
    <w:rsid w:val="00A2352C"/>
    <w:rsid w:val="00A2445D"/>
    <w:rsid w:val="00A30B87"/>
    <w:rsid w:val="00A32194"/>
    <w:rsid w:val="00A32BCC"/>
    <w:rsid w:val="00A3385E"/>
    <w:rsid w:val="00A36EBA"/>
    <w:rsid w:val="00A3703E"/>
    <w:rsid w:val="00A3713E"/>
    <w:rsid w:val="00A3786E"/>
    <w:rsid w:val="00A42F8A"/>
    <w:rsid w:val="00A4312D"/>
    <w:rsid w:val="00A509D3"/>
    <w:rsid w:val="00A51734"/>
    <w:rsid w:val="00A51AD4"/>
    <w:rsid w:val="00A5296E"/>
    <w:rsid w:val="00A56B9D"/>
    <w:rsid w:val="00A57789"/>
    <w:rsid w:val="00A639B8"/>
    <w:rsid w:val="00A642BE"/>
    <w:rsid w:val="00A6633B"/>
    <w:rsid w:val="00A6651F"/>
    <w:rsid w:val="00A66710"/>
    <w:rsid w:val="00A67774"/>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30CE"/>
    <w:rsid w:val="00AC5812"/>
    <w:rsid w:val="00AC5CFD"/>
    <w:rsid w:val="00AC6D47"/>
    <w:rsid w:val="00AD4396"/>
    <w:rsid w:val="00AD5001"/>
    <w:rsid w:val="00AD52F8"/>
    <w:rsid w:val="00AD7F22"/>
    <w:rsid w:val="00AE0F04"/>
    <w:rsid w:val="00AE397A"/>
    <w:rsid w:val="00AE4701"/>
    <w:rsid w:val="00AE66E0"/>
    <w:rsid w:val="00AE748E"/>
    <w:rsid w:val="00AF5086"/>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1386"/>
    <w:rsid w:val="00B23663"/>
    <w:rsid w:val="00B25450"/>
    <w:rsid w:val="00B314A2"/>
    <w:rsid w:val="00B32B6F"/>
    <w:rsid w:val="00B33E41"/>
    <w:rsid w:val="00B35AD1"/>
    <w:rsid w:val="00B36B1F"/>
    <w:rsid w:val="00B40E55"/>
    <w:rsid w:val="00B437D8"/>
    <w:rsid w:val="00B470DA"/>
    <w:rsid w:val="00B51AC8"/>
    <w:rsid w:val="00B520CF"/>
    <w:rsid w:val="00B52269"/>
    <w:rsid w:val="00B54217"/>
    <w:rsid w:val="00B573B1"/>
    <w:rsid w:val="00B614A3"/>
    <w:rsid w:val="00B61B57"/>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6E0B"/>
    <w:rsid w:val="00BB7BE8"/>
    <w:rsid w:val="00BC02FA"/>
    <w:rsid w:val="00BC0A72"/>
    <w:rsid w:val="00BC0CD6"/>
    <w:rsid w:val="00BC2466"/>
    <w:rsid w:val="00BC579A"/>
    <w:rsid w:val="00BC661C"/>
    <w:rsid w:val="00BD0024"/>
    <w:rsid w:val="00BD0533"/>
    <w:rsid w:val="00BD22FE"/>
    <w:rsid w:val="00BD34D3"/>
    <w:rsid w:val="00BD69CF"/>
    <w:rsid w:val="00BD6F4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0A1E"/>
    <w:rsid w:val="00C71AEC"/>
    <w:rsid w:val="00C77C1E"/>
    <w:rsid w:val="00C81AC2"/>
    <w:rsid w:val="00C83A66"/>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5174"/>
    <w:rsid w:val="00D1720D"/>
    <w:rsid w:val="00D17B1A"/>
    <w:rsid w:val="00D209D5"/>
    <w:rsid w:val="00D20D87"/>
    <w:rsid w:val="00D2282F"/>
    <w:rsid w:val="00D24556"/>
    <w:rsid w:val="00D26A00"/>
    <w:rsid w:val="00D2747B"/>
    <w:rsid w:val="00D2758B"/>
    <w:rsid w:val="00D27AF4"/>
    <w:rsid w:val="00D31745"/>
    <w:rsid w:val="00D35365"/>
    <w:rsid w:val="00D3729B"/>
    <w:rsid w:val="00D37662"/>
    <w:rsid w:val="00D40B37"/>
    <w:rsid w:val="00D4354B"/>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1FF9"/>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76DC5"/>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A484A"/>
    <w:rsid w:val="00EB1FFC"/>
    <w:rsid w:val="00EB209D"/>
    <w:rsid w:val="00EB277B"/>
    <w:rsid w:val="00EB323D"/>
    <w:rsid w:val="00EB3DDE"/>
    <w:rsid w:val="00EB3FBA"/>
    <w:rsid w:val="00EB5B27"/>
    <w:rsid w:val="00EC5782"/>
    <w:rsid w:val="00EC5D45"/>
    <w:rsid w:val="00EC5DAC"/>
    <w:rsid w:val="00EC7EDE"/>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0995"/>
    <w:rsid w:val="00F138D1"/>
    <w:rsid w:val="00F148EB"/>
    <w:rsid w:val="00F14FDC"/>
    <w:rsid w:val="00F1500A"/>
    <w:rsid w:val="00F1545B"/>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4E4E"/>
    <w:rsid w:val="00F3506F"/>
    <w:rsid w:val="00F35681"/>
    <w:rsid w:val="00F35C0A"/>
    <w:rsid w:val="00F419FE"/>
    <w:rsid w:val="00F41B13"/>
    <w:rsid w:val="00F46B85"/>
    <w:rsid w:val="00F47930"/>
    <w:rsid w:val="00F5030E"/>
    <w:rsid w:val="00F50E2C"/>
    <w:rsid w:val="00F5165D"/>
    <w:rsid w:val="00F526A1"/>
    <w:rsid w:val="00F52BB0"/>
    <w:rsid w:val="00F55E1C"/>
    <w:rsid w:val="00F56A1C"/>
    <w:rsid w:val="00F56F97"/>
    <w:rsid w:val="00F57761"/>
    <w:rsid w:val="00F60B10"/>
    <w:rsid w:val="00F60FA6"/>
    <w:rsid w:val="00F65380"/>
    <w:rsid w:val="00F66D1B"/>
    <w:rsid w:val="00F763EC"/>
    <w:rsid w:val="00F767CD"/>
    <w:rsid w:val="00F80708"/>
    <w:rsid w:val="00F81B23"/>
    <w:rsid w:val="00F8500A"/>
    <w:rsid w:val="00F864C4"/>
    <w:rsid w:val="00F86A04"/>
    <w:rsid w:val="00F87B42"/>
    <w:rsid w:val="00F87BF8"/>
    <w:rsid w:val="00F93137"/>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2E34"/>
    <w:rsid w:val="00FE53F9"/>
    <w:rsid w:val="00FE5CE0"/>
    <w:rsid w:val="00FF45EB"/>
    <w:rsid w:val="00FF719E"/>
    <w:rsid w:val="00FF79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57AD0D"/>
  <w14:defaultImageDpi w14:val="0"/>
  <w15:docId w15:val="{5E600A8F-E310-3449-AE81-38E0D1C6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6016F1"/>
    <w:pPr>
      <w:keepNext/>
      <w:keepLines/>
      <w:spacing w:after="360" w:line="700" w:lineRule="exact"/>
      <w:outlineLvl w:val="0"/>
    </w:pPr>
    <w:rPr>
      <w:rFonts w:asciiTheme="majorHAnsi" w:eastAsiaTheme="majorEastAsia" w:hAnsiTheme="majorHAnsi" w:cs="Times New Roman (Headings CS)"/>
      <w:b/>
      <w:bCs/>
      <w:sz w:val="40"/>
      <w:szCs w:val="36"/>
      <w:lang w:val="en-GB"/>
    </w:rPr>
  </w:style>
  <w:style w:type="paragraph" w:styleId="Heading2">
    <w:name w:val="heading 2"/>
    <w:basedOn w:val="Normal"/>
    <w:next w:val="Normal"/>
    <w:link w:val="Heading2Char"/>
    <w:autoRedefine/>
    <w:uiPriority w:val="9"/>
    <w:unhideWhenUsed/>
    <w:qFormat/>
    <w:rsid w:val="006016F1"/>
    <w:pPr>
      <w:keepNext/>
      <w:keepLines/>
      <w:spacing w:before="120" w:after="240" w:line="460" w:lineRule="exact"/>
      <w:outlineLvl w:val="1"/>
    </w:pPr>
    <w:rPr>
      <w:rFonts w:asciiTheme="majorHAnsi" w:eastAsiaTheme="majorEastAsia" w:hAnsiTheme="majorHAnsi" w:cs="Times New Roman (Headings CS)"/>
      <w:b/>
      <w:bCs/>
      <w:color w:val="000000" w:themeColor="text1"/>
      <w:sz w:val="32"/>
      <w:szCs w:val="36"/>
      <w:lang w:val="en-GB"/>
    </w:rPr>
  </w:style>
  <w:style w:type="paragraph" w:styleId="Heading3">
    <w:name w:val="heading 3"/>
    <w:basedOn w:val="Normal"/>
    <w:next w:val="Normal"/>
    <w:link w:val="Heading3Char"/>
    <w:uiPriority w:val="9"/>
    <w:unhideWhenUsed/>
    <w:qFormat/>
    <w:rsid w:val="006C2141"/>
    <w:pPr>
      <w:keepNext/>
      <w:keepLines/>
      <w:numPr>
        <w:ilvl w:val="2"/>
        <w:numId w:val="63"/>
      </w:numPr>
      <w:spacing w:after="240" w:line="400" w:lineRule="exact"/>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6C2141"/>
    <w:pPr>
      <w:keepNext/>
      <w:keepLines/>
      <w:numPr>
        <w:ilvl w:val="3"/>
        <w:numId w:val="63"/>
      </w:numPr>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6C2141"/>
    <w:pPr>
      <w:keepNext/>
      <w:keepLines/>
      <w:numPr>
        <w:ilvl w:val="4"/>
        <w:numId w:val="63"/>
      </w:numPr>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6C2141"/>
    <w:pPr>
      <w:numPr>
        <w:ilvl w:val="5"/>
      </w:numPr>
      <w:spacing w:after="120"/>
      <w:outlineLvl w:val="5"/>
    </w:pPr>
    <w:rPr>
      <w:sz w:val="24"/>
    </w:rPr>
  </w:style>
  <w:style w:type="paragraph" w:styleId="Heading7">
    <w:name w:val="heading 7"/>
    <w:basedOn w:val="Normal"/>
    <w:next w:val="Normal"/>
    <w:link w:val="Heading7Char"/>
    <w:uiPriority w:val="9"/>
    <w:unhideWhenUsed/>
    <w:qFormat/>
    <w:rsid w:val="006C2141"/>
    <w:pPr>
      <w:keepNext/>
      <w:keepLines/>
      <w:numPr>
        <w:ilvl w:val="6"/>
        <w:numId w:val="63"/>
      </w:numPr>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6C2141"/>
    <w:pPr>
      <w:keepNext/>
      <w:keepLines/>
      <w:numPr>
        <w:ilvl w:val="7"/>
        <w:numId w:val="63"/>
      </w:numPr>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6C2141"/>
    <w:pPr>
      <w:keepNext/>
      <w:keepLines/>
      <w:numPr>
        <w:ilvl w:val="8"/>
        <w:numId w:val="63"/>
      </w:numPr>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7A7C60"/>
    <w:pPr>
      <w:spacing w:after="240" w:line="1000" w:lineRule="exact"/>
    </w:pPr>
    <w:rPr>
      <w:rFonts w:asciiTheme="majorHAnsi" w:eastAsiaTheme="majorEastAsia" w:hAnsiTheme="majorHAnsi" w:cs="Times New Roman (Headings CS)"/>
      <w:b/>
      <w:bCs/>
      <w:spacing w:val="8"/>
      <w:kern w:val="28"/>
      <w:sz w:val="72"/>
      <w:szCs w:val="58"/>
      <w:lang w:val="en-GB"/>
    </w:rPr>
  </w:style>
  <w:style w:type="character" w:customStyle="1" w:styleId="TitleChar">
    <w:name w:val="Title Char"/>
    <w:basedOn w:val="DefaultParagraphFont"/>
    <w:link w:val="Title"/>
    <w:uiPriority w:val="10"/>
    <w:rsid w:val="007A7C60"/>
    <w:rPr>
      <w:rFonts w:asciiTheme="majorHAnsi" w:eastAsiaTheme="majorEastAsia" w:hAnsiTheme="majorHAnsi" w:cs="Times New Roman (Headings CS)"/>
      <w:b/>
      <w:bCs/>
      <w:spacing w:val="8"/>
      <w:kern w:val="28"/>
      <w:sz w:val="72"/>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6016F1"/>
    <w:rPr>
      <w:rFonts w:asciiTheme="majorHAnsi" w:eastAsiaTheme="majorEastAsia" w:hAnsiTheme="majorHAnsi" w:cs="Times New Roman (Headings CS)"/>
      <w:b/>
      <w:bCs/>
      <w:sz w:val="40"/>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6016F1"/>
    <w:rPr>
      <w:rFonts w:asciiTheme="majorHAnsi" w:eastAsiaTheme="majorEastAsia" w:hAnsiTheme="majorHAnsi" w:cs="Times New Roman (Headings CS)"/>
      <w:b/>
      <w:bCs/>
      <w:color w:val="000000" w:themeColor="text1"/>
      <w:sz w:val="32"/>
      <w:szCs w:val="36"/>
      <w:lang w:val="en-GB"/>
    </w:rPr>
  </w:style>
  <w:style w:type="character" w:customStyle="1" w:styleId="Heading3Char">
    <w:name w:val="Heading 3 Char"/>
    <w:basedOn w:val="DefaultParagraphFont"/>
    <w:link w:val="Heading3"/>
    <w:uiPriority w:val="9"/>
    <w:rsid w:val="00671332"/>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5E1610"/>
    <w:pPr>
      <w:tabs>
        <w:tab w:val="left" w:pos="426"/>
        <w:tab w:val="right" w:leader="dot" w:pos="9628"/>
      </w:tabs>
      <w:spacing w:after="120" w:line="360" w:lineRule="auto"/>
    </w:pPr>
    <w:rPr>
      <w:rFonts w:asciiTheme="majorHAnsi" w:hAnsiTheme="majorHAnsi" w:cs="Arial (Headings)"/>
      <w:b/>
      <w:bCs/>
      <w:szCs w:val="24"/>
    </w:rPr>
  </w:style>
  <w:style w:type="paragraph" w:styleId="TOC2">
    <w:name w:val="toc 2"/>
    <w:basedOn w:val="Normal"/>
    <w:next w:val="Normal"/>
    <w:uiPriority w:val="39"/>
    <w:unhideWhenUsed/>
    <w:rsid w:val="005E1610"/>
    <w:pPr>
      <w:tabs>
        <w:tab w:val="left" w:pos="851"/>
        <w:tab w:val="right" w:leader="dot" w:pos="9628"/>
      </w:tabs>
      <w:spacing w:before="60" w:after="60" w:line="360" w:lineRule="auto"/>
      <w:ind w:left="567" w:hanging="141"/>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7C6184"/>
    <w:pPr>
      <w:numPr>
        <w:numId w:val="4"/>
      </w:numPr>
      <w:ind w:left="714" w:hanging="357"/>
      <w:contextualSpacing/>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7F391F"/>
    <w:pPr>
      <w:spacing w:before="240" w:after="240" w:line="240" w:lineRule="auto"/>
    </w:pPr>
    <w:rPr>
      <w:rFonts w:asciiTheme="majorHAnsi" w:eastAsiaTheme="majorEastAsia" w:hAnsiTheme="majorHAnsi" w:cs="Times New Roman (Headings CS)"/>
      <w:b/>
      <w:bCs/>
      <w:sz w:val="36"/>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9F7B8C"/>
    <w:pPr>
      <w:numPr>
        <w:numId w:val="22"/>
      </w:numPr>
      <w:spacing w:after="180" w:line="312" w:lineRule="auto"/>
      <w:ind w:left="357" w:hanging="357"/>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291651"/>
    <w:rPr>
      <w:color w:val="605E5C"/>
      <w:shd w:val="clear" w:color="auto" w:fill="E1DFDD"/>
    </w:rPr>
  </w:style>
  <w:style w:type="paragraph" w:customStyle="1" w:styleId="HighlightBox">
    <w:name w:val="Highlight Box"/>
    <w:basedOn w:val="BodyText"/>
    <w:qFormat/>
    <w:rsid w:val="003357C9"/>
    <w:pPr>
      <w:pBdr>
        <w:top w:val="single" w:sz="12" w:space="12" w:color="000000" w:themeColor="text1"/>
        <w:left w:val="single" w:sz="12" w:space="8" w:color="000000" w:themeColor="text1"/>
        <w:bottom w:val="single" w:sz="12" w:space="5" w:color="000000" w:themeColor="text1"/>
        <w:right w:val="single" w:sz="12" w:space="8" w:color="000000" w:themeColor="text1"/>
      </w:pBdr>
      <w:shd w:val="clear" w:color="auto" w:fill="F2F2F2" w:themeFill="background1" w:themeFillShade="F2"/>
      <w:snapToGrid w:val="0"/>
      <w:spacing w:before="120"/>
      <w:ind w:left="227" w:right="284"/>
    </w:pPr>
    <w:rPr>
      <w:color w:val="000000" w:themeColor="text1"/>
    </w:rPr>
  </w:style>
  <w:style w:type="numbering" w:customStyle="1" w:styleId="CurrentList19">
    <w:name w:val="Current List19"/>
    <w:uiPriority w:val="99"/>
    <w:rsid w:val="006C2141"/>
    <w:pPr>
      <w:numPr>
        <w:numId w:val="64"/>
      </w:numPr>
    </w:pPr>
  </w:style>
  <w:style w:type="numbering" w:customStyle="1" w:styleId="CurrentList20">
    <w:name w:val="Current List20"/>
    <w:uiPriority w:val="99"/>
    <w:rsid w:val="006C2141"/>
    <w:pPr>
      <w:numPr>
        <w:numId w:val="65"/>
      </w:numPr>
    </w:pPr>
  </w:style>
  <w:style w:type="numbering" w:customStyle="1" w:styleId="CurrentList21">
    <w:name w:val="Current List21"/>
    <w:uiPriority w:val="99"/>
    <w:rsid w:val="006C2141"/>
    <w:pPr>
      <w:numPr>
        <w:numId w:val="66"/>
      </w:numPr>
    </w:pPr>
  </w:style>
  <w:style w:type="numbering" w:customStyle="1" w:styleId="CurrentList22">
    <w:name w:val="Current List22"/>
    <w:uiPriority w:val="99"/>
    <w:rsid w:val="006C2141"/>
    <w:pPr>
      <w:numPr>
        <w:numId w:val="67"/>
      </w:numPr>
    </w:pPr>
  </w:style>
  <w:style w:type="numbering" w:customStyle="1" w:styleId="CurrentList23">
    <w:name w:val="Current List23"/>
    <w:uiPriority w:val="99"/>
    <w:rsid w:val="006C2141"/>
    <w:pPr>
      <w:numPr>
        <w:numId w:val="68"/>
      </w:numPr>
    </w:pPr>
  </w:style>
  <w:style w:type="paragraph" w:customStyle="1" w:styleId="H2Headings">
    <w:name w:val="H2 (Headings)"/>
    <w:basedOn w:val="NoParagraphStyle"/>
    <w:uiPriority w:val="99"/>
    <w:rsid w:val="00C70A1E"/>
    <w:pPr>
      <w:widowControl/>
      <w:tabs>
        <w:tab w:val="left" w:pos="340"/>
      </w:tabs>
      <w:suppressAutoHyphens/>
      <w:spacing w:before="113" w:after="142" w:line="280" w:lineRule="atLeast"/>
    </w:pPr>
    <w:rPr>
      <w:rFonts w:ascii="VIC SemiBold" w:hAnsi="VIC SemiBold" w:cs="VIC SemiBold"/>
      <w:b/>
      <w:bCs/>
      <w:color w:val="003A28"/>
      <w:lang w:val="en-GB"/>
    </w:rPr>
  </w:style>
  <w:style w:type="paragraph" w:customStyle="1" w:styleId="TableBodyLeftTables">
    <w:name w:val="Table Body_Left (Tables)"/>
    <w:basedOn w:val="NoParagraphStyle"/>
    <w:uiPriority w:val="99"/>
    <w:rsid w:val="00C70A1E"/>
    <w:pPr>
      <w:widowControl/>
      <w:suppressAutoHyphens/>
      <w:spacing w:after="113" w:line="210" w:lineRule="atLeast"/>
    </w:pPr>
    <w:rPr>
      <w:rFonts w:ascii="VIC Light" w:hAnsi="VIC Light" w:cs="VIC Light"/>
      <w:sz w:val="17"/>
      <w:szCs w:val="17"/>
      <w:lang w:val="en-GB"/>
    </w:rPr>
  </w:style>
  <w:style w:type="paragraph" w:customStyle="1" w:styleId="TableHeadingTables">
    <w:name w:val="Table Heading (Tables)"/>
    <w:basedOn w:val="Normal"/>
    <w:uiPriority w:val="99"/>
    <w:rsid w:val="00C70A1E"/>
    <w:pPr>
      <w:tabs>
        <w:tab w:val="left" w:pos="255"/>
        <w:tab w:val="left" w:pos="510"/>
      </w:tabs>
      <w:autoSpaceDE w:val="0"/>
      <w:autoSpaceDN w:val="0"/>
      <w:adjustRightInd w:val="0"/>
      <w:spacing w:after="113" w:line="200" w:lineRule="atLeast"/>
      <w:textAlignment w:val="center"/>
    </w:pPr>
    <w:rPr>
      <w:rFonts w:ascii="VIC Medium" w:hAnsi="VIC Medium" w:cs="VIC Medium"/>
      <w:color w:val="000000"/>
      <w:sz w:val="16"/>
      <w:szCs w:val="16"/>
      <w:lang w:val="en-GB"/>
    </w:rPr>
  </w:style>
  <w:style w:type="character" w:customStyle="1" w:styleId="White">
    <w:name w:val="White"/>
    <w:uiPriority w:val="99"/>
    <w:rsid w:val="00C70A1E"/>
    <w:rPr>
      <w:outline/>
    </w:rPr>
  </w:style>
  <w:style w:type="paragraph" w:styleId="FootnoteText">
    <w:name w:val="footnote text"/>
    <w:basedOn w:val="Normal"/>
    <w:link w:val="FootnoteTextChar"/>
    <w:uiPriority w:val="99"/>
    <w:semiHidden/>
    <w:unhideWhenUsed/>
    <w:rsid w:val="007C61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184"/>
    <w:rPr>
      <w:sz w:val="20"/>
      <w:szCs w:val="20"/>
    </w:rPr>
  </w:style>
  <w:style w:type="character" w:styleId="FootnoteReference">
    <w:name w:val="footnote reference"/>
    <w:basedOn w:val="DefaultParagraphFont"/>
    <w:unhideWhenUsed/>
    <w:rsid w:val="007C6184"/>
    <w:rPr>
      <w:vertAlign w:val="superscript"/>
    </w:rPr>
  </w:style>
  <w:style w:type="paragraph" w:customStyle="1" w:styleId="BasicParagraph">
    <w:name w:val="[Basic Paragraph]"/>
    <w:basedOn w:val="NoParagraphStyle"/>
    <w:uiPriority w:val="99"/>
    <w:rsid w:val="007C618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eeca.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omer.service@deeca.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rgy.upgrades@deeca.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ergy.vic.gov.au/victorian-energy-upgrades/about/strategic-revie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1237</Words>
  <Characters>7151</Characters>
  <Application>Microsoft Office Word</Application>
  <DocSecurity>8</DocSecurity>
  <Lines>145</Lines>
  <Paragraphs>86</Paragraphs>
  <ScaleCrop>false</ScaleCrop>
  <HeadingPairs>
    <vt:vector size="2" baseType="variant">
      <vt:variant>
        <vt:lpstr>Title</vt:lpstr>
      </vt:variant>
      <vt:variant>
        <vt:i4>1</vt:i4>
      </vt:variant>
    </vt:vector>
  </HeadingPairs>
  <TitlesOfParts>
    <vt:vector size="1" baseType="lpstr">
      <vt:lpstr>Summary report: Assessment of the Victorian Energy Upgrades program - 2021-2024</vt:lpstr>
    </vt:vector>
  </TitlesOfParts>
  <Manager>N/A</Manager>
  <Company>Department of Energy, Environment and Climate Action</Company>
  <LinksUpToDate>false</LinksUpToDate>
  <CharactersWithSpaces>8302</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Assessment of the Victorian Energy Upgrades program - 2021-2024</dc:title>
  <dc:subject/>
  <dc:creator>Department of Energy, Environment and Climate Action</dc:creator>
  <cp:keywords/>
  <dc:description>© The State of Victoria Department of Energy, Environment and Climate Action</dc:description>
  <cp:lastModifiedBy>Ella C De Cesare (DEECA)</cp:lastModifiedBy>
  <cp:revision>3</cp:revision>
  <dcterms:created xsi:type="dcterms:W3CDTF">2025-10-08T05:50:00Z</dcterms:created>
  <dcterms:modified xsi:type="dcterms:W3CDTF">2025-10-08T05:56:00Z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