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BCA" w:rsidRDefault="001A4BCA" w:rsidP="001A4BCA">
      <w:pPr>
        <w:pStyle w:val="introtext"/>
      </w:pPr>
    </w:p>
    <w:p w:rsidR="00C659E3" w:rsidRDefault="001C4809" w:rsidP="001A4BCA">
      <w:pPr>
        <w:pStyle w:val="introtext"/>
        <w:sectPr w:rsidR="00C659E3" w:rsidSect="00C659E3">
          <w:headerReference w:type="default" r:id="rId9"/>
          <w:footerReference w:type="default" r:id="rId10"/>
          <w:headerReference w:type="first" r:id="rId11"/>
          <w:footerReference w:type="first" r:id="rId12"/>
          <w:pgSz w:w="11906" w:h="16838"/>
          <w:pgMar w:top="1701" w:right="1440" w:bottom="1440" w:left="1440" w:header="1361" w:footer="567" w:gutter="0"/>
          <w:cols w:space="708"/>
          <w:titlePg/>
          <w:docGrid w:linePitch="360"/>
        </w:sectPr>
      </w:pPr>
      <w:r w:rsidRPr="001C4809">
        <w:t xml:space="preserve">The Department </w:t>
      </w:r>
      <w:r w:rsidR="00247785">
        <w:t xml:space="preserve">of Economic Development, Jobs, Transport and Resources </w:t>
      </w:r>
      <w:r w:rsidRPr="001C4809">
        <w:t xml:space="preserve">would like your feedback about </w:t>
      </w:r>
      <w:r w:rsidR="002569BF">
        <w:t>a new method</w:t>
      </w:r>
      <w:r w:rsidR="009F6117">
        <w:t xml:space="preserve">, known as </w:t>
      </w:r>
      <w:r w:rsidR="0080706B">
        <w:t>T</w:t>
      </w:r>
      <w:r w:rsidR="009F6117">
        <w:t xml:space="preserve">reatment and </w:t>
      </w:r>
      <w:r w:rsidR="0080706B">
        <w:t>C</w:t>
      </w:r>
      <w:r w:rsidR="009F6117">
        <w:t>ontrol,</w:t>
      </w:r>
      <w:r w:rsidR="00F40836">
        <w:t xml:space="preserve"> </w:t>
      </w:r>
      <w:r w:rsidR="002569BF">
        <w:t>for determining energy savings</w:t>
      </w:r>
      <w:r w:rsidR="002569BF" w:rsidDel="002569BF">
        <w:t xml:space="preserve"> </w:t>
      </w:r>
      <w:r>
        <w:t>for the</w:t>
      </w:r>
      <w:r w:rsidRPr="001C4809">
        <w:t xml:space="preserve"> Victorian Energy Efficiency Target (VEET) scheme</w:t>
      </w:r>
      <w:r w:rsidR="009D3C29">
        <w:t>.</w:t>
      </w:r>
    </w:p>
    <w:p w:rsidR="001C4809" w:rsidRPr="00C659E3" w:rsidRDefault="001C4809" w:rsidP="001C4809">
      <w:pPr>
        <w:pStyle w:val="heading1blue"/>
      </w:pPr>
      <w:r>
        <w:lastRenderedPageBreak/>
        <w:t>The VEET scheme</w:t>
      </w:r>
    </w:p>
    <w:p w:rsidR="001C4809" w:rsidRDefault="001C4809" w:rsidP="001C4809">
      <w:pPr>
        <w:pStyle w:val="bodycopy"/>
      </w:pPr>
      <w:r>
        <w:t xml:space="preserve">The </w:t>
      </w:r>
      <w:r w:rsidRPr="009B5A0D">
        <w:t xml:space="preserve">Victorian Energy Efficiency Target </w:t>
      </w:r>
      <w:r>
        <w:t>(VEET) scheme is a market-based scheme that incentivises energy efficiency upgrades, reduces greenhouse gas emissions, encourages investment and jobs and develops technology in Victoria.</w:t>
      </w:r>
    </w:p>
    <w:p w:rsidR="00F25815" w:rsidRDefault="00F25815" w:rsidP="00F25815">
      <w:pPr>
        <w:pStyle w:val="bodycopy"/>
      </w:pPr>
      <w:r>
        <w:t xml:space="preserve">Under the VEET scheme, </w:t>
      </w:r>
      <w:r w:rsidR="00247785">
        <w:t xml:space="preserve">accredited organisations known as </w:t>
      </w:r>
      <w:r w:rsidR="00C15034">
        <w:t xml:space="preserve">Accredited Persons (APs) can create </w:t>
      </w:r>
      <w:r>
        <w:t xml:space="preserve">certificates </w:t>
      </w:r>
      <w:r w:rsidR="005751D3">
        <w:t xml:space="preserve">known as Victorian Energy Efficiency Certificates (VEECs) </w:t>
      </w:r>
      <w:r>
        <w:t xml:space="preserve">for undertaking </w:t>
      </w:r>
      <w:r w:rsidR="00247785">
        <w:t xml:space="preserve">energy efficiency </w:t>
      </w:r>
      <w:r>
        <w:t>activities</w:t>
      </w:r>
      <w:r w:rsidR="00247785">
        <w:t>.</w:t>
      </w:r>
      <w:r>
        <w:t xml:space="preserve"> </w:t>
      </w:r>
      <w:r w:rsidR="00C15034">
        <w:t xml:space="preserve">Each </w:t>
      </w:r>
      <w:r w:rsidR="005751D3">
        <w:t xml:space="preserve">VEEC </w:t>
      </w:r>
      <w:r w:rsidR="00C15034">
        <w:t xml:space="preserve">is equivalent to </w:t>
      </w:r>
      <w:r w:rsidR="00247785">
        <w:t xml:space="preserve">one </w:t>
      </w:r>
      <w:r w:rsidR="00C15034">
        <w:t xml:space="preserve">tonne of greenhouse gas reduced or avoided. </w:t>
      </w:r>
      <w:r w:rsidR="005751D3">
        <w:t>The scheme is administered by the Essential Service Commission (ESC).</w:t>
      </w:r>
    </w:p>
    <w:p w:rsidR="006460F7" w:rsidRDefault="006460F7" w:rsidP="00F25815">
      <w:pPr>
        <w:pStyle w:val="bodycopy"/>
      </w:pPr>
      <w:r>
        <w:t xml:space="preserve">The Victorian Government is strengthening the VEET scheme. As part of this, there is a need to create greater opportunities for businesses and other consumers to benefit from the scheme. </w:t>
      </w:r>
    </w:p>
    <w:p w:rsidR="00247785" w:rsidRPr="007A61F4" w:rsidRDefault="00247785" w:rsidP="00F25815">
      <w:pPr>
        <w:pStyle w:val="bodycopy"/>
        <w:rPr>
          <w:color w:val="064EA8"/>
          <w:sz w:val="24"/>
        </w:rPr>
      </w:pPr>
      <w:r w:rsidRPr="007A61F4">
        <w:rPr>
          <w:color w:val="064EA8"/>
          <w:sz w:val="24"/>
        </w:rPr>
        <w:t>Project Based Activities</w:t>
      </w:r>
    </w:p>
    <w:p w:rsidR="00F4533F" w:rsidRDefault="00247785" w:rsidP="00F25815">
      <w:pPr>
        <w:pStyle w:val="bodycopy"/>
      </w:pPr>
      <w:r>
        <w:t>Until now, t</w:t>
      </w:r>
      <w:r w:rsidR="00F25815">
        <w:t xml:space="preserve">he </w:t>
      </w:r>
      <w:r w:rsidR="00E50576">
        <w:t>methods used</w:t>
      </w:r>
      <w:r>
        <w:t xml:space="preserve"> for </w:t>
      </w:r>
      <w:r w:rsidR="002569BF">
        <w:t xml:space="preserve">determining </w:t>
      </w:r>
      <w:r>
        <w:t xml:space="preserve">the </w:t>
      </w:r>
      <w:r w:rsidR="00C15034">
        <w:t xml:space="preserve">energy savings for </w:t>
      </w:r>
      <w:r>
        <w:t xml:space="preserve">activities under the VEET scheme have </w:t>
      </w:r>
      <w:r w:rsidR="00F25815">
        <w:t xml:space="preserve">all </w:t>
      </w:r>
      <w:r>
        <w:t xml:space="preserve">been what </w:t>
      </w:r>
      <w:r w:rsidR="009F6117">
        <w:t xml:space="preserve">are </w:t>
      </w:r>
      <w:r>
        <w:t xml:space="preserve">known as </w:t>
      </w:r>
      <w:r w:rsidR="00F25815" w:rsidRPr="00826945">
        <w:rPr>
          <w:b/>
          <w:i/>
        </w:rPr>
        <w:t>deemed methods</w:t>
      </w:r>
      <w:r w:rsidR="00C15034">
        <w:t xml:space="preserve">. </w:t>
      </w:r>
      <w:r>
        <w:t>This means that t</w:t>
      </w:r>
      <w:r w:rsidR="00F25815">
        <w:t>he calculation</w:t>
      </w:r>
      <w:r>
        <w:t xml:space="preserve">s used regarding the </w:t>
      </w:r>
      <w:r w:rsidR="00F25815">
        <w:t xml:space="preserve">energy savings </w:t>
      </w:r>
      <w:r>
        <w:t xml:space="preserve">of any given activity have been </w:t>
      </w:r>
      <w:r w:rsidR="00F25815">
        <w:t xml:space="preserve">based on </w:t>
      </w:r>
      <w:r w:rsidR="006640F7">
        <w:t>reasonable averages for such things as the normal efficiency of a certain product</w:t>
      </w:r>
      <w:r w:rsidR="00F25815">
        <w:t xml:space="preserve"> and </w:t>
      </w:r>
      <w:r w:rsidR="006640F7">
        <w:t xml:space="preserve">the </w:t>
      </w:r>
      <w:r w:rsidR="00A73418">
        <w:t>operating hours</w:t>
      </w:r>
      <w:r w:rsidR="006640F7">
        <w:t xml:space="preserve"> for which it is used.</w:t>
      </w:r>
      <w:r w:rsidR="00A73418">
        <w:t xml:space="preserve"> </w:t>
      </w:r>
      <w:r w:rsidR="006640F7">
        <w:t>Deemed methods are specific to individual products.</w:t>
      </w:r>
      <w:r w:rsidR="00F40836">
        <w:t xml:space="preserve"> </w:t>
      </w:r>
    </w:p>
    <w:p w:rsidR="006640F7" w:rsidRDefault="006640F7" w:rsidP="00D76005">
      <w:pPr>
        <w:pStyle w:val="bodycopy"/>
      </w:pPr>
      <w:r>
        <w:lastRenderedPageBreak/>
        <w:t xml:space="preserve">However, some situations need a more detailed and tailored approach to </w:t>
      </w:r>
      <w:r w:rsidR="006460F7">
        <w:t xml:space="preserve">determining </w:t>
      </w:r>
      <w:r>
        <w:t>energy savings. For this reason three new measurement methods are being proposed</w:t>
      </w:r>
      <w:r w:rsidR="00235EF8">
        <w:t xml:space="preserve">, </w:t>
      </w:r>
      <w:r>
        <w:t xml:space="preserve">known as </w:t>
      </w:r>
      <w:r w:rsidRPr="00826945">
        <w:rPr>
          <w:b/>
          <w:i/>
        </w:rPr>
        <w:t>Pro</w:t>
      </w:r>
      <w:r w:rsidR="00235EF8" w:rsidRPr="00826945">
        <w:rPr>
          <w:b/>
          <w:i/>
        </w:rPr>
        <w:t>ject Based A</w:t>
      </w:r>
      <w:r w:rsidRPr="00826945">
        <w:rPr>
          <w:b/>
          <w:i/>
        </w:rPr>
        <w:t>ctivities</w:t>
      </w:r>
      <w:r>
        <w:t xml:space="preserve"> (PBAs).</w:t>
      </w:r>
    </w:p>
    <w:p w:rsidR="00F25815" w:rsidRDefault="006460F7" w:rsidP="00D76005">
      <w:pPr>
        <w:pStyle w:val="bodycopy"/>
      </w:pPr>
      <w:r>
        <w:t xml:space="preserve">These are activities where the number of certificates that can be claimed is specific to a given project. They will often involve the direct measurement of energy consumption and are designed to credit a wide range of technologies. The </w:t>
      </w:r>
      <w:r w:rsidR="009F6117">
        <w:t>d</w:t>
      </w:r>
      <w:r>
        <w:t xml:space="preserve">epartment is seeking your feedback about each of these proposed new methods. </w:t>
      </w:r>
      <w:r w:rsidR="00E50576">
        <w:t>This document explains one of these</w:t>
      </w:r>
      <w:r w:rsidR="00D41835">
        <w:t xml:space="preserve"> methods</w:t>
      </w:r>
      <w:r w:rsidR="00E50576">
        <w:t xml:space="preserve">, known as </w:t>
      </w:r>
      <w:r w:rsidR="00E50576" w:rsidRPr="00826945">
        <w:rPr>
          <w:b/>
          <w:i/>
        </w:rPr>
        <w:t>Treatment and Control</w:t>
      </w:r>
      <w:r w:rsidR="00E50576">
        <w:t>.</w:t>
      </w:r>
    </w:p>
    <w:p w:rsidR="00E50576" w:rsidRPr="00FE0EBD" w:rsidRDefault="00E50576" w:rsidP="00E50576">
      <w:pPr>
        <w:pStyle w:val="bodycopy"/>
        <w:rPr>
          <w:color w:val="064EA8"/>
          <w:sz w:val="24"/>
        </w:rPr>
      </w:pPr>
      <w:r w:rsidRPr="00FE0EBD">
        <w:rPr>
          <w:color w:val="064EA8"/>
          <w:sz w:val="24"/>
        </w:rPr>
        <w:t>Reading this document</w:t>
      </w:r>
    </w:p>
    <w:p w:rsidR="00E50576" w:rsidRDefault="00E50576" w:rsidP="00E50576">
      <w:pPr>
        <w:pStyle w:val="bodycopy"/>
      </w:pPr>
      <w:r>
        <w:t xml:space="preserve">This document is intended to be read in conjunction with the proposed amendments to the VEET Regulations to do with the Treatment and Control method. These will be added as </w:t>
      </w:r>
      <w:r w:rsidR="00D41835">
        <w:t xml:space="preserve">new </w:t>
      </w:r>
      <w:r>
        <w:t>Schedule 39. Please refer to the proposed amendments to the Regulations before providing any feedback.</w:t>
      </w:r>
      <w:r w:rsidR="001F418F">
        <w:t xml:space="preserve"> These can be found online at </w:t>
      </w:r>
      <w:hyperlink r:id="rId13" w:history="1">
        <w:r w:rsidR="001F418F" w:rsidRPr="00FD261A">
          <w:rPr>
            <w:rStyle w:val="Hyperlink"/>
          </w:rPr>
          <w:t>www.energyandresources.vic.gov.au/esi</w:t>
        </w:r>
      </w:hyperlink>
    </w:p>
    <w:p w:rsidR="00A73418" w:rsidRDefault="0091008C" w:rsidP="00A73418">
      <w:pPr>
        <w:pStyle w:val="heading1blue"/>
      </w:pPr>
      <w:r>
        <w:t>Treatment and Control</w:t>
      </w:r>
      <w:r w:rsidR="00A73418">
        <w:t xml:space="preserve"> method</w:t>
      </w:r>
    </w:p>
    <w:p w:rsidR="00134445" w:rsidRDefault="00A33D7B" w:rsidP="00A33D7B">
      <w:pPr>
        <w:pStyle w:val="bodycopy"/>
      </w:pPr>
      <w:r>
        <w:t>Th</w:t>
      </w:r>
      <w:r w:rsidR="0091274B">
        <w:t>e Treatm</w:t>
      </w:r>
      <w:r w:rsidR="00C12AFA">
        <w:t>e</w:t>
      </w:r>
      <w:r w:rsidR="0091274B">
        <w:t>nt and Control</w:t>
      </w:r>
      <w:r>
        <w:t xml:space="preserve"> method is designed to incentivise </w:t>
      </w:r>
      <w:r w:rsidR="00134445">
        <w:t xml:space="preserve">providing energy efficiency goods or services to a large group of energy consumers, such as households or small businesses. </w:t>
      </w:r>
    </w:p>
    <w:p w:rsidR="00134445" w:rsidRDefault="00134445" w:rsidP="00134445">
      <w:pPr>
        <w:pStyle w:val="bodycopy"/>
      </w:pPr>
      <w:r>
        <w:t xml:space="preserve">These goods or services are called the </w:t>
      </w:r>
      <w:r w:rsidRPr="00D85D74">
        <w:rPr>
          <w:b/>
          <w:i/>
        </w:rPr>
        <w:t>treatment</w:t>
      </w:r>
      <w:r>
        <w:t xml:space="preserve"> and the sites that receive these </w:t>
      </w:r>
      <w:r>
        <w:lastRenderedPageBreak/>
        <w:t xml:space="preserve">goods or services are collectively called the </w:t>
      </w:r>
      <w:r w:rsidRPr="00D85D74">
        <w:rPr>
          <w:b/>
          <w:i/>
        </w:rPr>
        <w:t>treatment premises</w:t>
      </w:r>
      <w:r>
        <w:rPr>
          <w:rStyle w:val="FootnoteReference"/>
          <w:b/>
          <w:i/>
        </w:rPr>
        <w:footnoteReference w:id="1"/>
      </w:r>
      <w:r>
        <w:t>.</w:t>
      </w:r>
    </w:p>
    <w:p w:rsidR="00134445" w:rsidRDefault="00134445" w:rsidP="00134445">
      <w:pPr>
        <w:pStyle w:val="bodycopy"/>
      </w:pPr>
      <w:r>
        <w:t xml:space="preserve">The </w:t>
      </w:r>
      <w:r w:rsidR="0091008C">
        <w:t>Treatment and Control</w:t>
      </w:r>
      <w:r>
        <w:t xml:space="preserve"> method creates a way of measuring the effect </w:t>
      </w:r>
      <w:r w:rsidR="0091274B">
        <w:t xml:space="preserve">of </w:t>
      </w:r>
      <w:r>
        <w:t xml:space="preserve">the treatment by comparing the treatment premises to a group of </w:t>
      </w:r>
      <w:r w:rsidR="0091274B">
        <w:t>sites which</w:t>
      </w:r>
      <w:r>
        <w:t xml:space="preserve"> did not receive the treatment</w:t>
      </w:r>
      <w:r w:rsidR="0091274B">
        <w:t xml:space="preserve">, </w:t>
      </w:r>
      <w:r>
        <w:t xml:space="preserve">called the </w:t>
      </w:r>
      <w:r w:rsidRPr="00406933">
        <w:rPr>
          <w:b/>
          <w:i/>
        </w:rPr>
        <w:t xml:space="preserve">control </w:t>
      </w:r>
      <w:r>
        <w:rPr>
          <w:b/>
          <w:i/>
        </w:rPr>
        <w:t>premises</w:t>
      </w:r>
      <w:r>
        <w:t>.</w:t>
      </w:r>
      <w:r w:rsidR="00F40836">
        <w:t xml:space="preserve"> </w:t>
      </w:r>
    </w:p>
    <w:p w:rsidR="00A33D7B" w:rsidRDefault="0091274B" w:rsidP="00A33D7B">
      <w:pPr>
        <w:pStyle w:val="bodycopy"/>
      </w:pPr>
      <w:r>
        <w:t xml:space="preserve">It is envisaged that </w:t>
      </w:r>
      <w:r w:rsidR="00D41835">
        <w:t>most</w:t>
      </w:r>
      <w:r w:rsidR="00A33D7B">
        <w:t xml:space="preserve"> activities </w:t>
      </w:r>
      <w:r w:rsidR="00D41835">
        <w:t>that use this method are</w:t>
      </w:r>
      <w:r>
        <w:t xml:space="preserve"> </w:t>
      </w:r>
      <w:r w:rsidR="00A33D7B">
        <w:t xml:space="preserve">likely to be </w:t>
      </w:r>
      <w:r>
        <w:t xml:space="preserve">those that </w:t>
      </w:r>
      <w:r w:rsidR="001F418F">
        <w:t xml:space="preserve">seek to influence </w:t>
      </w:r>
      <w:r w:rsidR="00A33D7B">
        <w:t>behaviour chang</w:t>
      </w:r>
      <w:r w:rsidR="00D41835">
        <w:t>e, such as</w:t>
      </w:r>
      <w:r w:rsidR="00A33D7B">
        <w:t>:</w:t>
      </w:r>
    </w:p>
    <w:p w:rsidR="00A33D7B" w:rsidRDefault="009F6117" w:rsidP="00134445">
      <w:pPr>
        <w:pStyle w:val="dotpoints"/>
        <w:spacing w:line="240" w:lineRule="auto"/>
        <w:contextualSpacing w:val="0"/>
      </w:pPr>
      <w:r>
        <w:t>h</w:t>
      </w:r>
      <w:r w:rsidR="001F418F">
        <w:t xml:space="preserve">ousehold energy audits </w:t>
      </w:r>
      <w:r>
        <w:t xml:space="preserve">that </w:t>
      </w:r>
      <w:r w:rsidR="001F418F">
        <w:t xml:space="preserve">include tailored </w:t>
      </w:r>
      <w:r w:rsidR="00CF03DE">
        <w:t xml:space="preserve">advice </w:t>
      </w:r>
      <w:r w:rsidR="001F418F">
        <w:t xml:space="preserve">about changing certain energy </w:t>
      </w:r>
      <w:r w:rsidR="00CF03DE">
        <w:t>use</w:t>
      </w:r>
      <w:r w:rsidR="001F418F">
        <w:t xml:space="preserve"> behaviours</w:t>
      </w:r>
    </w:p>
    <w:p w:rsidR="00A33D7B" w:rsidRDefault="009F6117" w:rsidP="00134445">
      <w:pPr>
        <w:pStyle w:val="dotpoints"/>
        <w:spacing w:line="240" w:lineRule="auto"/>
        <w:contextualSpacing w:val="0"/>
      </w:pPr>
      <w:r>
        <w:t>i</w:t>
      </w:r>
      <w:r w:rsidR="001F418F">
        <w:t>nitiatives that target specific</w:t>
      </w:r>
      <w:r w:rsidR="00A33D7B">
        <w:t xml:space="preserve"> energy saving behaviour changes</w:t>
      </w:r>
      <w:r>
        <w:t>,</w:t>
      </w:r>
      <w:r w:rsidR="001F418F">
        <w:t xml:space="preserve"> such as </w:t>
      </w:r>
      <w:r w:rsidR="00A33D7B">
        <w:t>turning down the heater thermostat</w:t>
      </w:r>
      <w:r w:rsidR="001F418F">
        <w:t xml:space="preserve"> or taking a shorter shower</w:t>
      </w:r>
    </w:p>
    <w:p w:rsidR="00A33D7B" w:rsidRDefault="009F6117" w:rsidP="00134445">
      <w:pPr>
        <w:pStyle w:val="dotpoints"/>
        <w:spacing w:line="240" w:lineRule="auto"/>
        <w:contextualSpacing w:val="0"/>
      </w:pPr>
      <w:r>
        <w:t>d</w:t>
      </w:r>
      <w:r w:rsidR="00A33D7B">
        <w:t xml:space="preserve">iscounts or vouchers for the purchase of new energy efficient equipment. </w:t>
      </w:r>
    </w:p>
    <w:p w:rsidR="00D85D74" w:rsidRDefault="00F674BB" w:rsidP="00BB1883">
      <w:pPr>
        <w:pStyle w:val="heading1blue"/>
      </w:pPr>
      <w:r>
        <w:t>How the method works</w:t>
      </w:r>
    </w:p>
    <w:p w:rsidR="00134445" w:rsidRDefault="001F418F" w:rsidP="00134445">
      <w:r>
        <w:t>Participating sites</w:t>
      </w:r>
      <w:r w:rsidR="00134445">
        <w:t xml:space="preserve"> must be randomly selected from a larger group of similar sites (called a </w:t>
      </w:r>
      <w:r w:rsidR="00134445" w:rsidRPr="00406933">
        <w:rPr>
          <w:b/>
          <w:i/>
        </w:rPr>
        <w:t>population</w:t>
      </w:r>
      <w:r w:rsidR="00134445">
        <w:t xml:space="preserve">). An example of a population </w:t>
      </w:r>
      <w:r w:rsidR="00D41835">
        <w:t>might</w:t>
      </w:r>
      <w:r w:rsidR="00134445">
        <w:t xml:space="preserve"> be the residential customers of a </w:t>
      </w:r>
      <w:r w:rsidR="00D41835">
        <w:t xml:space="preserve">specific </w:t>
      </w:r>
      <w:r w:rsidR="00134445">
        <w:t xml:space="preserve">energy retailer living in a </w:t>
      </w:r>
      <w:r w:rsidR="00D41835">
        <w:t xml:space="preserve">certain </w:t>
      </w:r>
      <w:r w:rsidR="00134445">
        <w:t xml:space="preserve">area. </w:t>
      </w:r>
    </w:p>
    <w:p w:rsidR="00575D3A" w:rsidRDefault="00575D3A" w:rsidP="00134445"/>
    <w:p w:rsidR="00134445" w:rsidRDefault="007D143F" w:rsidP="00D85D74">
      <w:r>
        <w:t>Assigning any given premises to either t</w:t>
      </w:r>
      <w:r w:rsidR="00E33A6C">
        <w:t xml:space="preserve">he </w:t>
      </w:r>
      <w:r w:rsidR="00F40836">
        <w:t>t</w:t>
      </w:r>
      <w:r w:rsidR="0091008C">
        <w:t xml:space="preserve">reatment </w:t>
      </w:r>
      <w:r>
        <w:t xml:space="preserve">group or the </w:t>
      </w:r>
      <w:r w:rsidR="00F40836">
        <w:t>c</w:t>
      </w:r>
      <w:r w:rsidR="0091008C">
        <w:t>ontrol</w:t>
      </w:r>
      <w:r w:rsidR="00E33A6C">
        <w:t xml:space="preserve"> </w:t>
      </w:r>
      <w:r>
        <w:t>group</w:t>
      </w:r>
      <w:r w:rsidR="00575D3A">
        <w:t xml:space="preserve"> </w:t>
      </w:r>
      <w:r w:rsidR="00E33A6C">
        <w:t xml:space="preserve">must be </w:t>
      </w:r>
      <w:r>
        <w:t xml:space="preserve">done </w:t>
      </w:r>
      <w:r w:rsidR="00E33A6C">
        <w:t>in an unbiased manner</w:t>
      </w:r>
      <w:r w:rsidR="00575D3A">
        <w:t xml:space="preserve">. In other words, </w:t>
      </w:r>
      <w:r w:rsidR="00E33A6C">
        <w:t xml:space="preserve">any site in the population must have the same chance </w:t>
      </w:r>
      <w:r w:rsidR="00D41835">
        <w:t xml:space="preserve">as any other site </w:t>
      </w:r>
      <w:r w:rsidR="00E33A6C">
        <w:t xml:space="preserve">of being </w:t>
      </w:r>
      <w:r w:rsidR="009A18C3">
        <w:t>selected in</w:t>
      </w:r>
      <w:r w:rsidR="00E33A6C">
        <w:t xml:space="preserve"> either the treatment or the control premises. </w:t>
      </w:r>
      <w:r w:rsidR="00134445">
        <w:t xml:space="preserve">Because </w:t>
      </w:r>
      <w:r>
        <w:t>both groups of</w:t>
      </w:r>
      <w:r w:rsidR="00134445">
        <w:t xml:space="preserve"> premises are selected randomly, it is assumed that</w:t>
      </w:r>
      <w:r w:rsidR="00D41835">
        <w:t xml:space="preserve">, </w:t>
      </w:r>
      <w:r w:rsidR="00F40836">
        <w:t xml:space="preserve">before </w:t>
      </w:r>
      <w:r w:rsidR="00D41835">
        <w:t xml:space="preserve">the treatment, </w:t>
      </w:r>
      <w:r>
        <w:t xml:space="preserve">the </w:t>
      </w:r>
      <w:r w:rsidR="00C01AE5">
        <w:t xml:space="preserve">average </w:t>
      </w:r>
      <w:r>
        <w:t>energy consumption</w:t>
      </w:r>
      <w:r w:rsidR="00C01AE5">
        <w:t xml:space="preserve"> per site</w:t>
      </w:r>
      <w:r>
        <w:t xml:space="preserve"> is the same</w:t>
      </w:r>
      <w:r w:rsidR="00C01AE5">
        <w:t xml:space="preserve"> for each group</w:t>
      </w:r>
      <w:r w:rsidR="00134445">
        <w:t>.</w:t>
      </w:r>
      <w:r w:rsidR="00F40836">
        <w:t xml:space="preserve"> </w:t>
      </w:r>
      <w:r w:rsidR="00134445">
        <w:t xml:space="preserve">The </w:t>
      </w:r>
      <w:r w:rsidR="009A18C3">
        <w:t>energ</w:t>
      </w:r>
      <w:r w:rsidR="00C12AFA">
        <w:t>y saving</w:t>
      </w:r>
      <w:r w:rsidR="009A18C3">
        <w:t xml:space="preserve"> </w:t>
      </w:r>
      <w:r w:rsidR="00D41835">
        <w:t>that can be claimed</w:t>
      </w:r>
      <w:r>
        <w:t xml:space="preserve"> </w:t>
      </w:r>
      <w:r w:rsidR="009A18C3">
        <w:t xml:space="preserve">is </w:t>
      </w:r>
      <w:r w:rsidR="00134445">
        <w:t xml:space="preserve">the </w:t>
      </w:r>
      <w:r>
        <w:t xml:space="preserve">difference in </w:t>
      </w:r>
      <w:r w:rsidR="00134445">
        <w:t xml:space="preserve">energy consumption for the two groups </w:t>
      </w:r>
      <w:r w:rsidR="00D41835">
        <w:t>after the treatment</w:t>
      </w:r>
      <w:r w:rsidR="009A18C3">
        <w:t>.</w:t>
      </w:r>
    </w:p>
    <w:p w:rsidR="00134445" w:rsidRDefault="00134445" w:rsidP="00D85D74"/>
    <w:p w:rsidR="00D85D74" w:rsidRDefault="0057461E" w:rsidP="00D85D74">
      <w:r>
        <w:t>In order t</w:t>
      </w:r>
      <w:r w:rsidR="00D85D74">
        <w:t>o ensure that the control group continues to be similar to the treatment group</w:t>
      </w:r>
      <w:r w:rsidR="00F40836">
        <w:t>,</w:t>
      </w:r>
      <w:r w:rsidR="00D85D74">
        <w:t xml:space="preserve"> the method contains rules to prevent manipulat</w:t>
      </w:r>
      <w:r w:rsidR="00575D3A">
        <w:t>ion of</w:t>
      </w:r>
      <w:r w:rsidR="00D85D74">
        <w:t xml:space="preserve"> the control</w:t>
      </w:r>
      <w:r w:rsidR="004A44EC">
        <w:t xml:space="preserve"> group</w:t>
      </w:r>
      <w:r w:rsidR="00D85D74">
        <w:t>.</w:t>
      </w:r>
      <w:r w:rsidR="00F40836">
        <w:t xml:space="preserve"> </w:t>
      </w:r>
      <w:r w:rsidR="00D85D74">
        <w:t xml:space="preserve">Specifically, </w:t>
      </w:r>
      <w:r w:rsidR="00575D3A">
        <w:t xml:space="preserve">an </w:t>
      </w:r>
      <w:r w:rsidR="009A18C3">
        <w:t xml:space="preserve">AP </w:t>
      </w:r>
      <w:r w:rsidR="00D85D74">
        <w:t xml:space="preserve">must not provide goods or services to the control group aimed at increasing </w:t>
      </w:r>
      <w:r w:rsidR="00575D3A">
        <w:t xml:space="preserve">its energy </w:t>
      </w:r>
      <w:r w:rsidR="00D85D74">
        <w:t xml:space="preserve">consumption. </w:t>
      </w:r>
    </w:p>
    <w:p w:rsidR="005C138E" w:rsidRDefault="002F200E" w:rsidP="00A33D7B">
      <w:pPr>
        <w:pStyle w:val="heading2black"/>
      </w:pPr>
      <w:r>
        <w:lastRenderedPageBreak/>
        <w:t>Included sites</w:t>
      </w:r>
    </w:p>
    <w:p w:rsidR="005C138E" w:rsidRDefault="006216DD" w:rsidP="005C138E">
      <w:pPr>
        <w:pStyle w:val="bodycopy"/>
      </w:pPr>
      <w:r w:rsidRPr="007A61F4">
        <w:t>When calculating the energy</w:t>
      </w:r>
      <w:r w:rsidR="00C01AE5">
        <w:t xml:space="preserve"> saving for the project,</w:t>
      </w:r>
      <w:r w:rsidRPr="007A61F4">
        <w:t xml:space="preserve"> t</w:t>
      </w:r>
      <w:r w:rsidR="005C138E" w:rsidRPr="006216DD">
        <w:t xml:space="preserve">he energy consumption </w:t>
      </w:r>
      <w:r w:rsidRPr="007A61F4">
        <w:t xml:space="preserve">of </w:t>
      </w:r>
      <w:r w:rsidR="005C138E" w:rsidRPr="006216DD">
        <w:t xml:space="preserve">all the sites must be </w:t>
      </w:r>
      <w:r w:rsidR="002F200E" w:rsidRPr="006216DD">
        <w:t>included</w:t>
      </w:r>
      <w:r w:rsidR="00404462" w:rsidRPr="006216DD">
        <w:t>.</w:t>
      </w:r>
      <w:r w:rsidR="00F40836">
        <w:t xml:space="preserve"> </w:t>
      </w:r>
      <w:r w:rsidR="00404462" w:rsidRPr="006216DD">
        <w:t xml:space="preserve">This includes </w:t>
      </w:r>
      <w:r w:rsidR="00A77B8E" w:rsidRPr="006216DD">
        <w:t xml:space="preserve">any </w:t>
      </w:r>
      <w:r w:rsidR="00404462" w:rsidRPr="006216DD">
        <w:t xml:space="preserve">sites in the treatment group which </w:t>
      </w:r>
      <w:r w:rsidRPr="007A61F4">
        <w:t>are offered the treatment but which refuse it</w:t>
      </w:r>
      <w:r w:rsidR="00404462" w:rsidRPr="006216DD">
        <w:t>.</w:t>
      </w:r>
    </w:p>
    <w:p w:rsidR="00404462" w:rsidRDefault="00580900" w:rsidP="005C138E">
      <w:pPr>
        <w:pStyle w:val="bodycopy"/>
      </w:pPr>
      <w:r>
        <w:t xml:space="preserve">From time to time a site </w:t>
      </w:r>
      <w:r w:rsidR="0057461E">
        <w:t xml:space="preserve">may need to be removed from </w:t>
      </w:r>
      <w:r>
        <w:t xml:space="preserve">either the treatment group or the control group. A site may be removed when it is </w:t>
      </w:r>
      <w:r w:rsidR="004548DD" w:rsidRPr="00826945">
        <w:rPr>
          <w:b/>
          <w:i/>
        </w:rPr>
        <w:t>affected by attritio</w:t>
      </w:r>
      <w:r w:rsidR="0042264A" w:rsidRPr="00826945">
        <w:rPr>
          <w:b/>
          <w:i/>
        </w:rPr>
        <w:t>n</w:t>
      </w:r>
      <w:r w:rsidR="00507A1A">
        <w:t xml:space="preserve">, which is </w:t>
      </w:r>
      <w:r w:rsidR="004548DD">
        <w:t>when</w:t>
      </w:r>
      <w:r w:rsidR="00404462">
        <w:t>:</w:t>
      </w:r>
    </w:p>
    <w:p w:rsidR="00295610" w:rsidRDefault="00295610" w:rsidP="00404462">
      <w:pPr>
        <w:pStyle w:val="bodycopy"/>
        <w:numPr>
          <w:ilvl w:val="0"/>
          <w:numId w:val="4"/>
        </w:numPr>
      </w:pPr>
      <w:r>
        <w:t xml:space="preserve">the energy </w:t>
      </w:r>
      <w:r w:rsidR="002F200E">
        <w:t xml:space="preserve">account </w:t>
      </w:r>
      <w:r>
        <w:t xml:space="preserve">for the site is terminated </w:t>
      </w:r>
      <w:r w:rsidR="002F200E">
        <w:t xml:space="preserve">or </w:t>
      </w:r>
    </w:p>
    <w:p w:rsidR="00404462" w:rsidRDefault="00295610" w:rsidP="00404462">
      <w:pPr>
        <w:pStyle w:val="bodycopy"/>
        <w:numPr>
          <w:ilvl w:val="0"/>
          <w:numId w:val="4"/>
        </w:numPr>
      </w:pPr>
      <w:r>
        <w:t>t</w:t>
      </w:r>
      <w:r w:rsidR="00F674BB">
        <w:t xml:space="preserve">he occupant of the site </w:t>
      </w:r>
      <w:r>
        <w:t>withdraws</w:t>
      </w:r>
      <w:r w:rsidR="00F674BB">
        <w:t xml:space="preserve"> their permi</w:t>
      </w:r>
      <w:r>
        <w:t>ssion for their data to be used or</w:t>
      </w:r>
      <w:r w:rsidR="00F674BB">
        <w:t xml:space="preserve"> </w:t>
      </w:r>
    </w:p>
    <w:p w:rsidR="00404462" w:rsidRDefault="00295610" w:rsidP="00404462">
      <w:pPr>
        <w:pStyle w:val="bodycopy"/>
        <w:numPr>
          <w:ilvl w:val="0"/>
          <w:numId w:val="4"/>
        </w:numPr>
      </w:pPr>
      <w:r>
        <w:t>t</w:t>
      </w:r>
      <w:r w:rsidR="00404462">
        <w:t>he meter at the site fails</w:t>
      </w:r>
      <w:r w:rsidR="00A77B8E">
        <w:t xml:space="preserve"> and is not </w:t>
      </w:r>
      <w:r w:rsidR="004548DD">
        <w:t>repaired</w:t>
      </w:r>
      <w:r w:rsidR="00A77B8E">
        <w:t xml:space="preserve"> in a timely manner</w:t>
      </w:r>
      <w:r w:rsidR="00404462">
        <w:t xml:space="preserve">. </w:t>
      </w:r>
    </w:p>
    <w:p w:rsidR="0057461E" w:rsidRPr="005C138E" w:rsidRDefault="0057461E" w:rsidP="007A61F4">
      <w:pPr>
        <w:pStyle w:val="bodycopy"/>
      </w:pPr>
      <w:r>
        <w:t>The circumstances where this should occur are specified in Division 3 of Schedule 39.</w:t>
      </w:r>
    </w:p>
    <w:p w:rsidR="00A33D7B" w:rsidRDefault="00A33D7B" w:rsidP="00A33D7B">
      <w:pPr>
        <w:pStyle w:val="heading2black"/>
      </w:pPr>
      <w:r>
        <w:t>The t-test</w:t>
      </w:r>
    </w:p>
    <w:p w:rsidR="00BB1883" w:rsidRDefault="00507A1A" w:rsidP="00BB1883">
      <w:pPr>
        <w:pStyle w:val="bodycopy"/>
      </w:pPr>
      <w:r>
        <w:t>The method assumes that energy has been saved i</w:t>
      </w:r>
      <w:r w:rsidR="00BB1883">
        <w:t xml:space="preserve">f the average household energy consumption of the treatment group can be demonstrated to be significantly </w:t>
      </w:r>
      <w:r w:rsidR="00502677">
        <w:t>lower than</w:t>
      </w:r>
      <w:r w:rsidR="00BB1883">
        <w:t xml:space="preserve"> the average household energy consumption of the control group</w:t>
      </w:r>
      <w:r>
        <w:t xml:space="preserve">. </w:t>
      </w:r>
      <w:r w:rsidR="00BB1883">
        <w:t>This is determined using a statistical test called a t-test.</w:t>
      </w:r>
      <w:r w:rsidR="00F40836">
        <w:t xml:space="preserve"> </w:t>
      </w:r>
    </w:p>
    <w:p w:rsidR="00BB1883" w:rsidRDefault="00BB1883" w:rsidP="00BB1883">
      <w:pPr>
        <w:pStyle w:val="bodycopy"/>
      </w:pPr>
      <w:r>
        <w:t xml:space="preserve">The t-test is a very common statistical test used in science, economics and psychology to determine whether </w:t>
      </w:r>
      <w:r w:rsidR="00134445">
        <w:t>there is a statistically significant difference between two groups</w:t>
      </w:r>
      <w:r w:rsidR="00502677">
        <w:t>;</w:t>
      </w:r>
      <w:r>
        <w:t xml:space="preserve"> in other words</w:t>
      </w:r>
      <w:r w:rsidR="00F40836">
        <w:t>,</w:t>
      </w:r>
      <w:r>
        <w:t xml:space="preserve"> that the variation</w:t>
      </w:r>
      <w:r w:rsidR="00134445">
        <w:t xml:space="preserve"> is</w:t>
      </w:r>
      <w:r>
        <w:t xml:space="preserve"> greater than the variation that would occur due to chance. </w:t>
      </w:r>
    </w:p>
    <w:p w:rsidR="000E316F" w:rsidRDefault="000E316F" w:rsidP="000E316F">
      <w:pPr>
        <w:pStyle w:val="heading2black"/>
      </w:pPr>
      <w:r>
        <w:t>Required population size</w:t>
      </w:r>
    </w:p>
    <w:p w:rsidR="00C46DB3" w:rsidRDefault="00502677" w:rsidP="00DD1F5F">
      <w:pPr>
        <w:pStyle w:val="bodycopy"/>
      </w:pPr>
      <w:r>
        <w:t xml:space="preserve">In order to be able to demonstrate that a treatment has had an effect, </w:t>
      </w:r>
      <w:r w:rsidR="0091008C">
        <w:t>Treatment and Control</w:t>
      </w:r>
      <w:r w:rsidR="00A33D7B">
        <w:t xml:space="preserve"> project</w:t>
      </w:r>
      <w:r>
        <w:t xml:space="preserve">s may need to involve large populations – </w:t>
      </w:r>
      <w:r w:rsidR="006E1231">
        <w:t xml:space="preserve">potentially </w:t>
      </w:r>
      <w:r w:rsidR="00A33D7B">
        <w:t xml:space="preserve">tens of thousands of </w:t>
      </w:r>
      <w:r w:rsidR="00134445">
        <w:t>sites</w:t>
      </w:r>
      <w:r w:rsidR="00A33D7B">
        <w:t xml:space="preserve">. </w:t>
      </w:r>
      <w:r>
        <w:t>The required population size will depend on how easy it is to statistically demonstrate that a treatment has had an effect. In general, t</w:t>
      </w:r>
      <w:r w:rsidR="00C46DB3">
        <w:t>he larger and more similar a population is</w:t>
      </w:r>
      <w:r w:rsidR="00C01AE5">
        <w:t>,</w:t>
      </w:r>
      <w:r w:rsidR="00C46DB3">
        <w:t xml:space="preserve"> the easier it is to pass the t-test. </w:t>
      </w:r>
    </w:p>
    <w:p w:rsidR="00C46DB3" w:rsidRDefault="004A44EC" w:rsidP="00DD1F5F">
      <w:pPr>
        <w:pStyle w:val="bodycopy"/>
      </w:pPr>
      <w:r>
        <w:t>If</w:t>
      </w:r>
      <w:r w:rsidR="00C46DB3">
        <w:t xml:space="preserve"> the sites in the population have a highly variable energy consumption it will be more difficult to separate the effect of the treatment from the background variability. Similarly, treatments which only have a small impact on energy consumption may require a very large population.</w:t>
      </w:r>
      <w:r w:rsidR="00F40836">
        <w:t xml:space="preserve"> </w:t>
      </w:r>
    </w:p>
    <w:p w:rsidR="00134445" w:rsidRDefault="00134445" w:rsidP="00C46DB3">
      <w:pPr>
        <w:pStyle w:val="heading2black"/>
      </w:pPr>
      <w:r>
        <w:lastRenderedPageBreak/>
        <w:t>Accredited statistician</w:t>
      </w:r>
    </w:p>
    <w:p w:rsidR="00134445" w:rsidRDefault="00134445" w:rsidP="00134445">
      <w:pPr>
        <w:pStyle w:val="bodycopy"/>
      </w:pPr>
      <w:r w:rsidRPr="002F0056">
        <w:t>The method require</w:t>
      </w:r>
      <w:r w:rsidR="00580900">
        <w:t xml:space="preserve">s confirmation </w:t>
      </w:r>
      <w:r w:rsidR="00F40836">
        <w:t>from</w:t>
      </w:r>
      <w:r w:rsidR="0057461E">
        <w:t xml:space="preserve"> </w:t>
      </w:r>
      <w:r w:rsidR="0057461E" w:rsidRPr="002F0056">
        <w:t xml:space="preserve">a statistician accredited </w:t>
      </w:r>
      <w:r w:rsidR="0057461E">
        <w:t>with</w:t>
      </w:r>
      <w:r w:rsidR="0057461E" w:rsidRPr="002F0056">
        <w:t xml:space="preserve"> the Statistical Society of Australia</w:t>
      </w:r>
      <w:r w:rsidR="0057461E">
        <w:t xml:space="preserve"> </w:t>
      </w:r>
      <w:r w:rsidR="00580900">
        <w:t xml:space="preserve">that </w:t>
      </w:r>
      <w:r w:rsidR="00580900" w:rsidRPr="002F0056">
        <w:t xml:space="preserve">the selection of the </w:t>
      </w:r>
      <w:r w:rsidR="004A44EC">
        <w:t>t</w:t>
      </w:r>
      <w:r w:rsidR="00580900">
        <w:t xml:space="preserve">reatment and </w:t>
      </w:r>
      <w:r w:rsidR="004A44EC">
        <w:t>c</w:t>
      </w:r>
      <w:r w:rsidR="00580900">
        <w:t>ontrol</w:t>
      </w:r>
      <w:r w:rsidR="00580900" w:rsidRPr="002F0056">
        <w:t xml:space="preserve"> group</w:t>
      </w:r>
      <w:r w:rsidR="00580900">
        <w:t>s</w:t>
      </w:r>
      <w:r w:rsidR="00580900" w:rsidRPr="002F0056">
        <w:t xml:space="preserve"> is random</w:t>
      </w:r>
      <w:r w:rsidR="006E1231">
        <w:t>.</w:t>
      </w:r>
    </w:p>
    <w:p w:rsidR="006E1231" w:rsidRDefault="006E1231" w:rsidP="00134445">
      <w:pPr>
        <w:pStyle w:val="bodycopy"/>
      </w:pPr>
      <w:r>
        <w:t xml:space="preserve">In determining </w:t>
      </w:r>
      <w:r w:rsidR="00580900">
        <w:t xml:space="preserve">whether energy savings have been </w:t>
      </w:r>
      <w:r>
        <w:t>calculat</w:t>
      </w:r>
      <w:r w:rsidR="00580900">
        <w:t>ed</w:t>
      </w:r>
      <w:r>
        <w:t xml:space="preserve"> correctly, the ESC may require th</w:t>
      </w:r>
      <w:r w:rsidR="00580900">
        <w:t>at the</w:t>
      </w:r>
      <w:r>
        <w:t xml:space="preserve"> calculations be assessed by a suitably qualified person</w:t>
      </w:r>
      <w:r w:rsidR="00580900">
        <w:t xml:space="preserve"> before it issues VEECs</w:t>
      </w:r>
      <w:r>
        <w:t>.</w:t>
      </w:r>
      <w:r w:rsidR="00F40836">
        <w:t xml:space="preserve"> </w:t>
      </w:r>
      <w:r w:rsidR="0057461E">
        <w:t>T</w:t>
      </w:r>
      <w:r>
        <w:t xml:space="preserve">his will </w:t>
      </w:r>
      <w:r w:rsidR="00580900">
        <w:t xml:space="preserve">probably </w:t>
      </w:r>
      <w:r>
        <w:t xml:space="preserve">be an accredited statistician. </w:t>
      </w:r>
      <w:r w:rsidR="00EF37AE">
        <w:t>The requirements relating to this will be outlined in more detail in new</w:t>
      </w:r>
      <w:r>
        <w:t xml:space="preserve"> </w:t>
      </w:r>
      <w:r w:rsidR="00C01AE5">
        <w:t xml:space="preserve">ESC </w:t>
      </w:r>
      <w:r>
        <w:t xml:space="preserve">guidelines for the assessment of </w:t>
      </w:r>
      <w:r w:rsidR="00EF37AE">
        <w:t>P</w:t>
      </w:r>
      <w:r w:rsidR="00D66971">
        <w:t xml:space="preserve">roject </w:t>
      </w:r>
      <w:r w:rsidR="00EF37AE">
        <w:t>B</w:t>
      </w:r>
      <w:r w:rsidR="00D66971">
        <w:t xml:space="preserve">ased </w:t>
      </w:r>
      <w:r w:rsidR="00EF37AE">
        <w:t>A</w:t>
      </w:r>
      <w:r w:rsidR="00D66971">
        <w:t>ctivities</w:t>
      </w:r>
      <w:r w:rsidR="00EF37AE">
        <w:t>.</w:t>
      </w:r>
    </w:p>
    <w:p w:rsidR="00BB1883" w:rsidRDefault="00BB1883" w:rsidP="00BB1883">
      <w:pPr>
        <w:pStyle w:val="heading2black"/>
      </w:pPr>
      <w:r>
        <w:t>Three sub-methods</w:t>
      </w:r>
    </w:p>
    <w:p w:rsidR="00BB1883" w:rsidRDefault="00EF37AE" w:rsidP="00BB1883">
      <w:pPr>
        <w:pStyle w:val="bodycopy"/>
      </w:pPr>
      <w:r>
        <w:t>Accredited Persons</w:t>
      </w:r>
      <w:r w:rsidR="00295610">
        <w:t xml:space="preserve"> must choose one of </w:t>
      </w:r>
      <w:r>
        <w:t xml:space="preserve">the following </w:t>
      </w:r>
      <w:r w:rsidR="00295610">
        <w:t>three sub-methods</w:t>
      </w:r>
      <w:r w:rsidR="00BB1883">
        <w:t xml:space="preserve"> to calculate </w:t>
      </w:r>
      <w:r w:rsidR="00295610">
        <w:t>energy sav</w:t>
      </w:r>
      <w:r>
        <w:t>ed</w:t>
      </w:r>
      <w:r w:rsidR="00BB1883">
        <w:t xml:space="preserve">: </w:t>
      </w:r>
    </w:p>
    <w:p w:rsidR="00BB1883" w:rsidRDefault="00BB1883" w:rsidP="000D2F86">
      <w:pPr>
        <w:pStyle w:val="dotpoints"/>
        <w:spacing w:line="240" w:lineRule="auto"/>
        <w:ind w:left="357" w:hanging="357"/>
        <w:contextualSpacing w:val="0"/>
      </w:pPr>
      <w:r>
        <w:t xml:space="preserve">Sub-method 1: </w:t>
      </w:r>
      <w:r w:rsidR="00F40836">
        <w:t>compare</w:t>
      </w:r>
      <w:r>
        <w:t xml:space="preserve"> the daily household energy consumption of the treatmen</w:t>
      </w:r>
      <w:r w:rsidR="00293659">
        <w:t xml:space="preserve">t </w:t>
      </w:r>
      <w:r w:rsidR="0080706B">
        <w:t xml:space="preserve">group </w:t>
      </w:r>
      <w:r>
        <w:t>and  the control group</w:t>
      </w:r>
      <w:r w:rsidR="00F40836">
        <w:t>.</w:t>
      </w:r>
    </w:p>
    <w:p w:rsidR="00BB1883" w:rsidRDefault="00BB1883" w:rsidP="000D2F86">
      <w:pPr>
        <w:pStyle w:val="dotpoints"/>
        <w:spacing w:line="240" w:lineRule="auto"/>
        <w:ind w:left="357" w:hanging="357"/>
        <w:contextualSpacing w:val="0"/>
      </w:pPr>
      <w:r>
        <w:t xml:space="preserve">Sub-method 2: </w:t>
      </w:r>
      <w:r w:rsidR="00F40836">
        <w:t xml:space="preserve">compare </w:t>
      </w:r>
      <w:r>
        <w:t xml:space="preserve">the change in daily household energy consumption of the treatment </w:t>
      </w:r>
      <w:r w:rsidR="0080706B">
        <w:t xml:space="preserve">group </w:t>
      </w:r>
      <w:r>
        <w:t>and  the control group</w:t>
      </w:r>
      <w:r w:rsidR="00F40836">
        <w:t>.</w:t>
      </w:r>
    </w:p>
    <w:p w:rsidR="00BB1883" w:rsidRDefault="00BB1883" w:rsidP="000D2F86">
      <w:pPr>
        <w:pStyle w:val="dotpoints"/>
        <w:spacing w:line="240" w:lineRule="auto"/>
        <w:ind w:left="357" w:hanging="357"/>
        <w:contextualSpacing w:val="0"/>
      </w:pPr>
      <w:r>
        <w:t xml:space="preserve">Sub-method 3: </w:t>
      </w:r>
      <w:r w:rsidR="00F40836">
        <w:t xml:space="preserve">perform </w:t>
      </w:r>
      <w:r>
        <w:t xml:space="preserve">regression analysis to separate the effect of the treatment from other changes in energy consumption. </w:t>
      </w:r>
    </w:p>
    <w:p w:rsidR="00295610" w:rsidRDefault="00295610" w:rsidP="00295610">
      <w:pPr>
        <w:pStyle w:val="bodycopy"/>
      </w:pPr>
      <w:r>
        <w:t>Each of these sub</w:t>
      </w:r>
      <w:r w:rsidR="00F40836">
        <w:t>-</w:t>
      </w:r>
      <w:r>
        <w:t xml:space="preserve">methods </w:t>
      </w:r>
      <w:r w:rsidR="00EF37AE">
        <w:t>has its own</w:t>
      </w:r>
      <w:r>
        <w:t xml:space="preserve"> advantages. A statistician can provide advice </w:t>
      </w:r>
      <w:r w:rsidR="00EF37AE">
        <w:t xml:space="preserve">as to </w:t>
      </w:r>
      <w:r>
        <w:t xml:space="preserve">the </w:t>
      </w:r>
      <w:r w:rsidR="00EF37AE">
        <w:t>one</w:t>
      </w:r>
      <w:r>
        <w:t xml:space="preserve"> best suited to </w:t>
      </w:r>
      <w:r w:rsidR="00EF37AE">
        <w:t>any given project</w:t>
      </w:r>
      <w:r>
        <w:t xml:space="preserve">. </w:t>
      </w:r>
    </w:p>
    <w:p w:rsidR="0010024C" w:rsidRDefault="0010024C" w:rsidP="00295610">
      <w:pPr>
        <w:pStyle w:val="bodycopy"/>
      </w:pPr>
      <w:r>
        <w:t xml:space="preserve">This method is similar to the Aggregated Metered Baseline method in the New South Wales (NSW) Energy Saving Scheme (ESS) and the South Australian Retailer Energy Efficiency Scheme and the Aggregated Small Energy Users method in the Emissions Reduction Fund (ERF).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375"/>
      </w:tblGrid>
      <w:tr w:rsidR="00EA0A6B" w:rsidRPr="00ED2AB2" w:rsidTr="004469A2">
        <w:tc>
          <w:tcPr>
            <w:tcW w:w="10420" w:type="dxa"/>
            <w:shd w:val="clear" w:color="auto" w:fill="D9D9D9" w:themeFill="background1" w:themeFillShade="D9"/>
          </w:tcPr>
          <w:p w:rsidR="00EA0A6B" w:rsidRPr="00ED2AB2" w:rsidRDefault="00EA0A6B" w:rsidP="004469A2">
            <w:pPr>
              <w:spacing w:before="120" w:after="120"/>
              <w:rPr>
                <w:rFonts w:ascii="Tahoma" w:eastAsiaTheme="minorHAnsi" w:hAnsi="Tahoma" w:cs="Tahoma"/>
                <w:b/>
                <w:color w:val="auto"/>
                <w:szCs w:val="20"/>
                <w:lang w:eastAsia="en-US"/>
              </w:rPr>
            </w:pPr>
            <w:r w:rsidRPr="00ED2AB2">
              <w:rPr>
                <w:rFonts w:ascii="Tahoma" w:eastAsiaTheme="minorHAnsi" w:hAnsi="Tahoma" w:cs="Tahoma"/>
                <w:b/>
                <w:color w:val="auto"/>
                <w:szCs w:val="20"/>
                <w:lang w:eastAsia="en-US"/>
              </w:rPr>
              <w:t>Question:</w:t>
            </w:r>
          </w:p>
          <w:p w:rsidR="00EA0A6B" w:rsidRPr="00ED2AB2" w:rsidRDefault="00EA0A6B" w:rsidP="005550FA">
            <w:pPr>
              <w:spacing w:before="120" w:after="120"/>
              <w:rPr>
                <w:rFonts w:ascii="Tahoma" w:eastAsiaTheme="minorHAnsi" w:hAnsi="Tahoma" w:cs="Tahoma"/>
                <w:color w:val="auto"/>
                <w:szCs w:val="20"/>
                <w:lang w:eastAsia="en-US"/>
              </w:rPr>
            </w:pPr>
            <w:r w:rsidRPr="00312842">
              <w:rPr>
                <w:rFonts w:ascii="Tahoma" w:eastAsiaTheme="minorHAnsi" w:hAnsi="Tahoma" w:cs="Tahoma"/>
                <w:color w:val="auto"/>
                <w:szCs w:val="20"/>
                <w:lang w:eastAsia="en-US"/>
              </w:rPr>
              <w:t xml:space="preserve">The proposed method is similar to existing methods in the NSW ESS and the Commonwealth ERF.  Is this </w:t>
            </w:r>
            <w:bookmarkStart w:id="0" w:name="_GoBack"/>
            <w:bookmarkEnd w:id="0"/>
            <w:r w:rsidRPr="00312842">
              <w:rPr>
                <w:rFonts w:ascii="Tahoma" w:eastAsiaTheme="minorHAnsi" w:hAnsi="Tahoma" w:cs="Tahoma"/>
                <w:color w:val="auto"/>
                <w:szCs w:val="20"/>
                <w:lang w:eastAsia="en-US"/>
              </w:rPr>
              <w:t xml:space="preserve">alignment appropriate?  </w:t>
            </w:r>
          </w:p>
        </w:tc>
      </w:tr>
    </w:tbl>
    <w:p w:rsidR="00EA0A6B" w:rsidRDefault="00EA0A6B" w:rsidP="00295610">
      <w:pPr>
        <w:pStyle w:val="bodycopy"/>
      </w:pPr>
    </w:p>
    <w:p w:rsidR="00361AED" w:rsidRDefault="00B039BC" w:rsidP="00DD1F5F">
      <w:pPr>
        <w:pStyle w:val="heading1blue"/>
      </w:pPr>
      <w:r>
        <w:lastRenderedPageBreak/>
        <w:t>W</w:t>
      </w:r>
      <w:r w:rsidR="00620BEC">
        <w:t>hat if a</w:t>
      </w:r>
      <w:r>
        <w:t xml:space="preserve"> population also carries out deemed VEET activities?</w:t>
      </w:r>
    </w:p>
    <w:p w:rsidR="00B039BC" w:rsidRDefault="00B039BC">
      <w:pPr>
        <w:pStyle w:val="bodycopy"/>
      </w:pPr>
      <w:r>
        <w:t xml:space="preserve">It is possible that a population being measured using the Treatment and Control method may also undertake deemed VEET activities while a treatment is underway. There are proposed rules governing how this should be measured. </w:t>
      </w:r>
    </w:p>
    <w:p w:rsidR="00FE4EB5" w:rsidRDefault="00D66971">
      <w:pPr>
        <w:pStyle w:val="bodycopy"/>
      </w:pPr>
      <w:r>
        <w:t xml:space="preserve">The treatment cannot directly promote </w:t>
      </w:r>
      <w:r w:rsidR="00B039BC">
        <w:t>deemed</w:t>
      </w:r>
      <w:r>
        <w:t xml:space="preserve"> VEET activities</w:t>
      </w:r>
      <w:r w:rsidR="00B039BC">
        <w:t>. It is</w:t>
      </w:r>
      <w:r>
        <w:t xml:space="preserve"> therefore </w:t>
      </w:r>
      <w:r w:rsidR="00FE4EB5">
        <w:t xml:space="preserve">assumed that the rate </w:t>
      </w:r>
      <w:r w:rsidR="00D676F1">
        <w:t xml:space="preserve">at which </w:t>
      </w:r>
      <w:r w:rsidR="00FE4EB5">
        <w:t xml:space="preserve">these activities </w:t>
      </w:r>
      <w:r w:rsidR="00D676F1">
        <w:t xml:space="preserve">are undertaken </w:t>
      </w:r>
      <w:r w:rsidR="00FE4EB5">
        <w:t xml:space="preserve">will be the same for the </w:t>
      </w:r>
      <w:r w:rsidR="00B039BC">
        <w:t>t</w:t>
      </w:r>
      <w:r w:rsidR="0091008C">
        <w:t xml:space="preserve">reatment </w:t>
      </w:r>
      <w:r w:rsidR="00B039BC">
        <w:t>group as for the c</w:t>
      </w:r>
      <w:r w:rsidR="0091008C">
        <w:t>ontrol</w:t>
      </w:r>
      <w:r w:rsidR="00FE4EB5">
        <w:t xml:space="preserve"> group.</w:t>
      </w:r>
      <w:r w:rsidR="00F40836">
        <w:t xml:space="preserve"> </w:t>
      </w:r>
      <w:r w:rsidR="00C01AE5">
        <w:t>Accordingly</w:t>
      </w:r>
      <w:r w:rsidR="007562D5">
        <w:t>,</w:t>
      </w:r>
      <w:r w:rsidR="00C01AE5">
        <w:t xml:space="preserve"> </w:t>
      </w:r>
      <w:r w:rsidR="0010517B">
        <w:t>the Treatment and Control method assumes that energy savings from deemed activities will be equal in both groups. T</w:t>
      </w:r>
      <w:r w:rsidR="00C01AE5">
        <w:t>herefore</w:t>
      </w:r>
      <w:r w:rsidR="0010517B">
        <w:t>,</w:t>
      </w:r>
      <w:r w:rsidR="00C01AE5">
        <w:t xml:space="preserve"> </w:t>
      </w:r>
      <w:r w:rsidR="0010517B">
        <w:t xml:space="preserve">the energy savings from these deemed activities </w:t>
      </w:r>
      <w:r w:rsidR="00C01AE5">
        <w:t xml:space="preserve">will </w:t>
      </w:r>
      <w:r w:rsidR="0010517B">
        <w:t xml:space="preserve">not be included in the </w:t>
      </w:r>
      <w:r w:rsidR="00C01AE5">
        <w:t xml:space="preserve">energy savings of a </w:t>
      </w:r>
      <w:r w:rsidR="0091008C">
        <w:t>Treatment and Control</w:t>
      </w:r>
      <w:r w:rsidR="00FE4EB5">
        <w:t xml:space="preserve"> project.</w:t>
      </w:r>
      <w:r w:rsidR="00F40836">
        <w:t xml:space="preserve"> </w:t>
      </w:r>
    </w:p>
    <w:p w:rsidR="00FE4EB5" w:rsidRPr="003B76AB" w:rsidRDefault="003B76AB" w:rsidP="00295610">
      <w:pPr>
        <w:pStyle w:val="bodycopy"/>
      </w:pPr>
      <w:r w:rsidRPr="007A61F4">
        <w:t xml:space="preserve">Nonetheless, it is possible </w:t>
      </w:r>
      <w:r>
        <w:t xml:space="preserve">that treatment activities may </w:t>
      </w:r>
      <w:r w:rsidR="00FE4EB5" w:rsidRPr="003B76AB">
        <w:t xml:space="preserve">indirectly cause sites </w:t>
      </w:r>
      <w:r w:rsidR="00D66971" w:rsidRPr="003B76AB">
        <w:t xml:space="preserve">in the treatment group </w:t>
      </w:r>
      <w:r w:rsidR="00FE4EB5" w:rsidRPr="003B76AB">
        <w:t xml:space="preserve">to </w:t>
      </w:r>
      <w:r w:rsidRPr="007A61F4">
        <w:t>undertake</w:t>
      </w:r>
      <w:r w:rsidR="00FE4EB5" w:rsidRPr="003B76AB">
        <w:t xml:space="preserve"> </w:t>
      </w:r>
      <w:r w:rsidRPr="007A61F4">
        <w:t xml:space="preserve">some deemed </w:t>
      </w:r>
      <w:r w:rsidR="00FE4EB5" w:rsidRPr="003B76AB">
        <w:t>VEET activities at a greater rate</w:t>
      </w:r>
      <w:r w:rsidRPr="007A61F4">
        <w:t xml:space="preserve"> than would otherwise have been the case</w:t>
      </w:r>
      <w:r w:rsidR="004F5E98" w:rsidRPr="003B76AB">
        <w:t xml:space="preserve">. </w:t>
      </w:r>
      <w:r>
        <w:t xml:space="preserve">These activities cannot be counted both as a deemed activity and as part of the Treatment and Control project. It is proposed that the Regulations be amended to </w:t>
      </w:r>
      <w:r w:rsidRPr="003B76AB">
        <w:t xml:space="preserve">give the </w:t>
      </w:r>
      <w:r w:rsidRPr="007A61F4">
        <w:t xml:space="preserve">ESC the power to calculate an </w:t>
      </w:r>
      <w:r w:rsidRPr="00826945">
        <w:rPr>
          <w:b/>
          <w:i/>
        </w:rPr>
        <w:t>uplift factor</w:t>
      </w:r>
      <w:r w:rsidRPr="007A61F4">
        <w:t xml:space="preserve"> to account for any greater rate of uptake of </w:t>
      </w:r>
      <w:r w:rsidR="0057461E">
        <w:t>deemed</w:t>
      </w:r>
      <w:r w:rsidRPr="007A61F4">
        <w:t xml:space="preserve"> VEET activities in the treatment group</w:t>
      </w:r>
      <w:r w:rsidR="0057461E">
        <w:t>. This would be established</w:t>
      </w:r>
      <w:r w:rsidRPr="003B76AB">
        <w:t xml:space="preserve"> under new </w:t>
      </w:r>
      <w:r w:rsidR="004F5E98" w:rsidRPr="003B76AB">
        <w:t>section 6AD</w:t>
      </w:r>
      <w:r w:rsidRPr="007A61F4">
        <w:t>.</w:t>
      </w:r>
      <w:r w:rsidR="0057461E">
        <w:t xml:space="preserve"> This </w:t>
      </w:r>
      <w:r w:rsidRPr="007A61F4">
        <w:t xml:space="preserve">uplift factor </w:t>
      </w:r>
      <w:r w:rsidR="006E4030">
        <w:t>would reduce the number</w:t>
      </w:r>
      <w:r w:rsidR="00293659">
        <w:t xml:space="preserve"> </w:t>
      </w:r>
      <w:r w:rsidR="006E4030">
        <w:t>of</w:t>
      </w:r>
      <w:r w:rsidRPr="007A61F4">
        <w:t xml:space="preserve"> VEECs credited </w:t>
      </w:r>
      <w:r w:rsidR="0057461E">
        <w:t xml:space="preserve">to </w:t>
      </w:r>
      <w:r w:rsidRPr="007A61F4">
        <w:t>the Treatment and Control project.</w:t>
      </w:r>
    </w:p>
    <w:p w:rsidR="00235EF8" w:rsidRPr="007A61F4" w:rsidRDefault="00235EF8" w:rsidP="007A61F4">
      <w:pPr>
        <w:pStyle w:val="heading2black"/>
      </w:pPr>
      <w:r w:rsidRPr="007A61F4">
        <w:t xml:space="preserve">Emissions Reduction Fund </w:t>
      </w:r>
    </w:p>
    <w:p w:rsidR="003E4C08" w:rsidRDefault="003E4C08" w:rsidP="00235EF8">
      <w:pPr>
        <w:pStyle w:val="bodycopy"/>
      </w:pPr>
      <w:r>
        <w:t>Under the VEET Regulations</w:t>
      </w:r>
      <w:r w:rsidR="00235EF8" w:rsidRPr="007A61F4">
        <w:t xml:space="preserve"> </w:t>
      </w:r>
      <w:r>
        <w:t>APs can claim</w:t>
      </w:r>
      <w:r w:rsidRPr="007A61F4">
        <w:t xml:space="preserve"> </w:t>
      </w:r>
      <w:r w:rsidR="00235EF8" w:rsidRPr="007A61F4">
        <w:t xml:space="preserve">credits </w:t>
      </w:r>
      <w:r>
        <w:t xml:space="preserve">under the </w:t>
      </w:r>
      <w:r w:rsidR="00235EF8" w:rsidRPr="007A61F4">
        <w:t>Commonwealth Emissions Reduction Fund (ERF) or under VEET but not under both.</w:t>
      </w:r>
      <w:r w:rsidR="00C31E5D">
        <w:t xml:space="preserve"> </w:t>
      </w:r>
      <w:r>
        <w:t>For a Treatment and Control project the</w:t>
      </w:r>
      <w:r w:rsidR="0010517B">
        <w:t xml:space="preserve"> occupant of the site may undertake other activities </w:t>
      </w:r>
      <w:r w:rsidR="00293659">
        <w:t xml:space="preserve">of </w:t>
      </w:r>
      <w:r w:rsidR="0010517B">
        <w:t xml:space="preserve">which the </w:t>
      </w:r>
      <w:r>
        <w:t>AP</w:t>
      </w:r>
      <w:r w:rsidR="0010517B">
        <w:t xml:space="preserve"> is not awar</w:t>
      </w:r>
      <w:r w:rsidR="00293659">
        <w:t>e.</w:t>
      </w:r>
    </w:p>
    <w:p w:rsidR="00235EF8" w:rsidRDefault="003E4C08" w:rsidP="00235EF8">
      <w:pPr>
        <w:pStyle w:val="bodycopy"/>
      </w:pPr>
      <w:r>
        <w:t xml:space="preserve">The proposed method </w:t>
      </w:r>
      <w:r w:rsidR="0010517B">
        <w:t xml:space="preserve">therefore </w:t>
      </w:r>
      <w:r>
        <w:t>includes</w:t>
      </w:r>
      <w:r w:rsidR="00C31E5D">
        <w:t xml:space="preserve"> an uplift factor </w:t>
      </w:r>
      <w:r>
        <w:t xml:space="preserve">to account for this. </w:t>
      </w:r>
      <w:r w:rsidR="0010517B">
        <w:t xml:space="preserve">It </w:t>
      </w:r>
      <w:r>
        <w:t xml:space="preserve">gives the ESC the power to determine the extent to which energy savings from a Treatment and Control </w:t>
      </w:r>
      <w:r w:rsidR="0010517B">
        <w:t>project have also been credited</w:t>
      </w:r>
      <w:r>
        <w:t xml:space="preserve"> under the ERF and </w:t>
      </w:r>
      <w:r w:rsidR="0010517B">
        <w:t xml:space="preserve">accordingly </w:t>
      </w:r>
      <w:r>
        <w:t>reduce the number of VEECs for a project by this amount.</w:t>
      </w:r>
      <w:r w:rsidR="00F40836">
        <w:t xml:space="preserve"> </w:t>
      </w:r>
    </w:p>
    <w:p w:rsidR="00FE4EB5" w:rsidRDefault="00FE4EB5" w:rsidP="00DD1F5F">
      <w:pPr>
        <w:pStyle w:val="heading2black"/>
      </w:pPr>
      <w:r>
        <w:t xml:space="preserve">Renewable </w:t>
      </w:r>
      <w:r w:rsidR="00104E6A">
        <w:t>E</w:t>
      </w:r>
      <w:r>
        <w:t>nergy</w:t>
      </w:r>
      <w:r w:rsidR="00235EF8">
        <w:t xml:space="preserve"> Target</w:t>
      </w:r>
    </w:p>
    <w:p w:rsidR="003E4C08" w:rsidRDefault="003E4C08">
      <w:pPr>
        <w:pStyle w:val="bodycopy"/>
      </w:pPr>
      <w:r>
        <w:t>Under the</w:t>
      </w:r>
      <w:r w:rsidR="00235EF8" w:rsidRPr="00FE0EBD">
        <w:t xml:space="preserve"> proposed </w:t>
      </w:r>
      <w:r>
        <w:t>Regulations</w:t>
      </w:r>
      <w:r w:rsidR="00F40836">
        <w:t>,</w:t>
      </w:r>
      <w:r>
        <w:t xml:space="preserve"> APs</w:t>
      </w:r>
      <w:r w:rsidR="00235EF8" w:rsidRPr="00FE0EBD">
        <w:t xml:space="preserve"> can either claim credits </w:t>
      </w:r>
      <w:r>
        <w:t xml:space="preserve">under the </w:t>
      </w:r>
      <w:r w:rsidR="00235EF8" w:rsidRPr="00FE0EBD">
        <w:t xml:space="preserve">Commonwealth </w:t>
      </w:r>
      <w:r w:rsidR="00235EF8" w:rsidRPr="007A61F4">
        <w:t xml:space="preserve">Renewable Energy Target </w:t>
      </w:r>
      <w:r w:rsidR="00235EF8" w:rsidRPr="00FE0EBD">
        <w:t>(</w:t>
      </w:r>
      <w:r w:rsidR="00235EF8">
        <w:t>RET</w:t>
      </w:r>
      <w:r w:rsidR="00235EF8" w:rsidRPr="00FE0EBD">
        <w:t>) or under VEET but not under both</w:t>
      </w:r>
      <w:r w:rsidR="0057461E">
        <w:t>,</w:t>
      </w:r>
      <w:r w:rsidR="00235EF8">
        <w:t xml:space="preserve"> </w:t>
      </w:r>
      <w:r w:rsidR="00F40836">
        <w:t>unless they are claiming for</w:t>
      </w:r>
      <w:r w:rsidR="007562D5">
        <w:t xml:space="preserve"> </w:t>
      </w:r>
      <w:r w:rsidR="00235EF8">
        <w:t>solar water heaters</w:t>
      </w:r>
      <w:r w:rsidR="00235EF8" w:rsidRPr="00FE0EBD">
        <w:t>.</w:t>
      </w:r>
      <w:r w:rsidR="00F40836">
        <w:t xml:space="preserve"> </w:t>
      </w:r>
    </w:p>
    <w:p w:rsidR="0010517B" w:rsidRDefault="0010517B" w:rsidP="0010517B">
      <w:pPr>
        <w:pStyle w:val="bodycopy"/>
      </w:pPr>
      <w:r>
        <w:lastRenderedPageBreak/>
        <w:t>The proposed method therefore includes an uplift factor to account for this. It gives the ESC the power to determine the extent to which energy savings from a Treatment and Control project have also been credited under the RET and accordingly reduce the number of VEECs for a project by this amount.</w:t>
      </w:r>
      <w:r w:rsidR="00F40836">
        <w:t xml:space="preserve"> </w:t>
      </w:r>
    </w:p>
    <w:p w:rsidR="000E316F" w:rsidRDefault="00235EF8" w:rsidP="00136DEF">
      <w:pPr>
        <w:pStyle w:val="heading1blue"/>
      </w:pPr>
      <w:r>
        <w:t>A</w:t>
      </w:r>
      <w:r w:rsidR="00136DEF">
        <w:t xml:space="preserve">dministrative requirements </w:t>
      </w:r>
    </w:p>
    <w:p w:rsidR="00136DEF" w:rsidRDefault="00C66758" w:rsidP="00C66758">
      <w:pPr>
        <w:pStyle w:val="heading2black"/>
      </w:pPr>
      <w:r>
        <w:t>Project plan</w:t>
      </w:r>
    </w:p>
    <w:p w:rsidR="00C46DB3" w:rsidRDefault="00D66971" w:rsidP="00DD1F5F">
      <w:pPr>
        <w:pStyle w:val="bodycopy"/>
      </w:pPr>
      <w:r>
        <w:t>A</w:t>
      </w:r>
      <w:r w:rsidR="00620BEC">
        <w:t xml:space="preserve">ccredited </w:t>
      </w:r>
      <w:r>
        <w:t>P</w:t>
      </w:r>
      <w:r w:rsidR="00620BEC">
        <w:t>erson</w:t>
      </w:r>
      <w:r>
        <w:t xml:space="preserve">s </w:t>
      </w:r>
      <w:r w:rsidR="0057461E">
        <w:t xml:space="preserve">would be </w:t>
      </w:r>
      <w:r w:rsidR="00C66758">
        <w:t>requi</w:t>
      </w:r>
      <w:r w:rsidR="0057461E">
        <w:t>r</w:t>
      </w:r>
      <w:r w:rsidR="00C66758">
        <w:t xml:space="preserve">ed to submit a project plan </w:t>
      </w:r>
      <w:r w:rsidR="00620BEC">
        <w:t>before the treatment starts</w:t>
      </w:r>
      <w:r w:rsidR="00C46DB3">
        <w:t xml:space="preserve">. The </w:t>
      </w:r>
      <w:r w:rsidR="00620BEC">
        <w:t xml:space="preserve">proposed </w:t>
      </w:r>
      <w:r w:rsidR="00C46DB3">
        <w:t xml:space="preserve">requirements </w:t>
      </w:r>
      <w:r w:rsidR="00620BEC">
        <w:t xml:space="preserve">relating to Treatment and Control </w:t>
      </w:r>
      <w:r w:rsidR="00C46DB3">
        <w:t xml:space="preserve">project </w:t>
      </w:r>
      <w:r w:rsidR="00620BEC">
        <w:t xml:space="preserve">plans </w:t>
      </w:r>
      <w:r w:rsidR="00C46DB3">
        <w:t>are set out in Regulation 6AA</w:t>
      </w:r>
      <w:r w:rsidR="00620BEC">
        <w:t>,</w:t>
      </w:r>
      <w:r>
        <w:t xml:space="preserve"> clause (5) and</w:t>
      </w:r>
      <w:r w:rsidR="00C46DB3">
        <w:t xml:space="preserve"> include:</w:t>
      </w:r>
    </w:p>
    <w:p w:rsidR="00C46DB3" w:rsidRDefault="00845F26" w:rsidP="00DD1F5F">
      <w:pPr>
        <w:pStyle w:val="bodycopy"/>
        <w:numPr>
          <w:ilvl w:val="0"/>
          <w:numId w:val="5"/>
        </w:numPr>
      </w:pPr>
      <w:r>
        <w:t>a</w:t>
      </w:r>
      <w:r w:rsidR="00C46DB3">
        <w:t xml:space="preserve"> description of the treatment activities</w:t>
      </w:r>
    </w:p>
    <w:p w:rsidR="00C46DB3" w:rsidRDefault="00845F26" w:rsidP="00DD1F5F">
      <w:pPr>
        <w:pStyle w:val="bodycopy"/>
        <w:numPr>
          <w:ilvl w:val="0"/>
          <w:numId w:val="5"/>
        </w:numPr>
      </w:pPr>
      <w:r>
        <w:t>t</w:t>
      </w:r>
      <w:r w:rsidR="00C46DB3">
        <w:t>he sub-method used</w:t>
      </w:r>
    </w:p>
    <w:p w:rsidR="00C46DB3" w:rsidRDefault="00845F26" w:rsidP="00DD1F5F">
      <w:pPr>
        <w:pStyle w:val="bodycopy"/>
        <w:numPr>
          <w:ilvl w:val="0"/>
          <w:numId w:val="5"/>
        </w:numPr>
      </w:pPr>
      <w:r>
        <w:t>w</w:t>
      </w:r>
      <w:r w:rsidR="00620BEC">
        <w:t xml:space="preserve">hether </w:t>
      </w:r>
      <w:r w:rsidR="00C46DB3">
        <w:t xml:space="preserve">the project </w:t>
      </w:r>
      <w:r w:rsidR="00D929A5">
        <w:t xml:space="preserve">includes </w:t>
      </w:r>
      <w:r w:rsidR="00C46DB3">
        <w:t>electricity, natural gas or both</w:t>
      </w:r>
    </w:p>
    <w:p w:rsidR="00C46DB3" w:rsidRDefault="00845F26" w:rsidP="00DD1F5F">
      <w:pPr>
        <w:pStyle w:val="bodycopy"/>
        <w:numPr>
          <w:ilvl w:val="0"/>
          <w:numId w:val="5"/>
        </w:numPr>
      </w:pPr>
      <w:r>
        <w:t>a</w:t>
      </w:r>
      <w:r w:rsidR="00C46DB3">
        <w:t xml:space="preserve"> list of the addresses in the </w:t>
      </w:r>
      <w:r>
        <w:t>t</w:t>
      </w:r>
      <w:r w:rsidR="0091008C">
        <w:t xml:space="preserve">reatment and </w:t>
      </w:r>
      <w:r>
        <w:t>c</w:t>
      </w:r>
      <w:r w:rsidR="0091008C">
        <w:t>ontrol</w:t>
      </w:r>
      <w:r w:rsidR="00C46DB3">
        <w:t xml:space="preserve"> groups</w:t>
      </w:r>
    </w:p>
    <w:p w:rsidR="00C46DB3" w:rsidRDefault="00845F26" w:rsidP="00DD1F5F">
      <w:pPr>
        <w:pStyle w:val="bodycopy"/>
        <w:numPr>
          <w:ilvl w:val="0"/>
          <w:numId w:val="5"/>
        </w:numPr>
      </w:pPr>
      <w:r>
        <w:t>a</w:t>
      </w:r>
      <w:r w:rsidR="00C46DB3">
        <w:t xml:space="preserve"> risk management plan and </w:t>
      </w:r>
    </w:p>
    <w:p w:rsidR="00C46DB3" w:rsidRDefault="00845F26" w:rsidP="00DD1F5F">
      <w:pPr>
        <w:pStyle w:val="bodycopy"/>
        <w:numPr>
          <w:ilvl w:val="0"/>
          <w:numId w:val="5"/>
        </w:numPr>
      </w:pPr>
      <w:r>
        <w:t>w</w:t>
      </w:r>
      <w:r w:rsidR="00C46DB3">
        <w:t xml:space="preserve">ritten </w:t>
      </w:r>
      <w:r w:rsidR="0057461E">
        <w:t xml:space="preserve">confirmation </w:t>
      </w:r>
      <w:r w:rsidR="00C46DB3">
        <w:t xml:space="preserve">from a statistician that the </w:t>
      </w:r>
      <w:r>
        <w:t>t</w:t>
      </w:r>
      <w:r w:rsidR="0091008C">
        <w:t xml:space="preserve">reatment and </w:t>
      </w:r>
      <w:r>
        <w:t>c</w:t>
      </w:r>
      <w:r w:rsidR="0091008C">
        <w:t>ontrol</w:t>
      </w:r>
      <w:r w:rsidR="00C46DB3">
        <w:t xml:space="preserve"> groups were selected </w:t>
      </w:r>
      <w:r w:rsidR="00D66971">
        <w:t>in an unbiased manner</w:t>
      </w:r>
      <w:r w:rsidR="00C46DB3">
        <w:t xml:space="preserve">. </w:t>
      </w:r>
    </w:p>
    <w:p w:rsidR="00C46DB3" w:rsidRDefault="00C46DB3">
      <w:pPr>
        <w:pStyle w:val="bodycopy"/>
      </w:pPr>
      <w:r>
        <w:t>The ESC mus</w:t>
      </w:r>
      <w:r w:rsidR="00D66971">
        <w:t xml:space="preserve">t approve the project plan. </w:t>
      </w:r>
      <w:r w:rsidR="00620BEC">
        <w:t xml:space="preserve">It </w:t>
      </w:r>
      <w:r w:rsidR="00D66971">
        <w:t>can only approve project</w:t>
      </w:r>
      <w:r w:rsidR="00620BEC">
        <w:t>s</w:t>
      </w:r>
      <w:r w:rsidR="00D66971">
        <w:t xml:space="preserve"> which </w:t>
      </w:r>
      <w:r w:rsidR="0057461E">
        <w:t xml:space="preserve">it </w:t>
      </w:r>
      <w:r w:rsidR="00620BEC">
        <w:t>deem</w:t>
      </w:r>
      <w:r w:rsidR="0057461E">
        <w:t>s</w:t>
      </w:r>
      <w:r w:rsidR="00620BEC">
        <w:t xml:space="preserve"> </w:t>
      </w:r>
      <w:r w:rsidR="00D66971">
        <w:t xml:space="preserve">‘reasonably likely’ to reduce greenhouse gas emissions. This gives the ESC the power to reject illegitimate projects. </w:t>
      </w:r>
    </w:p>
    <w:p w:rsidR="00250013" w:rsidRDefault="00250013" w:rsidP="00250013">
      <w:pPr>
        <w:pStyle w:val="bodycopy"/>
      </w:pPr>
      <w:r>
        <w:t xml:space="preserve">To assist this process, it is possible that the ESC might maintain a public register of </w:t>
      </w:r>
      <w:r w:rsidR="00D929A5">
        <w:t>Treatment and Control</w:t>
      </w:r>
      <w:r>
        <w:t xml:space="preserve"> projects, to be listed from the project plan stage. However, there are concerns that this could compromise commercial confidentiality.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375"/>
      </w:tblGrid>
      <w:tr w:rsidR="00EA0A6B" w:rsidTr="004469A2">
        <w:tc>
          <w:tcPr>
            <w:tcW w:w="4375" w:type="dxa"/>
            <w:shd w:val="clear" w:color="auto" w:fill="D9D9D9" w:themeFill="background1" w:themeFillShade="D9"/>
          </w:tcPr>
          <w:p w:rsidR="00EA0A6B" w:rsidRPr="00ED2AB2" w:rsidRDefault="00EA0A6B" w:rsidP="004469A2">
            <w:pPr>
              <w:spacing w:before="120" w:after="120"/>
              <w:rPr>
                <w:rFonts w:ascii="Tahoma" w:eastAsiaTheme="minorHAnsi" w:hAnsi="Tahoma" w:cs="Tahoma"/>
                <w:b/>
                <w:color w:val="auto"/>
                <w:szCs w:val="20"/>
                <w:lang w:eastAsia="en-US"/>
              </w:rPr>
            </w:pPr>
            <w:r w:rsidRPr="00ED2AB2">
              <w:rPr>
                <w:rFonts w:ascii="Tahoma" w:eastAsiaTheme="minorHAnsi" w:hAnsi="Tahoma" w:cs="Tahoma"/>
                <w:b/>
                <w:color w:val="auto"/>
                <w:szCs w:val="20"/>
                <w:lang w:eastAsia="en-US"/>
              </w:rPr>
              <w:t>Question:</w:t>
            </w:r>
          </w:p>
          <w:p w:rsidR="00EA0A6B" w:rsidRDefault="00EA0A6B" w:rsidP="00B125E2">
            <w:pPr>
              <w:pStyle w:val="bodycopy"/>
            </w:pPr>
            <w:r w:rsidRPr="007E3294">
              <w:rPr>
                <w:rFonts w:ascii="Tahoma" w:eastAsiaTheme="minorHAnsi" w:hAnsi="Tahoma" w:cs="Tahoma"/>
                <w:color w:val="auto"/>
                <w:lang w:eastAsia="en-US"/>
              </w:rPr>
              <w:t>Should a public register be maintained?</w:t>
            </w:r>
            <w:r>
              <w:rPr>
                <w:rFonts w:ascii="Tahoma" w:eastAsiaTheme="minorHAnsi" w:hAnsi="Tahoma" w:cs="Tahoma"/>
                <w:color w:val="auto"/>
                <w:lang w:eastAsia="en-US"/>
              </w:rPr>
              <w:br/>
              <w:t>I</w:t>
            </w:r>
            <w:r w:rsidRPr="007E3294">
              <w:rPr>
                <w:rFonts w:ascii="Tahoma" w:eastAsiaTheme="minorHAnsi" w:hAnsi="Tahoma" w:cs="Tahoma"/>
                <w:color w:val="auto"/>
                <w:lang w:eastAsia="en-US"/>
              </w:rPr>
              <w:t>f so, what information (e.g. project type, site address, name of AP, or other information) should be placed on such a register?</w:t>
            </w:r>
          </w:p>
        </w:tc>
      </w:tr>
    </w:tbl>
    <w:p w:rsidR="00C66758" w:rsidRDefault="00C66758" w:rsidP="00C66758">
      <w:pPr>
        <w:pStyle w:val="heading2black"/>
      </w:pPr>
      <w:r>
        <w:t>Project variation</w:t>
      </w:r>
      <w:r w:rsidR="00CF03DE">
        <w:t>s</w:t>
      </w:r>
    </w:p>
    <w:p w:rsidR="004548DD" w:rsidRDefault="00620BEC" w:rsidP="00136DEF">
      <w:pPr>
        <w:pStyle w:val="bodycopy"/>
      </w:pPr>
      <w:r>
        <w:t xml:space="preserve">It is possible to change the </w:t>
      </w:r>
      <w:r w:rsidR="00780F06">
        <w:t xml:space="preserve">activities </w:t>
      </w:r>
      <w:r>
        <w:t xml:space="preserve">undertaken </w:t>
      </w:r>
      <w:r w:rsidR="0057461E">
        <w:t>after the treatment</w:t>
      </w:r>
      <w:r>
        <w:t xml:space="preserve"> has started. In order to do this, </w:t>
      </w:r>
      <w:r w:rsidR="00780F06">
        <w:t>a</w:t>
      </w:r>
      <w:r w:rsidR="004548DD">
        <w:t xml:space="preserve"> project variation </w:t>
      </w:r>
      <w:r>
        <w:t xml:space="preserve">must be </w:t>
      </w:r>
      <w:r w:rsidR="004548DD">
        <w:t xml:space="preserve">submitted to </w:t>
      </w:r>
      <w:r w:rsidR="00780F06">
        <w:t>the ESC</w:t>
      </w:r>
      <w:r w:rsidR="004548DD">
        <w:t>.</w:t>
      </w:r>
      <w:r w:rsidR="00F40836">
        <w:t xml:space="preserve"> </w:t>
      </w:r>
      <w:r w:rsidR="004548DD">
        <w:t>This variation must be</w:t>
      </w:r>
      <w:r w:rsidR="00780F06">
        <w:t xml:space="preserve"> accompanied</w:t>
      </w:r>
      <w:r w:rsidR="004548DD">
        <w:t xml:space="preserve"> by an updated risk management plan and </w:t>
      </w:r>
      <w:r>
        <w:t xml:space="preserve">must be </w:t>
      </w:r>
      <w:r w:rsidR="004548DD">
        <w:t xml:space="preserve">received by the ESC </w:t>
      </w:r>
      <w:r w:rsidR="00845F26">
        <w:t>before</w:t>
      </w:r>
      <w:r w:rsidR="004548DD">
        <w:t xml:space="preserve"> any new treatment activities </w:t>
      </w:r>
      <w:r w:rsidR="00845F26">
        <w:t xml:space="preserve">are </w:t>
      </w:r>
      <w:r w:rsidR="004548DD">
        <w:t xml:space="preserve">undertaken. </w:t>
      </w:r>
    </w:p>
    <w:p w:rsidR="00F257F8" w:rsidRDefault="00620BEC" w:rsidP="00136DEF">
      <w:pPr>
        <w:pStyle w:val="bodycopy"/>
      </w:pPr>
      <w:r>
        <w:lastRenderedPageBreak/>
        <w:t xml:space="preserve">In addition, a </w:t>
      </w:r>
      <w:r w:rsidR="004548DD">
        <w:t xml:space="preserve">project </w:t>
      </w:r>
      <w:r>
        <w:t xml:space="preserve">may </w:t>
      </w:r>
      <w:r w:rsidR="004548DD">
        <w:t>be affected by attrition</w:t>
      </w:r>
      <w:r w:rsidR="00571D3C">
        <w:t xml:space="preserve">. If this occurs, </w:t>
      </w:r>
      <w:r w:rsidR="004548DD">
        <w:t xml:space="preserve">the AP </w:t>
      </w:r>
      <w:r w:rsidR="00D929A5">
        <w:t xml:space="preserve">may </w:t>
      </w:r>
      <w:r w:rsidR="004548DD">
        <w:t xml:space="preserve">need to add new sites </w:t>
      </w:r>
      <w:r w:rsidR="00571D3C">
        <w:t xml:space="preserve">to the project </w:t>
      </w:r>
      <w:r w:rsidR="004548DD">
        <w:t xml:space="preserve">in order to continue to pass the t-test. </w:t>
      </w:r>
      <w:r w:rsidR="00571D3C">
        <w:t>This can be done by completing a p</w:t>
      </w:r>
      <w:r w:rsidR="004548DD">
        <w:t>roject variation at the start of a</w:t>
      </w:r>
      <w:r w:rsidR="00571D3C">
        <w:t>ny</w:t>
      </w:r>
      <w:r w:rsidR="004548DD">
        <w:t xml:space="preserve"> new reporting period</w:t>
      </w:r>
      <w:r w:rsidR="0057461E">
        <w:t>. A</w:t>
      </w:r>
      <w:r w:rsidR="004548DD">
        <w:t xml:space="preserve">n accredited statistician </w:t>
      </w:r>
      <w:r w:rsidR="0057461E">
        <w:t xml:space="preserve">must </w:t>
      </w:r>
      <w:r w:rsidR="004548DD">
        <w:t xml:space="preserve">confirm </w:t>
      </w:r>
      <w:r w:rsidR="00571D3C">
        <w:t xml:space="preserve">that </w:t>
      </w:r>
      <w:r w:rsidR="004548DD">
        <w:t xml:space="preserve">the </w:t>
      </w:r>
      <w:r w:rsidR="0057461E">
        <w:t xml:space="preserve">new </w:t>
      </w:r>
      <w:r w:rsidR="004548DD">
        <w:t xml:space="preserve">sites </w:t>
      </w:r>
      <w:r w:rsidR="00571D3C">
        <w:t xml:space="preserve">have been </w:t>
      </w:r>
      <w:r w:rsidR="004548DD">
        <w:t xml:space="preserve">added in an unbiased manner. </w:t>
      </w:r>
    </w:p>
    <w:p w:rsidR="00D66971" w:rsidRDefault="00D66971" w:rsidP="00DD1F5F">
      <w:pPr>
        <w:pStyle w:val="heading2black"/>
      </w:pPr>
      <w:r>
        <w:t>The use of approved products</w:t>
      </w:r>
    </w:p>
    <w:p w:rsidR="00F257F8" w:rsidRPr="00DD1F5F" w:rsidRDefault="00F257F8" w:rsidP="00DD1F5F">
      <w:pPr>
        <w:pStyle w:val="bodycopy"/>
      </w:pPr>
      <w:r>
        <w:t xml:space="preserve">Where products </w:t>
      </w:r>
      <w:r w:rsidR="00571D3C">
        <w:t xml:space="preserve">installed as part of a Treatment and Control project happen to be products that are already registered under VEET, </w:t>
      </w:r>
      <w:r>
        <w:t>the</w:t>
      </w:r>
      <w:r w:rsidR="00571D3C">
        <w:t>se</w:t>
      </w:r>
      <w:r>
        <w:t xml:space="preserve"> product</w:t>
      </w:r>
      <w:r w:rsidR="00571D3C">
        <w:t>s</w:t>
      </w:r>
      <w:r>
        <w:t xml:space="preserve"> must meet the </w:t>
      </w:r>
      <w:r w:rsidR="00571D3C">
        <w:t xml:space="preserve">existing VEET </w:t>
      </w:r>
      <w:r>
        <w:t>product standards. For example</w:t>
      </w:r>
      <w:r w:rsidR="00571D3C">
        <w:t>,</w:t>
      </w:r>
      <w:r>
        <w:t xml:space="preserve"> if the treatment involves installing LED lights </w:t>
      </w:r>
      <w:r w:rsidR="00571D3C">
        <w:t>which</w:t>
      </w:r>
      <w:r>
        <w:t xml:space="preserve"> are a registered product under schedule 21, the</w:t>
      </w:r>
      <w:r w:rsidR="00571D3C">
        <w:t>se</w:t>
      </w:r>
      <w:r>
        <w:t xml:space="preserve"> lights </w:t>
      </w:r>
      <w:r w:rsidR="00571D3C">
        <w:t>must</w:t>
      </w:r>
      <w:r>
        <w:t xml:space="preserve"> meet the </w:t>
      </w:r>
      <w:r w:rsidR="00571D3C">
        <w:t xml:space="preserve">existing schedule 21 </w:t>
      </w:r>
      <w:r>
        <w:t xml:space="preserve">product requirements. </w:t>
      </w:r>
    </w:p>
    <w:p w:rsidR="00D66971" w:rsidRDefault="00D66971" w:rsidP="00DD1F5F">
      <w:pPr>
        <w:pStyle w:val="heading2black"/>
      </w:pPr>
      <w:r>
        <w:t>Disposal of products</w:t>
      </w:r>
      <w:r w:rsidR="00CF03DE">
        <w:t xml:space="preserve"> removed</w:t>
      </w:r>
    </w:p>
    <w:p w:rsidR="00132F91" w:rsidRDefault="008431FF" w:rsidP="00F257F8">
      <w:pPr>
        <w:pStyle w:val="bodycopy"/>
      </w:pPr>
      <w:r>
        <w:t>It is proposed that certain products</w:t>
      </w:r>
      <w:r w:rsidR="0057461E">
        <w:t xml:space="preserve"> must be decommissioned</w:t>
      </w:r>
      <w:r>
        <w:t xml:space="preserve"> if removed as part of a Treatment and Control project</w:t>
      </w:r>
      <w:r w:rsidR="00CD0DB1">
        <w:t>.</w:t>
      </w:r>
      <w:r>
        <w:t xml:space="preserve"> The proposed changes to the Regulations would give the ESC the power to maintain a register of such products under new Regulation 9A.</w:t>
      </w:r>
      <w:r w:rsidR="00F257F8">
        <w:t xml:space="preserve"> </w:t>
      </w:r>
      <w:r w:rsidR="00132F91">
        <w:t>It is also proposed that the existing decommissioning requirements for products installed under a deemed method be</w:t>
      </w:r>
      <w:r w:rsidR="0057461E">
        <w:t xml:space="preserve"> applied to the new PBA methods</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375"/>
      </w:tblGrid>
      <w:tr w:rsidR="00EA0A6B" w:rsidRPr="00ED2AB2" w:rsidTr="004469A2">
        <w:tc>
          <w:tcPr>
            <w:tcW w:w="10420" w:type="dxa"/>
            <w:shd w:val="clear" w:color="auto" w:fill="D9D9D9" w:themeFill="background1" w:themeFillShade="D9"/>
          </w:tcPr>
          <w:p w:rsidR="00EA0A6B" w:rsidRPr="00ED2AB2" w:rsidRDefault="00EA0A6B" w:rsidP="004469A2">
            <w:pPr>
              <w:spacing w:before="120" w:after="120"/>
              <w:rPr>
                <w:rFonts w:ascii="Tahoma" w:eastAsiaTheme="minorHAnsi" w:hAnsi="Tahoma" w:cs="Tahoma"/>
                <w:b/>
                <w:color w:val="auto"/>
                <w:szCs w:val="20"/>
                <w:lang w:eastAsia="en-US"/>
              </w:rPr>
            </w:pPr>
            <w:r w:rsidRPr="00ED2AB2">
              <w:rPr>
                <w:rFonts w:ascii="Tahoma" w:eastAsiaTheme="minorHAnsi" w:hAnsi="Tahoma" w:cs="Tahoma"/>
                <w:b/>
                <w:color w:val="auto"/>
                <w:szCs w:val="20"/>
                <w:lang w:eastAsia="en-US"/>
              </w:rPr>
              <w:t>Question:</w:t>
            </w:r>
          </w:p>
          <w:p w:rsidR="00EA0A6B" w:rsidRPr="00ED2AB2" w:rsidRDefault="00EA0A6B" w:rsidP="004469A2">
            <w:pPr>
              <w:spacing w:before="120" w:after="120"/>
              <w:rPr>
                <w:rFonts w:ascii="Tahoma" w:eastAsiaTheme="minorHAnsi" w:hAnsi="Tahoma" w:cs="Tahoma"/>
                <w:color w:val="auto"/>
                <w:szCs w:val="20"/>
                <w:lang w:eastAsia="en-US"/>
              </w:rPr>
            </w:pPr>
            <w:r w:rsidRPr="00312842">
              <w:rPr>
                <w:rFonts w:ascii="Tahoma" w:eastAsiaTheme="minorHAnsi" w:hAnsi="Tahoma" w:cs="Tahoma"/>
                <w:color w:val="auto"/>
                <w:szCs w:val="20"/>
                <w:lang w:eastAsia="en-US"/>
              </w:rPr>
              <w:t>Do you have any comments on this proposed method?</w:t>
            </w:r>
          </w:p>
        </w:tc>
      </w:tr>
    </w:tbl>
    <w:p w:rsidR="001C4809" w:rsidRDefault="001C4809" w:rsidP="007A61F4">
      <w:pPr>
        <w:pStyle w:val="heading1blue"/>
      </w:pPr>
      <w:r>
        <w:t>Consultation day</w:t>
      </w:r>
    </w:p>
    <w:p w:rsidR="00502DC0" w:rsidRDefault="00502DC0" w:rsidP="00502DC0">
      <w:pPr>
        <w:pStyle w:val="bodycopy"/>
      </w:pPr>
      <w:r w:rsidRPr="00ED3C06">
        <w:t xml:space="preserve">There will be a public consultation </w:t>
      </w:r>
      <w:r>
        <w:t>day for interested parties in June 2016.</w:t>
      </w:r>
    </w:p>
    <w:p w:rsidR="00502DC0" w:rsidRDefault="00502DC0" w:rsidP="00502DC0">
      <w:pPr>
        <w:pStyle w:val="bodycopy"/>
      </w:pPr>
      <w:r>
        <w:t xml:space="preserve">Please see </w:t>
      </w:r>
      <w:r w:rsidRPr="00426E56">
        <w:t xml:space="preserve">the </w:t>
      </w:r>
      <w:r w:rsidR="00BD1695">
        <w:t>d</w:t>
      </w:r>
      <w:r w:rsidRPr="00426E56">
        <w:t>epartment’s website</w:t>
      </w:r>
      <w:r>
        <w:t xml:space="preserve"> for further information including, time, date and location:</w:t>
      </w:r>
      <w:r>
        <w:br/>
      </w:r>
      <w:hyperlink r:id="rId14" w:history="1">
        <w:r w:rsidRPr="00FC19BC">
          <w:rPr>
            <w:rStyle w:val="Hyperlink"/>
          </w:rPr>
          <w:t>www.energyandresources.vic.gov.au/esi</w:t>
        </w:r>
      </w:hyperlink>
    </w:p>
    <w:p w:rsidR="001C4809" w:rsidRPr="00C659E3" w:rsidRDefault="001C4809">
      <w:pPr>
        <w:pStyle w:val="heading1blue"/>
      </w:pPr>
      <w:r>
        <w:t>How to provide your comments</w:t>
      </w:r>
    </w:p>
    <w:p w:rsidR="001C4809" w:rsidRDefault="001C4809" w:rsidP="001C4809">
      <w:r w:rsidRPr="004C1BFB">
        <w:t>Responses should clearly state the issue and, where relevant, make reference to specific sections of the draft Regulation.</w:t>
      </w:r>
    </w:p>
    <w:p w:rsidR="001C4809" w:rsidRDefault="001C4809" w:rsidP="001C4809">
      <w:pPr>
        <w:pStyle w:val="heading2black"/>
      </w:pPr>
      <w:r>
        <w:t>Submitting by email</w:t>
      </w:r>
    </w:p>
    <w:p w:rsidR="001C4809" w:rsidRDefault="001C4809" w:rsidP="001C4809">
      <w:r>
        <w:t xml:space="preserve">Submissions may be emailed to </w:t>
      </w:r>
      <w:hyperlink r:id="rId15" w:history="1">
        <w:r w:rsidRPr="00FD261A">
          <w:rPr>
            <w:rStyle w:val="Hyperlink"/>
          </w:rPr>
          <w:t>energysaver.incentive@ecodev.vic.gov.au</w:t>
        </w:r>
      </w:hyperlink>
      <w:r>
        <w:t xml:space="preserve">. </w:t>
      </w:r>
      <w:r>
        <w:br/>
      </w:r>
    </w:p>
    <w:p w:rsidR="001C4809" w:rsidRDefault="001C4809" w:rsidP="001C4809">
      <w:r>
        <w:lastRenderedPageBreak/>
        <w:t xml:space="preserve">Please use the subject: </w:t>
      </w:r>
      <w:r w:rsidR="00044310">
        <w:br/>
      </w:r>
      <w:r w:rsidR="00044310" w:rsidRPr="00826945">
        <w:rPr>
          <w:i/>
        </w:rPr>
        <w:t>VEET</w:t>
      </w:r>
      <w:r w:rsidR="00044310">
        <w:rPr>
          <w:i/>
        </w:rPr>
        <w:t xml:space="preserve">: </w:t>
      </w:r>
      <w:r w:rsidR="001F418F">
        <w:rPr>
          <w:i/>
        </w:rPr>
        <w:t>Treatment and Control</w:t>
      </w:r>
    </w:p>
    <w:p w:rsidR="001C4809" w:rsidRDefault="001C4809" w:rsidP="001C4809">
      <w:pPr>
        <w:pStyle w:val="heading2black"/>
      </w:pPr>
      <w:r>
        <w:t>Submitting by post</w:t>
      </w:r>
    </w:p>
    <w:p w:rsidR="001C4809" w:rsidRDefault="00CF03DE" w:rsidP="001C4809">
      <w:pPr>
        <w:pStyle w:val="heading1blue"/>
        <w:spacing w:before="0"/>
        <w:rPr>
          <w:color w:val="53565A"/>
          <w:sz w:val="20"/>
        </w:rPr>
      </w:pPr>
      <w:r>
        <w:rPr>
          <w:color w:val="53565A"/>
          <w:sz w:val="20"/>
        </w:rPr>
        <w:t>R</w:t>
      </w:r>
      <w:r w:rsidR="001C4809" w:rsidRPr="004C1BFB">
        <w:rPr>
          <w:color w:val="53565A"/>
          <w:sz w:val="20"/>
        </w:rPr>
        <w:t xml:space="preserve">esponses may </w:t>
      </w:r>
      <w:r>
        <w:rPr>
          <w:color w:val="53565A"/>
          <w:sz w:val="20"/>
        </w:rPr>
        <w:t xml:space="preserve">also </w:t>
      </w:r>
      <w:r w:rsidR="001C4809" w:rsidRPr="004C1BFB">
        <w:rPr>
          <w:color w:val="53565A"/>
          <w:sz w:val="20"/>
        </w:rPr>
        <w:t>be provided in writing to:</w:t>
      </w:r>
    </w:p>
    <w:p w:rsidR="001C4809" w:rsidRDefault="00044310" w:rsidP="001C4809">
      <w:pPr>
        <w:spacing w:after="120"/>
      </w:pPr>
      <w:r w:rsidRPr="00D84D75">
        <w:rPr>
          <w:i/>
        </w:rPr>
        <w:t>VEET</w:t>
      </w:r>
      <w:r>
        <w:rPr>
          <w:i/>
        </w:rPr>
        <w:t>: Treatment and Control</w:t>
      </w:r>
      <w:r w:rsidR="001C4809">
        <w:rPr>
          <w:i/>
        </w:rPr>
        <w:br/>
      </w:r>
      <w:r w:rsidR="001C4809" w:rsidRPr="004C1BFB">
        <w:t>Energy Policy and Programs</w:t>
      </w:r>
      <w:r w:rsidR="001C4809">
        <w:br/>
      </w:r>
      <w:r w:rsidR="001C4809" w:rsidRPr="004C1BFB">
        <w:t>Department of Economic Development, Jobs, Transport and Resources</w:t>
      </w:r>
      <w:r w:rsidR="001C4809">
        <w:br/>
      </w:r>
      <w:r w:rsidR="001C4809" w:rsidRPr="004C1BFB">
        <w:t>GPO Box 4509</w:t>
      </w:r>
      <w:r w:rsidR="001C4809">
        <w:br/>
      </w:r>
      <w:r w:rsidR="001C4809" w:rsidRPr="004C1BFB">
        <w:t>Melbourne VIC 3001</w:t>
      </w:r>
    </w:p>
    <w:p w:rsidR="001C4809" w:rsidRDefault="001C4809" w:rsidP="001C4809">
      <w:pPr>
        <w:pStyle w:val="heading2black"/>
      </w:pPr>
      <w:r>
        <w:t>Closing date for submissions</w:t>
      </w:r>
    </w:p>
    <w:p w:rsidR="001F418F" w:rsidRDefault="001C4809" w:rsidP="007A61F4">
      <w:pPr>
        <w:pStyle w:val="bodycopy"/>
        <w:rPr>
          <w:rStyle w:val="Hyperlink"/>
          <w:rFonts w:cs="Times New Roman"/>
          <w:szCs w:val="24"/>
        </w:rPr>
      </w:pPr>
      <w:r w:rsidRPr="00B87025">
        <w:t xml:space="preserve">Please refer to </w:t>
      </w:r>
      <w:r>
        <w:t xml:space="preserve">the departmental </w:t>
      </w:r>
      <w:r w:rsidRPr="00B87025">
        <w:t>website for the closing date:</w:t>
      </w:r>
      <w:r w:rsidR="001F418F">
        <w:br/>
      </w:r>
      <w:hyperlink r:id="rId16" w:history="1">
        <w:r w:rsidR="001F418F" w:rsidRPr="007A61F4">
          <w:rPr>
            <w:rStyle w:val="Hyperlink"/>
            <w:rFonts w:cs="Times New Roman"/>
            <w:szCs w:val="24"/>
          </w:rPr>
          <w:t>www.energyandresources.vic.gov.au/esi</w:t>
        </w:r>
      </w:hyperlink>
    </w:p>
    <w:p w:rsidR="00044310" w:rsidRPr="00D84D75" w:rsidRDefault="00044310" w:rsidP="00044310">
      <w:pPr>
        <w:pStyle w:val="heading2black"/>
      </w:pPr>
      <w:r w:rsidRPr="00D84D75">
        <w:t>Confidentiality</w:t>
      </w:r>
    </w:p>
    <w:p w:rsidR="00044310" w:rsidRPr="001F418F" w:rsidRDefault="00044310" w:rsidP="00044310">
      <w:pPr>
        <w:pStyle w:val="bodycopy"/>
        <w:rPr>
          <w:rStyle w:val="Hyperlink"/>
          <w:rFonts w:cs="Times New Roman"/>
          <w:szCs w:val="24"/>
        </w:rPr>
      </w:pPr>
      <w:r>
        <w:rPr>
          <w:rFonts w:ascii="Helvetica" w:hAnsi="Helvetica" w:cs="Helvetica"/>
          <w:color w:val="5F5F5F"/>
        </w:rPr>
        <w:t xml:space="preserve">Submissions may be published on the website. Please indicate if the submission, or sections within the submission, is confidential or contains sensitive information that is not for publication. </w:t>
      </w:r>
    </w:p>
    <w:p w:rsidR="00D76005" w:rsidRDefault="00D76005" w:rsidP="00D76005">
      <w:pPr>
        <w:pStyle w:val="heading1blue"/>
      </w:pPr>
      <w:r>
        <w:t>Authoris</w:t>
      </w:r>
      <w:r w:rsidR="001F418F">
        <w:t>ation</w:t>
      </w:r>
    </w:p>
    <w:p w:rsidR="00D76005" w:rsidRDefault="00D76005" w:rsidP="00D76005">
      <w:pPr>
        <w:pStyle w:val="bodycopy"/>
      </w:pPr>
      <w:r>
        <w:t>Department of Economic Development, Jobs, Transport and Resources</w:t>
      </w:r>
    </w:p>
    <w:p w:rsidR="00D76005" w:rsidRDefault="00D76005" w:rsidP="00D76005">
      <w:pPr>
        <w:pStyle w:val="bodycopy"/>
      </w:pPr>
      <w:r>
        <w:t>1 Spring Street Melbourne Victoria 3000</w:t>
      </w:r>
    </w:p>
    <w:p w:rsidR="00622A86" w:rsidRDefault="00622A86" w:rsidP="00D76005">
      <w:pPr>
        <w:pStyle w:val="bodycopy"/>
      </w:pPr>
      <w:r w:rsidRPr="00622A86">
        <w:t>Telephone (03) 9651 9999</w:t>
      </w:r>
    </w:p>
    <w:p w:rsidR="00D76005" w:rsidRDefault="00D76005" w:rsidP="00D76005">
      <w:pPr>
        <w:pStyle w:val="bodycopy"/>
      </w:pPr>
      <w:r>
        <w:t xml:space="preserve">© Copyright State of Victoria, </w:t>
      </w:r>
    </w:p>
    <w:p w:rsidR="00D76005" w:rsidRDefault="00D76005" w:rsidP="00D76005">
      <w:pPr>
        <w:pStyle w:val="bodycopy"/>
      </w:pPr>
      <w:r>
        <w:t>Department of Economic Development, Jo</w:t>
      </w:r>
      <w:r w:rsidR="00622A86">
        <w:t>bs, Transport and Resources 2016</w:t>
      </w:r>
    </w:p>
    <w:p w:rsidR="00D76005" w:rsidRDefault="00D76005" w:rsidP="00D76005">
      <w:pPr>
        <w:pStyle w:val="bodycopy"/>
      </w:pPr>
      <w:r>
        <w:t>Except for any logos, emblems, trademarks, artwork and photography this document is made available under the</w:t>
      </w:r>
      <w:r w:rsidR="00622A86">
        <w:t xml:space="preserve"> </w:t>
      </w:r>
      <w:r>
        <w:t>terms of the Creative Commons Attribution 3.0 Australia license.</w:t>
      </w:r>
    </w:p>
    <w:p w:rsidR="004F5E98" w:rsidRDefault="00D76005">
      <w:pPr>
        <w:pStyle w:val="bodycopy"/>
      </w:pPr>
      <w:r>
        <w:t xml:space="preserve">This document is also available in an accessible format at </w:t>
      </w:r>
      <w:hyperlink r:id="rId17" w:history="1">
        <w:r w:rsidR="00F674BB" w:rsidRPr="00FC26FF">
          <w:rPr>
            <w:rStyle w:val="Hyperlink"/>
          </w:rPr>
          <w:t>www.economicdevelopment.vic.gov.au</w:t>
        </w:r>
      </w:hyperlink>
      <w:r w:rsidR="00F674BB">
        <w:t xml:space="preserve"> </w:t>
      </w:r>
    </w:p>
    <w:sectPr w:rsidR="004F5E98" w:rsidSect="009307B4">
      <w:type w:val="continuous"/>
      <w:pgSz w:w="11906" w:h="16838"/>
      <w:pgMar w:top="1701" w:right="1440" w:bottom="1440" w:left="1440" w:header="709" w:footer="567"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2F8" w:rsidRDefault="008762F8" w:rsidP="00D21116">
      <w:r>
        <w:separator/>
      </w:r>
    </w:p>
  </w:endnote>
  <w:endnote w:type="continuationSeparator" w:id="0">
    <w:p w:rsidR="008762F8" w:rsidRDefault="008762F8" w:rsidP="00D21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961779"/>
      <w:docPartObj>
        <w:docPartGallery w:val="Page Numbers (Bottom of Page)"/>
        <w:docPartUnique/>
      </w:docPartObj>
    </w:sdtPr>
    <w:sdtEndPr/>
    <w:sdtContent>
      <w:sdt>
        <w:sdtPr>
          <w:id w:val="-1669238322"/>
          <w:docPartObj>
            <w:docPartGallery w:val="Page Numbers (Top of Page)"/>
            <w:docPartUnique/>
          </w:docPartObj>
        </w:sdtPr>
        <w:sdtEndPr/>
        <w:sdtContent>
          <w:p w:rsidR="00CF03DE" w:rsidRPr="00F62A4A" w:rsidRDefault="00CF03DE" w:rsidP="0026126A">
            <w:pPr>
              <w:pStyle w:val="Footer"/>
              <w:tabs>
                <w:tab w:val="clear" w:pos="9026"/>
                <w:tab w:val="right" w:pos="9072"/>
              </w:tabs>
            </w:pPr>
            <w:r>
              <w:rPr>
                <w:color w:val="064EA8"/>
              </w:rPr>
              <w:t>Victorian Energy Efficiency Target (VEET) scheme –</w:t>
            </w:r>
            <w:r w:rsidR="00044310">
              <w:rPr>
                <w:color w:val="064EA8"/>
              </w:rPr>
              <w:t xml:space="preserve"> </w:t>
            </w:r>
            <w:r w:rsidRPr="00826945">
              <w:rPr>
                <w:i/>
                <w:color w:val="064EA8"/>
              </w:rPr>
              <w:t>Treatment and Control</w:t>
            </w:r>
            <w:r>
              <w:rPr>
                <w:color w:val="064EA8"/>
              </w:rPr>
              <w:t xml:space="preserve"> </w:t>
            </w:r>
            <w:r>
              <w:rPr>
                <w:color w:val="064EA8"/>
              </w:rPr>
              <w:tab/>
            </w:r>
            <w:r>
              <w:rPr>
                <w:b/>
                <w:bCs/>
              </w:rPr>
              <w:fldChar w:fldCharType="begin"/>
            </w:r>
            <w:r>
              <w:rPr>
                <w:b/>
                <w:bCs/>
              </w:rPr>
              <w:instrText xml:space="preserve"> PAGE </w:instrText>
            </w:r>
            <w:r>
              <w:rPr>
                <w:b/>
                <w:bCs/>
              </w:rPr>
              <w:fldChar w:fldCharType="separate"/>
            </w:r>
            <w:r w:rsidR="005550FA">
              <w:rPr>
                <w:b/>
                <w:bCs/>
                <w:noProof/>
              </w:rPr>
              <w:t>5</w:t>
            </w:r>
            <w:r>
              <w:rPr>
                <w:b/>
                <w:bCs/>
              </w:rPr>
              <w:fldChar w:fldCharType="end"/>
            </w:r>
            <w:r>
              <w:t xml:space="preserve"> of </w:t>
            </w:r>
            <w:r>
              <w:rPr>
                <w:b/>
                <w:bCs/>
              </w:rPr>
              <w:fldChar w:fldCharType="begin"/>
            </w:r>
            <w:r>
              <w:rPr>
                <w:b/>
                <w:bCs/>
              </w:rPr>
              <w:instrText xml:space="preserve"> NUMPAGES  </w:instrText>
            </w:r>
            <w:r>
              <w:rPr>
                <w:b/>
                <w:bCs/>
              </w:rPr>
              <w:fldChar w:fldCharType="separate"/>
            </w:r>
            <w:r w:rsidR="005550FA">
              <w:rPr>
                <w:b/>
                <w:bCs/>
                <w:noProof/>
              </w:rPr>
              <w:t>5</w:t>
            </w:r>
            <w:r>
              <w:rPr>
                <w:b/>
                <w:bCs/>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3DE" w:rsidRDefault="00CF03DE" w:rsidP="00745D4D">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2F8" w:rsidRDefault="008762F8" w:rsidP="00D21116">
      <w:r>
        <w:separator/>
      </w:r>
    </w:p>
  </w:footnote>
  <w:footnote w:type="continuationSeparator" w:id="0">
    <w:p w:rsidR="008762F8" w:rsidRDefault="008762F8" w:rsidP="00D21116">
      <w:r>
        <w:continuationSeparator/>
      </w:r>
    </w:p>
  </w:footnote>
  <w:footnote w:id="1">
    <w:p w:rsidR="00CF03DE" w:rsidRDefault="00CF03DE" w:rsidP="00134445">
      <w:pPr>
        <w:pStyle w:val="FootnoteText"/>
      </w:pPr>
      <w:r>
        <w:rPr>
          <w:rStyle w:val="FootnoteReference"/>
        </w:rPr>
        <w:footnoteRef/>
      </w:r>
      <w:r>
        <w:t xml:space="preserve"> </w:t>
      </w:r>
      <w:r w:rsidRPr="00D85D74">
        <w:rPr>
          <w:sz w:val="16"/>
          <w:szCs w:val="16"/>
        </w:rPr>
        <w:t>Note that the plural of premises is premises.</w:t>
      </w:r>
      <w:r w:rsidR="00F40836">
        <w:rPr>
          <w:sz w:val="16"/>
          <w:szCs w:val="16"/>
        </w:rPr>
        <w:t xml:space="preserve"> </w:t>
      </w:r>
      <w:r w:rsidRPr="00D85D74">
        <w:rPr>
          <w:sz w:val="16"/>
          <w:szCs w:val="16"/>
        </w:rPr>
        <w:t>The term treatment premises refers to multiple sites which are part of a group which will receive the treatment.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3DE" w:rsidRDefault="00CF03DE" w:rsidP="001F6527">
    <w:pPr>
      <w:pStyle w:val="infosheettitle"/>
    </w:pPr>
    <w:r>
      <w:rPr>
        <w:noProof/>
      </w:rPr>
      <w:drawing>
        <wp:anchor distT="0" distB="0" distL="114300" distR="114300" simplePos="0" relativeHeight="251661312" behindDoc="1" locked="0" layoutInCell="1" allowOverlap="1" wp14:anchorId="77AD6512" wp14:editId="520B6218">
          <wp:simplePos x="0" y="0"/>
          <wp:positionH relativeFrom="page">
            <wp:posOffset>10795</wp:posOffset>
          </wp:positionH>
          <wp:positionV relativeFrom="page">
            <wp:posOffset>13022</wp:posOffset>
          </wp:positionV>
          <wp:extent cx="7560000" cy="720000"/>
          <wp:effectExtent l="0" t="0" r="0" b="0"/>
          <wp:wrapNone/>
          <wp:docPr id="2" name="Picture 2" descr="../Word%20Elements/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20Elements/Head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F03DE" w:rsidRPr="00D21116" w:rsidRDefault="00CF03DE" w:rsidP="001F6527">
    <w:pPr>
      <w:pStyle w:val="infosheettit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3DE" w:rsidRDefault="00CF03DE" w:rsidP="001F6527">
    <w:pPr>
      <w:pStyle w:val="infosheettitle"/>
    </w:pPr>
    <w:r>
      <w:rPr>
        <w:noProof/>
      </w:rPr>
      <w:drawing>
        <wp:anchor distT="0" distB="0" distL="114300" distR="114300" simplePos="0" relativeHeight="251663360" behindDoc="1" locked="0" layoutInCell="1" allowOverlap="1" wp14:anchorId="19BF049E" wp14:editId="5020E954">
          <wp:simplePos x="0" y="0"/>
          <wp:positionH relativeFrom="page">
            <wp:posOffset>4483</wp:posOffset>
          </wp:positionH>
          <wp:positionV relativeFrom="page">
            <wp:posOffset>4483</wp:posOffset>
          </wp:positionV>
          <wp:extent cx="7560000" cy="10692000"/>
          <wp:effectExtent l="0" t="0" r="3175" b="0"/>
          <wp:wrapNone/>
          <wp:docPr id="1" name="Picture 1" descr="../Word%20Templates/Word%20Elements/Factsheet/9144%20DEDJTR%20Brand%20Vic%20factsheets%20template_Working%20fil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20Templates/Word%20Elements/Factsheet/9144%20DEDJTR%20Brand%20Vic%20factsheets%20template_Working%20file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0000" cy="1069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F03DE" w:rsidRDefault="00CF03DE" w:rsidP="001C4809">
    <w:pPr>
      <w:pStyle w:val="infosheettitle"/>
    </w:pPr>
    <w:r>
      <w:t>Victorian Energy Efficiency Target (VEET) scheme</w:t>
    </w:r>
  </w:p>
  <w:p w:rsidR="002569BF" w:rsidRDefault="002569BF" w:rsidP="002569BF">
    <w:pPr>
      <w:pStyle w:val="infosheetsubtitle"/>
    </w:pPr>
    <w:r>
      <w:t>New Project Based Activity method:</w:t>
    </w:r>
  </w:p>
  <w:p w:rsidR="00CF03DE" w:rsidRPr="00826945" w:rsidRDefault="00CF03DE" w:rsidP="001F6527">
    <w:pPr>
      <w:pStyle w:val="infosheetsubtitle"/>
      <w:rPr>
        <w:i/>
      </w:rPr>
    </w:pPr>
    <w:r w:rsidRPr="00826945">
      <w:rPr>
        <w:i/>
      </w:rPr>
      <w:t xml:space="preserve">Treatment and Control </w:t>
    </w:r>
  </w:p>
  <w:p w:rsidR="00CF03DE" w:rsidRDefault="00CF03DE" w:rsidP="001F6527">
    <w:pPr>
      <w:pStyle w:val="infosheetsubtit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B6342B"/>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A323345"/>
    <w:multiLevelType w:val="hybridMultilevel"/>
    <w:tmpl w:val="443067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655B130A"/>
    <w:multiLevelType w:val="hybridMultilevel"/>
    <w:tmpl w:val="3AFA17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7A722B64"/>
    <w:multiLevelType w:val="hybridMultilevel"/>
    <w:tmpl w:val="C4AA3AC0"/>
    <w:lvl w:ilvl="0" w:tplc="836C6188">
      <w:start w:val="1"/>
      <w:numFmt w:val="bullet"/>
      <w:pStyle w:val="dotpoints"/>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num w:numId="1">
    <w:abstractNumId w:val="3"/>
  </w:num>
  <w:num w:numId="2">
    <w:abstractNumId w:val="0"/>
  </w:num>
  <w:num w:numId="3">
    <w:abstractNumId w:val="3"/>
  </w:num>
  <w:num w:numId="4">
    <w:abstractNumId w:val="1"/>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ula Alexiadis">
    <w15:presenceInfo w15:providerId="AD" w15:userId="S-1-5-21-4027214525-3069623560-2743527757-239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116"/>
    <w:rsid w:val="00044310"/>
    <w:rsid w:val="00055849"/>
    <w:rsid w:val="000918B5"/>
    <w:rsid w:val="000C6715"/>
    <w:rsid w:val="000D009C"/>
    <w:rsid w:val="000D2F86"/>
    <w:rsid w:val="000E316F"/>
    <w:rsid w:val="000E5362"/>
    <w:rsid w:val="000F6B15"/>
    <w:rsid w:val="000F6C1A"/>
    <w:rsid w:val="0010024C"/>
    <w:rsid w:val="00104E6A"/>
    <w:rsid w:val="0010517B"/>
    <w:rsid w:val="00132F91"/>
    <w:rsid w:val="00134445"/>
    <w:rsid w:val="00136DEF"/>
    <w:rsid w:val="001576FE"/>
    <w:rsid w:val="0017653B"/>
    <w:rsid w:val="00194B40"/>
    <w:rsid w:val="001A4BCA"/>
    <w:rsid w:val="001C3026"/>
    <w:rsid w:val="001C4809"/>
    <w:rsid w:val="001D26CA"/>
    <w:rsid w:val="001F418F"/>
    <w:rsid w:val="001F6527"/>
    <w:rsid w:val="00203941"/>
    <w:rsid w:val="00235EF8"/>
    <w:rsid w:val="00247785"/>
    <w:rsid w:val="00250013"/>
    <w:rsid w:val="002569BF"/>
    <w:rsid w:val="0026126A"/>
    <w:rsid w:val="002619C4"/>
    <w:rsid w:val="0026215C"/>
    <w:rsid w:val="00293659"/>
    <w:rsid w:val="00295610"/>
    <w:rsid w:val="002F0056"/>
    <w:rsid w:val="002F200E"/>
    <w:rsid w:val="002F73D4"/>
    <w:rsid w:val="00315404"/>
    <w:rsid w:val="0031573F"/>
    <w:rsid w:val="0033283A"/>
    <w:rsid w:val="00361AED"/>
    <w:rsid w:val="003743A1"/>
    <w:rsid w:val="0038142C"/>
    <w:rsid w:val="003A1183"/>
    <w:rsid w:val="003B76AB"/>
    <w:rsid w:val="003C1150"/>
    <w:rsid w:val="003E4C08"/>
    <w:rsid w:val="003F4BC1"/>
    <w:rsid w:val="00404462"/>
    <w:rsid w:val="0042264A"/>
    <w:rsid w:val="00441AB0"/>
    <w:rsid w:val="00452284"/>
    <w:rsid w:val="004548DD"/>
    <w:rsid w:val="00486C45"/>
    <w:rsid w:val="004A44EC"/>
    <w:rsid w:val="004C5F6C"/>
    <w:rsid w:val="004D497D"/>
    <w:rsid w:val="004F5E98"/>
    <w:rsid w:val="00502677"/>
    <w:rsid w:val="00502DC0"/>
    <w:rsid w:val="00507A1A"/>
    <w:rsid w:val="00527ED6"/>
    <w:rsid w:val="0054376A"/>
    <w:rsid w:val="005550FA"/>
    <w:rsid w:val="00562797"/>
    <w:rsid w:val="00571D3C"/>
    <w:rsid w:val="0057461E"/>
    <w:rsid w:val="005751D3"/>
    <w:rsid w:val="00575D3A"/>
    <w:rsid w:val="00580900"/>
    <w:rsid w:val="005C138E"/>
    <w:rsid w:val="005C47D6"/>
    <w:rsid w:val="005C75D3"/>
    <w:rsid w:val="00620BEC"/>
    <w:rsid w:val="006216DD"/>
    <w:rsid w:val="00622A86"/>
    <w:rsid w:val="0063704E"/>
    <w:rsid w:val="006460F7"/>
    <w:rsid w:val="00647F38"/>
    <w:rsid w:val="006640F7"/>
    <w:rsid w:val="00674B7E"/>
    <w:rsid w:val="006A4529"/>
    <w:rsid w:val="006B7428"/>
    <w:rsid w:val="006B7922"/>
    <w:rsid w:val="006E1231"/>
    <w:rsid w:val="006E4030"/>
    <w:rsid w:val="006F3B79"/>
    <w:rsid w:val="007020F3"/>
    <w:rsid w:val="00732990"/>
    <w:rsid w:val="00745D4D"/>
    <w:rsid w:val="007562D5"/>
    <w:rsid w:val="00780F06"/>
    <w:rsid w:val="007A212C"/>
    <w:rsid w:val="007A43EF"/>
    <w:rsid w:val="007A61F4"/>
    <w:rsid w:val="007D143F"/>
    <w:rsid w:val="0080706B"/>
    <w:rsid w:val="00826945"/>
    <w:rsid w:val="008431FF"/>
    <w:rsid w:val="00845F26"/>
    <w:rsid w:val="00851558"/>
    <w:rsid w:val="00862571"/>
    <w:rsid w:val="00876053"/>
    <w:rsid w:val="008762F8"/>
    <w:rsid w:val="008A3893"/>
    <w:rsid w:val="008E5A1E"/>
    <w:rsid w:val="008F511C"/>
    <w:rsid w:val="00904AF3"/>
    <w:rsid w:val="0091008C"/>
    <w:rsid w:val="0091274B"/>
    <w:rsid w:val="00914403"/>
    <w:rsid w:val="009307B4"/>
    <w:rsid w:val="00951FC4"/>
    <w:rsid w:val="00962F5C"/>
    <w:rsid w:val="009A18C3"/>
    <w:rsid w:val="009A22E0"/>
    <w:rsid w:val="009B36CA"/>
    <w:rsid w:val="009C56B0"/>
    <w:rsid w:val="009D3C29"/>
    <w:rsid w:val="009E3451"/>
    <w:rsid w:val="009F6117"/>
    <w:rsid w:val="00A15297"/>
    <w:rsid w:val="00A33D7B"/>
    <w:rsid w:val="00A35391"/>
    <w:rsid w:val="00A52598"/>
    <w:rsid w:val="00A61CD5"/>
    <w:rsid w:val="00A73418"/>
    <w:rsid w:val="00A77B8E"/>
    <w:rsid w:val="00AC55D5"/>
    <w:rsid w:val="00AE558B"/>
    <w:rsid w:val="00B039BC"/>
    <w:rsid w:val="00B125E2"/>
    <w:rsid w:val="00B83440"/>
    <w:rsid w:val="00B87154"/>
    <w:rsid w:val="00BA2949"/>
    <w:rsid w:val="00BA4252"/>
    <w:rsid w:val="00BA5FDB"/>
    <w:rsid w:val="00BB1883"/>
    <w:rsid w:val="00BB52BA"/>
    <w:rsid w:val="00BC4791"/>
    <w:rsid w:val="00BD1695"/>
    <w:rsid w:val="00C01AE5"/>
    <w:rsid w:val="00C12AFA"/>
    <w:rsid w:val="00C15034"/>
    <w:rsid w:val="00C20997"/>
    <w:rsid w:val="00C31E5D"/>
    <w:rsid w:val="00C445F6"/>
    <w:rsid w:val="00C46DB3"/>
    <w:rsid w:val="00C659E3"/>
    <w:rsid w:val="00C663E5"/>
    <w:rsid w:val="00C66758"/>
    <w:rsid w:val="00C879A3"/>
    <w:rsid w:val="00CB0FAB"/>
    <w:rsid w:val="00CC3379"/>
    <w:rsid w:val="00CD0DB1"/>
    <w:rsid w:val="00CD4E9D"/>
    <w:rsid w:val="00CD6D50"/>
    <w:rsid w:val="00CF03DE"/>
    <w:rsid w:val="00D00EDE"/>
    <w:rsid w:val="00D20D64"/>
    <w:rsid w:val="00D21116"/>
    <w:rsid w:val="00D227D2"/>
    <w:rsid w:val="00D41044"/>
    <w:rsid w:val="00D41835"/>
    <w:rsid w:val="00D66971"/>
    <w:rsid w:val="00D676F1"/>
    <w:rsid w:val="00D76005"/>
    <w:rsid w:val="00D807F8"/>
    <w:rsid w:val="00D85D74"/>
    <w:rsid w:val="00D929A5"/>
    <w:rsid w:val="00DA5B3D"/>
    <w:rsid w:val="00DB0772"/>
    <w:rsid w:val="00DB2539"/>
    <w:rsid w:val="00DC0E0F"/>
    <w:rsid w:val="00DD1F5F"/>
    <w:rsid w:val="00E33A6C"/>
    <w:rsid w:val="00E50576"/>
    <w:rsid w:val="00E630C2"/>
    <w:rsid w:val="00EA0A6B"/>
    <w:rsid w:val="00EF37AE"/>
    <w:rsid w:val="00F257F8"/>
    <w:rsid w:val="00F25815"/>
    <w:rsid w:val="00F40836"/>
    <w:rsid w:val="00F4533F"/>
    <w:rsid w:val="00F62A4A"/>
    <w:rsid w:val="00F64309"/>
    <w:rsid w:val="00F674BB"/>
    <w:rsid w:val="00FC6F55"/>
    <w:rsid w:val="00FE4EB5"/>
    <w:rsid w:val="00FF73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772"/>
    <w:rPr>
      <w:rFonts w:ascii="Arial" w:hAnsi="Arial"/>
      <w:color w:val="53565A"/>
      <w:szCs w:val="24"/>
    </w:rPr>
  </w:style>
  <w:style w:type="paragraph" w:styleId="Heading1">
    <w:name w:val="heading 1"/>
    <w:basedOn w:val="Normal"/>
    <w:next w:val="Normal"/>
    <w:link w:val="Heading1Char"/>
    <w:uiPriority w:val="9"/>
    <w:qFormat/>
    <w:rsid w:val="000E316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1116"/>
    <w:pPr>
      <w:tabs>
        <w:tab w:val="center" w:pos="4513"/>
        <w:tab w:val="right" w:pos="9026"/>
      </w:tabs>
    </w:pPr>
  </w:style>
  <w:style w:type="character" w:customStyle="1" w:styleId="HeaderChar">
    <w:name w:val="Header Char"/>
    <w:basedOn w:val="DefaultParagraphFont"/>
    <w:link w:val="Header"/>
    <w:uiPriority w:val="99"/>
    <w:rsid w:val="00D21116"/>
    <w:rPr>
      <w:sz w:val="24"/>
      <w:szCs w:val="24"/>
    </w:rPr>
  </w:style>
  <w:style w:type="paragraph" w:styleId="Footer">
    <w:name w:val="footer"/>
    <w:basedOn w:val="Normal"/>
    <w:link w:val="FooterChar"/>
    <w:uiPriority w:val="99"/>
    <w:unhideWhenUsed/>
    <w:rsid w:val="00D21116"/>
    <w:pPr>
      <w:tabs>
        <w:tab w:val="center" w:pos="4513"/>
        <w:tab w:val="right" w:pos="9026"/>
      </w:tabs>
    </w:pPr>
  </w:style>
  <w:style w:type="character" w:customStyle="1" w:styleId="FooterChar">
    <w:name w:val="Footer Char"/>
    <w:basedOn w:val="DefaultParagraphFont"/>
    <w:link w:val="Footer"/>
    <w:uiPriority w:val="99"/>
    <w:rsid w:val="00D21116"/>
    <w:rPr>
      <w:sz w:val="24"/>
      <w:szCs w:val="24"/>
    </w:rPr>
  </w:style>
  <w:style w:type="paragraph" w:styleId="BalloonText">
    <w:name w:val="Balloon Text"/>
    <w:basedOn w:val="Normal"/>
    <w:link w:val="BalloonTextChar"/>
    <w:uiPriority w:val="99"/>
    <w:semiHidden/>
    <w:unhideWhenUsed/>
    <w:rsid w:val="00D21116"/>
    <w:rPr>
      <w:rFonts w:cs="Tahoma"/>
      <w:sz w:val="16"/>
      <w:szCs w:val="16"/>
    </w:rPr>
  </w:style>
  <w:style w:type="character" w:customStyle="1" w:styleId="BalloonTextChar">
    <w:name w:val="Balloon Text Char"/>
    <w:basedOn w:val="DefaultParagraphFont"/>
    <w:link w:val="BalloonText"/>
    <w:uiPriority w:val="99"/>
    <w:semiHidden/>
    <w:rsid w:val="00D21116"/>
    <w:rPr>
      <w:rFonts w:ascii="Tahoma" w:hAnsi="Tahoma" w:cs="Tahoma"/>
      <w:sz w:val="16"/>
      <w:szCs w:val="16"/>
    </w:rPr>
  </w:style>
  <w:style w:type="paragraph" w:customStyle="1" w:styleId="infosheettitle">
    <w:name w:val="# infosheet title"/>
    <w:basedOn w:val="Normal"/>
    <w:link w:val="infosheettitleChar"/>
    <w:qFormat/>
    <w:rsid w:val="006B7428"/>
    <w:pPr>
      <w:spacing w:line="420" w:lineRule="exact"/>
      <w:ind w:right="3357"/>
      <w:contextualSpacing/>
    </w:pPr>
    <w:rPr>
      <w:rFonts w:ascii="Arial Bold" w:hAnsi="Arial Bold"/>
      <w:b/>
      <w:color w:val="FFFFFF"/>
      <w:sz w:val="44"/>
      <w:szCs w:val="40"/>
    </w:rPr>
  </w:style>
  <w:style w:type="character" w:customStyle="1" w:styleId="infosheettitleChar">
    <w:name w:val="# infosheet title Char"/>
    <w:basedOn w:val="DefaultParagraphFont"/>
    <w:link w:val="infosheettitle"/>
    <w:rsid w:val="006B7428"/>
    <w:rPr>
      <w:rFonts w:ascii="Arial Bold" w:hAnsi="Arial Bold"/>
      <w:b/>
      <w:color w:val="FFFFFF"/>
      <w:sz w:val="44"/>
      <w:szCs w:val="40"/>
    </w:rPr>
  </w:style>
  <w:style w:type="paragraph" w:customStyle="1" w:styleId="infosheetsubtitle">
    <w:name w:val="# infosheet subtitle"/>
    <w:basedOn w:val="Normal"/>
    <w:link w:val="infosheetsubtitleChar"/>
    <w:qFormat/>
    <w:rsid w:val="00BA2949"/>
    <w:pPr>
      <w:spacing w:before="180" w:after="120" w:line="320" w:lineRule="exact"/>
      <w:ind w:right="3357"/>
      <w:contextualSpacing/>
    </w:pPr>
    <w:rPr>
      <w:color w:val="FFFFFF"/>
      <w:sz w:val="32"/>
    </w:rPr>
  </w:style>
  <w:style w:type="character" w:customStyle="1" w:styleId="infosheetsubtitleChar">
    <w:name w:val="# infosheet subtitle Char"/>
    <w:basedOn w:val="DefaultParagraphFont"/>
    <w:link w:val="infosheetsubtitle"/>
    <w:rsid w:val="00BA2949"/>
    <w:rPr>
      <w:rFonts w:ascii="Arial" w:hAnsi="Arial"/>
      <w:color w:val="FFFFFF"/>
      <w:sz w:val="32"/>
      <w:szCs w:val="24"/>
    </w:rPr>
  </w:style>
  <w:style w:type="paragraph" w:customStyle="1" w:styleId="introtext">
    <w:name w:val="# intro text"/>
    <w:basedOn w:val="Normal"/>
    <w:next w:val="bodycopy"/>
    <w:qFormat/>
    <w:rsid w:val="00D41044"/>
    <w:pPr>
      <w:spacing w:before="300" w:after="360" w:line="320" w:lineRule="atLeast"/>
    </w:pPr>
    <w:rPr>
      <w:rFonts w:cs="Arial"/>
      <w:color w:val="064EA8"/>
      <w:spacing w:val="-10"/>
      <w:sz w:val="28"/>
      <w:szCs w:val="20"/>
    </w:rPr>
  </w:style>
  <w:style w:type="paragraph" w:customStyle="1" w:styleId="bodycopy">
    <w:name w:val="# body copy"/>
    <w:basedOn w:val="Normal"/>
    <w:qFormat/>
    <w:rsid w:val="00DB0772"/>
    <w:pPr>
      <w:spacing w:after="120"/>
    </w:pPr>
    <w:rPr>
      <w:rFonts w:cs="Arial"/>
      <w:szCs w:val="20"/>
    </w:rPr>
  </w:style>
  <w:style w:type="paragraph" w:customStyle="1" w:styleId="dotpoints">
    <w:name w:val="# dot points"/>
    <w:basedOn w:val="Normal"/>
    <w:link w:val="dotpointsChar"/>
    <w:qFormat/>
    <w:rsid w:val="00055849"/>
    <w:pPr>
      <w:keepLines/>
      <w:numPr>
        <w:numId w:val="1"/>
      </w:numPr>
      <w:spacing w:before="180" w:after="180" w:line="300" w:lineRule="auto"/>
      <w:contextualSpacing/>
    </w:pPr>
    <w:rPr>
      <w:rFonts w:cs="Arial"/>
      <w:szCs w:val="20"/>
    </w:rPr>
  </w:style>
  <w:style w:type="character" w:customStyle="1" w:styleId="dotpointsChar">
    <w:name w:val="# dot points Char"/>
    <w:basedOn w:val="DefaultParagraphFont"/>
    <w:link w:val="dotpoints"/>
    <w:rsid w:val="00055849"/>
    <w:rPr>
      <w:rFonts w:ascii="Arial" w:hAnsi="Arial" w:cs="Arial"/>
      <w:color w:val="53565A"/>
    </w:rPr>
  </w:style>
  <w:style w:type="paragraph" w:customStyle="1" w:styleId="heading2black">
    <w:name w:val="# heading 2 black"/>
    <w:basedOn w:val="Normal"/>
    <w:next w:val="bodycopy"/>
    <w:qFormat/>
    <w:rsid w:val="00C659E3"/>
    <w:pPr>
      <w:keepNext/>
      <w:spacing w:before="240" w:after="120"/>
    </w:pPr>
    <w:rPr>
      <w:rFonts w:cs="Arial"/>
      <w:b/>
      <w:color w:val="auto"/>
      <w:szCs w:val="20"/>
    </w:rPr>
  </w:style>
  <w:style w:type="paragraph" w:customStyle="1" w:styleId="instructions">
    <w:name w:val="instructions"/>
    <w:basedOn w:val="Normal"/>
    <w:link w:val="instructionsChar"/>
    <w:qFormat/>
    <w:rsid w:val="003743A1"/>
    <w:pPr>
      <w:spacing w:before="60" w:after="120"/>
    </w:pPr>
    <w:rPr>
      <w:color w:val="C0504D" w:themeColor="accent2"/>
      <w:sz w:val="18"/>
      <w:szCs w:val="20"/>
      <w:lang w:eastAsia="en-US"/>
    </w:rPr>
  </w:style>
  <w:style w:type="character" w:customStyle="1" w:styleId="instructionsChar">
    <w:name w:val="instructions Char"/>
    <w:basedOn w:val="DefaultParagraphFont"/>
    <w:link w:val="instructions"/>
    <w:rsid w:val="003743A1"/>
    <w:rPr>
      <w:rFonts w:ascii="Arial" w:hAnsi="Arial"/>
      <w:color w:val="C0504D" w:themeColor="accent2"/>
      <w:sz w:val="18"/>
      <w:lang w:eastAsia="en-US"/>
    </w:rPr>
  </w:style>
  <w:style w:type="paragraph" w:customStyle="1" w:styleId="heading1blue">
    <w:name w:val="# heading 1 blue"/>
    <w:basedOn w:val="Normal"/>
    <w:next w:val="bodycopy"/>
    <w:qFormat/>
    <w:rsid w:val="00C659E3"/>
    <w:pPr>
      <w:keepNext/>
      <w:spacing w:before="240" w:after="120"/>
    </w:pPr>
    <w:rPr>
      <w:rFonts w:cs="Arial"/>
      <w:color w:val="064EA8"/>
      <w:sz w:val="24"/>
      <w:szCs w:val="20"/>
    </w:rPr>
  </w:style>
  <w:style w:type="paragraph" w:customStyle="1" w:styleId="tablename">
    <w:name w:val="# table name"/>
    <w:basedOn w:val="Normal"/>
    <w:qFormat/>
    <w:rsid w:val="001F6527"/>
    <w:pPr>
      <w:keepNext/>
      <w:spacing w:before="240" w:after="120"/>
    </w:pPr>
    <w:rPr>
      <w:rFonts w:cs="Arial"/>
      <w:b/>
      <w:color w:val="064EA8"/>
      <w:sz w:val="18"/>
      <w:szCs w:val="18"/>
    </w:rPr>
  </w:style>
  <w:style w:type="table" w:styleId="TableGrid">
    <w:name w:val="Table Grid"/>
    <w:basedOn w:val="TableNormal"/>
    <w:uiPriority w:val="59"/>
    <w:rsid w:val="001F6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s">
    <w:name w:val="# table titles"/>
    <w:basedOn w:val="Normal"/>
    <w:qFormat/>
    <w:rsid w:val="001F6527"/>
    <w:pPr>
      <w:spacing w:before="60" w:after="60"/>
    </w:pPr>
    <w:rPr>
      <w:rFonts w:cs="Arial"/>
      <w:b/>
      <w:color w:val="FFFFFF"/>
      <w:sz w:val="18"/>
      <w:szCs w:val="20"/>
    </w:rPr>
  </w:style>
  <w:style w:type="paragraph" w:customStyle="1" w:styleId="tabletext">
    <w:name w:val="# table text"/>
    <w:basedOn w:val="Normal"/>
    <w:qFormat/>
    <w:rsid w:val="001F6527"/>
    <w:pPr>
      <w:spacing w:before="60" w:after="60"/>
    </w:pPr>
    <w:rPr>
      <w:rFonts w:cs="Arial"/>
      <w:sz w:val="18"/>
      <w:szCs w:val="18"/>
    </w:rPr>
  </w:style>
  <w:style w:type="character" w:styleId="Hyperlink">
    <w:name w:val="Hyperlink"/>
    <w:basedOn w:val="DefaultParagraphFont"/>
    <w:uiPriority w:val="99"/>
    <w:unhideWhenUsed/>
    <w:rsid w:val="001C4809"/>
    <w:rPr>
      <w:color w:val="0000FF" w:themeColor="hyperlink"/>
      <w:u w:val="single"/>
    </w:rPr>
  </w:style>
  <w:style w:type="character" w:customStyle="1" w:styleId="Heading1Char">
    <w:name w:val="Heading 1 Char"/>
    <w:basedOn w:val="DefaultParagraphFont"/>
    <w:link w:val="Heading1"/>
    <w:uiPriority w:val="9"/>
    <w:rsid w:val="000E316F"/>
    <w:rPr>
      <w:rFonts w:asciiTheme="majorHAnsi" w:eastAsiaTheme="majorEastAsia" w:hAnsiTheme="majorHAnsi" w:cstheme="majorBidi"/>
      <w:b/>
      <w:bCs/>
      <w:color w:val="365F91" w:themeColor="accent1" w:themeShade="BF"/>
      <w:sz w:val="28"/>
      <w:szCs w:val="28"/>
      <w:lang w:eastAsia="en-US"/>
    </w:rPr>
  </w:style>
  <w:style w:type="paragraph" w:styleId="FootnoteText">
    <w:name w:val="footnote text"/>
    <w:basedOn w:val="Normal"/>
    <w:link w:val="FootnoteTextChar"/>
    <w:uiPriority w:val="99"/>
    <w:semiHidden/>
    <w:unhideWhenUsed/>
    <w:rsid w:val="00A33D7B"/>
    <w:rPr>
      <w:szCs w:val="20"/>
    </w:rPr>
  </w:style>
  <w:style w:type="character" w:customStyle="1" w:styleId="FootnoteTextChar">
    <w:name w:val="Footnote Text Char"/>
    <w:basedOn w:val="DefaultParagraphFont"/>
    <w:link w:val="FootnoteText"/>
    <w:uiPriority w:val="99"/>
    <w:semiHidden/>
    <w:rsid w:val="00A33D7B"/>
    <w:rPr>
      <w:rFonts w:ascii="Arial" w:hAnsi="Arial"/>
      <w:color w:val="53565A"/>
    </w:rPr>
  </w:style>
  <w:style w:type="character" w:styleId="FootnoteReference">
    <w:name w:val="footnote reference"/>
    <w:basedOn w:val="DefaultParagraphFont"/>
    <w:uiPriority w:val="99"/>
    <w:semiHidden/>
    <w:unhideWhenUsed/>
    <w:rsid w:val="00A33D7B"/>
    <w:rPr>
      <w:vertAlign w:val="superscript"/>
    </w:rPr>
  </w:style>
  <w:style w:type="character" w:styleId="CommentReference">
    <w:name w:val="annotation reference"/>
    <w:basedOn w:val="DefaultParagraphFont"/>
    <w:uiPriority w:val="99"/>
    <w:semiHidden/>
    <w:unhideWhenUsed/>
    <w:rsid w:val="00293659"/>
    <w:rPr>
      <w:sz w:val="16"/>
      <w:szCs w:val="16"/>
    </w:rPr>
  </w:style>
  <w:style w:type="paragraph" w:styleId="CommentText">
    <w:name w:val="annotation text"/>
    <w:basedOn w:val="Normal"/>
    <w:link w:val="CommentTextChar"/>
    <w:uiPriority w:val="99"/>
    <w:semiHidden/>
    <w:unhideWhenUsed/>
    <w:rsid w:val="00293659"/>
    <w:rPr>
      <w:szCs w:val="20"/>
    </w:rPr>
  </w:style>
  <w:style w:type="character" w:customStyle="1" w:styleId="CommentTextChar">
    <w:name w:val="Comment Text Char"/>
    <w:basedOn w:val="DefaultParagraphFont"/>
    <w:link w:val="CommentText"/>
    <w:uiPriority w:val="99"/>
    <w:semiHidden/>
    <w:rsid w:val="00293659"/>
    <w:rPr>
      <w:rFonts w:ascii="Arial" w:hAnsi="Arial"/>
      <w:color w:val="53565A"/>
    </w:rPr>
  </w:style>
  <w:style w:type="paragraph" w:styleId="CommentSubject">
    <w:name w:val="annotation subject"/>
    <w:basedOn w:val="CommentText"/>
    <w:next w:val="CommentText"/>
    <w:link w:val="CommentSubjectChar"/>
    <w:uiPriority w:val="99"/>
    <w:semiHidden/>
    <w:unhideWhenUsed/>
    <w:rsid w:val="00293659"/>
    <w:rPr>
      <w:b/>
      <w:bCs/>
    </w:rPr>
  </w:style>
  <w:style w:type="character" w:customStyle="1" w:styleId="CommentSubjectChar">
    <w:name w:val="Comment Subject Char"/>
    <w:basedOn w:val="CommentTextChar"/>
    <w:link w:val="CommentSubject"/>
    <w:uiPriority w:val="99"/>
    <w:semiHidden/>
    <w:rsid w:val="00293659"/>
    <w:rPr>
      <w:rFonts w:ascii="Arial" w:hAnsi="Arial"/>
      <w:b/>
      <w:bCs/>
      <w:color w:val="53565A"/>
    </w:rPr>
  </w:style>
  <w:style w:type="paragraph" w:styleId="Revision">
    <w:name w:val="Revision"/>
    <w:hidden/>
    <w:uiPriority w:val="99"/>
    <w:semiHidden/>
    <w:rsid w:val="00C445F6"/>
    <w:rPr>
      <w:rFonts w:ascii="Arial" w:hAnsi="Arial"/>
      <w:color w:val="53565A"/>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772"/>
    <w:rPr>
      <w:rFonts w:ascii="Arial" w:hAnsi="Arial"/>
      <w:color w:val="53565A"/>
      <w:szCs w:val="24"/>
    </w:rPr>
  </w:style>
  <w:style w:type="paragraph" w:styleId="Heading1">
    <w:name w:val="heading 1"/>
    <w:basedOn w:val="Normal"/>
    <w:next w:val="Normal"/>
    <w:link w:val="Heading1Char"/>
    <w:uiPriority w:val="9"/>
    <w:qFormat/>
    <w:rsid w:val="000E316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1116"/>
    <w:pPr>
      <w:tabs>
        <w:tab w:val="center" w:pos="4513"/>
        <w:tab w:val="right" w:pos="9026"/>
      </w:tabs>
    </w:pPr>
  </w:style>
  <w:style w:type="character" w:customStyle="1" w:styleId="HeaderChar">
    <w:name w:val="Header Char"/>
    <w:basedOn w:val="DefaultParagraphFont"/>
    <w:link w:val="Header"/>
    <w:uiPriority w:val="99"/>
    <w:rsid w:val="00D21116"/>
    <w:rPr>
      <w:sz w:val="24"/>
      <w:szCs w:val="24"/>
    </w:rPr>
  </w:style>
  <w:style w:type="paragraph" w:styleId="Footer">
    <w:name w:val="footer"/>
    <w:basedOn w:val="Normal"/>
    <w:link w:val="FooterChar"/>
    <w:uiPriority w:val="99"/>
    <w:unhideWhenUsed/>
    <w:rsid w:val="00D21116"/>
    <w:pPr>
      <w:tabs>
        <w:tab w:val="center" w:pos="4513"/>
        <w:tab w:val="right" w:pos="9026"/>
      </w:tabs>
    </w:pPr>
  </w:style>
  <w:style w:type="character" w:customStyle="1" w:styleId="FooterChar">
    <w:name w:val="Footer Char"/>
    <w:basedOn w:val="DefaultParagraphFont"/>
    <w:link w:val="Footer"/>
    <w:uiPriority w:val="99"/>
    <w:rsid w:val="00D21116"/>
    <w:rPr>
      <w:sz w:val="24"/>
      <w:szCs w:val="24"/>
    </w:rPr>
  </w:style>
  <w:style w:type="paragraph" w:styleId="BalloonText">
    <w:name w:val="Balloon Text"/>
    <w:basedOn w:val="Normal"/>
    <w:link w:val="BalloonTextChar"/>
    <w:uiPriority w:val="99"/>
    <w:semiHidden/>
    <w:unhideWhenUsed/>
    <w:rsid w:val="00D21116"/>
    <w:rPr>
      <w:rFonts w:cs="Tahoma"/>
      <w:sz w:val="16"/>
      <w:szCs w:val="16"/>
    </w:rPr>
  </w:style>
  <w:style w:type="character" w:customStyle="1" w:styleId="BalloonTextChar">
    <w:name w:val="Balloon Text Char"/>
    <w:basedOn w:val="DefaultParagraphFont"/>
    <w:link w:val="BalloonText"/>
    <w:uiPriority w:val="99"/>
    <w:semiHidden/>
    <w:rsid w:val="00D21116"/>
    <w:rPr>
      <w:rFonts w:ascii="Tahoma" w:hAnsi="Tahoma" w:cs="Tahoma"/>
      <w:sz w:val="16"/>
      <w:szCs w:val="16"/>
    </w:rPr>
  </w:style>
  <w:style w:type="paragraph" w:customStyle="1" w:styleId="infosheettitle">
    <w:name w:val="# infosheet title"/>
    <w:basedOn w:val="Normal"/>
    <w:link w:val="infosheettitleChar"/>
    <w:qFormat/>
    <w:rsid w:val="006B7428"/>
    <w:pPr>
      <w:spacing w:line="420" w:lineRule="exact"/>
      <w:ind w:right="3357"/>
      <w:contextualSpacing/>
    </w:pPr>
    <w:rPr>
      <w:rFonts w:ascii="Arial Bold" w:hAnsi="Arial Bold"/>
      <w:b/>
      <w:color w:val="FFFFFF"/>
      <w:sz w:val="44"/>
      <w:szCs w:val="40"/>
    </w:rPr>
  </w:style>
  <w:style w:type="character" w:customStyle="1" w:styleId="infosheettitleChar">
    <w:name w:val="# infosheet title Char"/>
    <w:basedOn w:val="DefaultParagraphFont"/>
    <w:link w:val="infosheettitle"/>
    <w:rsid w:val="006B7428"/>
    <w:rPr>
      <w:rFonts w:ascii="Arial Bold" w:hAnsi="Arial Bold"/>
      <w:b/>
      <w:color w:val="FFFFFF"/>
      <w:sz w:val="44"/>
      <w:szCs w:val="40"/>
    </w:rPr>
  </w:style>
  <w:style w:type="paragraph" w:customStyle="1" w:styleId="infosheetsubtitle">
    <w:name w:val="# infosheet subtitle"/>
    <w:basedOn w:val="Normal"/>
    <w:link w:val="infosheetsubtitleChar"/>
    <w:qFormat/>
    <w:rsid w:val="00BA2949"/>
    <w:pPr>
      <w:spacing w:before="180" w:after="120" w:line="320" w:lineRule="exact"/>
      <w:ind w:right="3357"/>
      <w:contextualSpacing/>
    </w:pPr>
    <w:rPr>
      <w:color w:val="FFFFFF"/>
      <w:sz w:val="32"/>
    </w:rPr>
  </w:style>
  <w:style w:type="character" w:customStyle="1" w:styleId="infosheetsubtitleChar">
    <w:name w:val="# infosheet subtitle Char"/>
    <w:basedOn w:val="DefaultParagraphFont"/>
    <w:link w:val="infosheetsubtitle"/>
    <w:rsid w:val="00BA2949"/>
    <w:rPr>
      <w:rFonts w:ascii="Arial" w:hAnsi="Arial"/>
      <w:color w:val="FFFFFF"/>
      <w:sz w:val="32"/>
      <w:szCs w:val="24"/>
    </w:rPr>
  </w:style>
  <w:style w:type="paragraph" w:customStyle="1" w:styleId="introtext">
    <w:name w:val="# intro text"/>
    <w:basedOn w:val="Normal"/>
    <w:next w:val="bodycopy"/>
    <w:qFormat/>
    <w:rsid w:val="00D41044"/>
    <w:pPr>
      <w:spacing w:before="300" w:after="360" w:line="320" w:lineRule="atLeast"/>
    </w:pPr>
    <w:rPr>
      <w:rFonts w:cs="Arial"/>
      <w:color w:val="064EA8"/>
      <w:spacing w:val="-10"/>
      <w:sz w:val="28"/>
      <w:szCs w:val="20"/>
    </w:rPr>
  </w:style>
  <w:style w:type="paragraph" w:customStyle="1" w:styleId="bodycopy">
    <w:name w:val="# body copy"/>
    <w:basedOn w:val="Normal"/>
    <w:qFormat/>
    <w:rsid w:val="00DB0772"/>
    <w:pPr>
      <w:spacing w:after="120"/>
    </w:pPr>
    <w:rPr>
      <w:rFonts w:cs="Arial"/>
      <w:szCs w:val="20"/>
    </w:rPr>
  </w:style>
  <w:style w:type="paragraph" w:customStyle="1" w:styleId="dotpoints">
    <w:name w:val="# dot points"/>
    <w:basedOn w:val="Normal"/>
    <w:link w:val="dotpointsChar"/>
    <w:qFormat/>
    <w:rsid w:val="00055849"/>
    <w:pPr>
      <w:keepLines/>
      <w:numPr>
        <w:numId w:val="1"/>
      </w:numPr>
      <w:spacing w:before="180" w:after="180" w:line="300" w:lineRule="auto"/>
      <w:contextualSpacing/>
    </w:pPr>
    <w:rPr>
      <w:rFonts w:cs="Arial"/>
      <w:szCs w:val="20"/>
    </w:rPr>
  </w:style>
  <w:style w:type="character" w:customStyle="1" w:styleId="dotpointsChar">
    <w:name w:val="# dot points Char"/>
    <w:basedOn w:val="DefaultParagraphFont"/>
    <w:link w:val="dotpoints"/>
    <w:rsid w:val="00055849"/>
    <w:rPr>
      <w:rFonts w:ascii="Arial" w:hAnsi="Arial" w:cs="Arial"/>
      <w:color w:val="53565A"/>
    </w:rPr>
  </w:style>
  <w:style w:type="paragraph" w:customStyle="1" w:styleId="heading2black">
    <w:name w:val="# heading 2 black"/>
    <w:basedOn w:val="Normal"/>
    <w:next w:val="bodycopy"/>
    <w:qFormat/>
    <w:rsid w:val="00C659E3"/>
    <w:pPr>
      <w:keepNext/>
      <w:spacing w:before="240" w:after="120"/>
    </w:pPr>
    <w:rPr>
      <w:rFonts w:cs="Arial"/>
      <w:b/>
      <w:color w:val="auto"/>
      <w:szCs w:val="20"/>
    </w:rPr>
  </w:style>
  <w:style w:type="paragraph" w:customStyle="1" w:styleId="instructions">
    <w:name w:val="instructions"/>
    <w:basedOn w:val="Normal"/>
    <w:link w:val="instructionsChar"/>
    <w:qFormat/>
    <w:rsid w:val="003743A1"/>
    <w:pPr>
      <w:spacing w:before="60" w:after="120"/>
    </w:pPr>
    <w:rPr>
      <w:color w:val="C0504D" w:themeColor="accent2"/>
      <w:sz w:val="18"/>
      <w:szCs w:val="20"/>
      <w:lang w:eastAsia="en-US"/>
    </w:rPr>
  </w:style>
  <w:style w:type="character" w:customStyle="1" w:styleId="instructionsChar">
    <w:name w:val="instructions Char"/>
    <w:basedOn w:val="DefaultParagraphFont"/>
    <w:link w:val="instructions"/>
    <w:rsid w:val="003743A1"/>
    <w:rPr>
      <w:rFonts w:ascii="Arial" w:hAnsi="Arial"/>
      <w:color w:val="C0504D" w:themeColor="accent2"/>
      <w:sz w:val="18"/>
      <w:lang w:eastAsia="en-US"/>
    </w:rPr>
  </w:style>
  <w:style w:type="paragraph" w:customStyle="1" w:styleId="heading1blue">
    <w:name w:val="# heading 1 blue"/>
    <w:basedOn w:val="Normal"/>
    <w:next w:val="bodycopy"/>
    <w:qFormat/>
    <w:rsid w:val="00C659E3"/>
    <w:pPr>
      <w:keepNext/>
      <w:spacing w:before="240" w:after="120"/>
    </w:pPr>
    <w:rPr>
      <w:rFonts w:cs="Arial"/>
      <w:color w:val="064EA8"/>
      <w:sz w:val="24"/>
      <w:szCs w:val="20"/>
    </w:rPr>
  </w:style>
  <w:style w:type="paragraph" w:customStyle="1" w:styleId="tablename">
    <w:name w:val="# table name"/>
    <w:basedOn w:val="Normal"/>
    <w:qFormat/>
    <w:rsid w:val="001F6527"/>
    <w:pPr>
      <w:keepNext/>
      <w:spacing w:before="240" w:after="120"/>
    </w:pPr>
    <w:rPr>
      <w:rFonts w:cs="Arial"/>
      <w:b/>
      <w:color w:val="064EA8"/>
      <w:sz w:val="18"/>
      <w:szCs w:val="18"/>
    </w:rPr>
  </w:style>
  <w:style w:type="table" w:styleId="TableGrid">
    <w:name w:val="Table Grid"/>
    <w:basedOn w:val="TableNormal"/>
    <w:uiPriority w:val="59"/>
    <w:rsid w:val="001F6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s">
    <w:name w:val="# table titles"/>
    <w:basedOn w:val="Normal"/>
    <w:qFormat/>
    <w:rsid w:val="001F6527"/>
    <w:pPr>
      <w:spacing w:before="60" w:after="60"/>
    </w:pPr>
    <w:rPr>
      <w:rFonts w:cs="Arial"/>
      <w:b/>
      <w:color w:val="FFFFFF"/>
      <w:sz w:val="18"/>
      <w:szCs w:val="20"/>
    </w:rPr>
  </w:style>
  <w:style w:type="paragraph" w:customStyle="1" w:styleId="tabletext">
    <w:name w:val="# table text"/>
    <w:basedOn w:val="Normal"/>
    <w:qFormat/>
    <w:rsid w:val="001F6527"/>
    <w:pPr>
      <w:spacing w:before="60" w:after="60"/>
    </w:pPr>
    <w:rPr>
      <w:rFonts w:cs="Arial"/>
      <w:sz w:val="18"/>
      <w:szCs w:val="18"/>
    </w:rPr>
  </w:style>
  <w:style w:type="character" w:styleId="Hyperlink">
    <w:name w:val="Hyperlink"/>
    <w:basedOn w:val="DefaultParagraphFont"/>
    <w:uiPriority w:val="99"/>
    <w:unhideWhenUsed/>
    <w:rsid w:val="001C4809"/>
    <w:rPr>
      <w:color w:val="0000FF" w:themeColor="hyperlink"/>
      <w:u w:val="single"/>
    </w:rPr>
  </w:style>
  <w:style w:type="character" w:customStyle="1" w:styleId="Heading1Char">
    <w:name w:val="Heading 1 Char"/>
    <w:basedOn w:val="DefaultParagraphFont"/>
    <w:link w:val="Heading1"/>
    <w:uiPriority w:val="9"/>
    <w:rsid w:val="000E316F"/>
    <w:rPr>
      <w:rFonts w:asciiTheme="majorHAnsi" w:eastAsiaTheme="majorEastAsia" w:hAnsiTheme="majorHAnsi" w:cstheme="majorBidi"/>
      <w:b/>
      <w:bCs/>
      <w:color w:val="365F91" w:themeColor="accent1" w:themeShade="BF"/>
      <w:sz w:val="28"/>
      <w:szCs w:val="28"/>
      <w:lang w:eastAsia="en-US"/>
    </w:rPr>
  </w:style>
  <w:style w:type="paragraph" w:styleId="FootnoteText">
    <w:name w:val="footnote text"/>
    <w:basedOn w:val="Normal"/>
    <w:link w:val="FootnoteTextChar"/>
    <w:uiPriority w:val="99"/>
    <w:semiHidden/>
    <w:unhideWhenUsed/>
    <w:rsid w:val="00A33D7B"/>
    <w:rPr>
      <w:szCs w:val="20"/>
    </w:rPr>
  </w:style>
  <w:style w:type="character" w:customStyle="1" w:styleId="FootnoteTextChar">
    <w:name w:val="Footnote Text Char"/>
    <w:basedOn w:val="DefaultParagraphFont"/>
    <w:link w:val="FootnoteText"/>
    <w:uiPriority w:val="99"/>
    <w:semiHidden/>
    <w:rsid w:val="00A33D7B"/>
    <w:rPr>
      <w:rFonts w:ascii="Arial" w:hAnsi="Arial"/>
      <w:color w:val="53565A"/>
    </w:rPr>
  </w:style>
  <w:style w:type="character" w:styleId="FootnoteReference">
    <w:name w:val="footnote reference"/>
    <w:basedOn w:val="DefaultParagraphFont"/>
    <w:uiPriority w:val="99"/>
    <w:semiHidden/>
    <w:unhideWhenUsed/>
    <w:rsid w:val="00A33D7B"/>
    <w:rPr>
      <w:vertAlign w:val="superscript"/>
    </w:rPr>
  </w:style>
  <w:style w:type="character" w:styleId="CommentReference">
    <w:name w:val="annotation reference"/>
    <w:basedOn w:val="DefaultParagraphFont"/>
    <w:uiPriority w:val="99"/>
    <w:semiHidden/>
    <w:unhideWhenUsed/>
    <w:rsid w:val="00293659"/>
    <w:rPr>
      <w:sz w:val="16"/>
      <w:szCs w:val="16"/>
    </w:rPr>
  </w:style>
  <w:style w:type="paragraph" w:styleId="CommentText">
    <w:name w:val="annotation text"/>
    <w:basedOn w:val="Normal"/>
    <w:link w:val="CommentTextChar"/>
    <w:uiPriority w:val="99"/>
    <w:semiHidden/>
    <w:unhideWhenUsed/>
    <w:rsid w:val="00293659"/>
    <w:rPr>
      <w:szCs w:val="20"/>
    </w:rPr>
  </w:style>
  <w:style w:type="character" w:customStyle="1" w:styleId="CommentTextChar">
    <w:name w:val="Comment Text Char"/>
    <w:basedOn w:val="DefaultParagraphFont"/>
    <w:link w:val="CommentText"/>
    <w:uiPriority w:val="99"/>
    <w:semiHidden/>
    <w:rsid w:val="00293659"/>
    <w:rPr>
      <w:rFonts w:ascii="Arial" w:hAnsi="Arial"/>
      <w:color w:val="53565A"/>
    </w:rPr>
  </w:style>
  <w:style w:type="paragraph" w:styleId="CommentSubject">
    <w:name w:val="annotation subject"/>
    <w:basedOn w:val="CommentText"/>
    <w:next w:val="CommentText"/>
    <w:link w:val="CommentSubjectChar"/>
    <w:uiPriority w:val="99"/>
    <w:semiHidden/>
    <w:unhideWhenUsed/>
    <w:rsid w:val="00293659"/>
    <w:rPr>
      <w:b/>
      <w:bCs/>
    </w:rPr>
  </w:style>
  <w:style w:type="character" w:customStyle="1" w:styleId="CommentSubjectChar">
    <w:name w:val="Comment Subject Char"/>
    <w:basedOn w:val="CommentTextChar"/>
    <w:link w:val="CommentSubject"/>
    <w:uiPriority w:val="99"/>
    <w:semiHidden/>
    <w:rsid w:val="00293659"/>
    <w:rPr>
      <w:rFonts w:ascii="Arial" w:hAnsi="Arial"/>
      <w:b/>
      <w:bCs/>
      <w:color w:val="53565A"/>
    </w:rPr>
  </w:style>
  <w:style w:type="paragraph" w:styleId="Revision">
    <w:name w:val="Revision"/>
    <w:hidden/>
    <w:uiPriority w:val="99"/>
    <w:semiHidden/>
    <w:rsid w:val="00C445F6"/>
    <w:rPr>
      <w:rFonts w:ascii="Arial" w:hAnsi="Arial"/>
      <w:color w:val="53565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75476">
      <w:bodyDiv w:val="1"/>
      <w:marLeft w:val="0"/>
      <w:marRight w:val="0"/>
      <w:marTop w:val="0"/>
      <w:marBottom w:val="0"/>
      <w:divBdr>
        <w:top w:val="none" w:sz="0" w:space="0" w:color="auto"/>
        <w:left w:val="none" w:sz="0" w:space="0" w:color="auto"/>
        <w:bottom w:val="none" w:sz="0" w:space="0" w:color="auto"/>
        <w:right w:val="none" w:sz="0" w:space="0" w:color="auto"/>
      </w:divBdr>
    </w:div>
    <w:div w:id="785588697">
      <w:bodyDiv w:val="1"/>
      <w:marLeft w:val="0"/>
      <w:marRight w:val="0"/>
      <w:marTop w:val="0"/>
      <w:marBottom w:val="0"/>
      <w:divBdr>
        <w:top w:val="none" w:sz="0" w:space="0" w:color="auto"/>
        <w:left w:val="none" w:sz="0" w:space="0" w:color="auto"/>
        <w:bottom w:val="none" w:sz="0" w:space="0" w:color="auto"/>
        <w:right w:val="none" w:sz="0" w:space="0" w:color="auto"/>
      </w:divBdr>
    </w:div>
    <w:div w:id="973408144">
      <w:bodyDiv w:val="1"/>
      <w:marLeft w:val="0"/>
      <w:marRight w:val="0"/>
      <w:marTop w:val="0"/>
      <w:marBottom w:val="0"/>
      <w:divBdr>
        <w:top w:val="none" w:sz="0" w:space="0" w:color="auto"/>
        <w:left w:val="none" w:sz="0" w:space="0" w:color="auto"/>
        <w:bottom w:val="none" w:sz="0" w:space="0" w:color="auto"/>
        <w:right w:val="none" w:sz="0" w:space="0" w:color="auto"/>
      </w:divBdr>
    </w:div>
    <w:div w:id="1180005940">
      <w:bodyDiv w:val="1"/>
      <w:marLeft w:val="0"/>
      <w:marRight w:val="0"/>
      <w:marTop w:val="0"/>
      <w:marBottom w:val="0"/>
      <w:divBdr>
        <w:top w:val="none" w:sz="0" w:space="0" w:color="auto"/>
        <w:left w:val="none" w:sz="0" w:space="0" w:color="auto"/>
        <w:bottom w:val="none" w:sz="0" w:space="0" w:color="auto"/>
        <w:right w:val="none" w:sz="0" w:space="0" w:color="auto"/>
      </w:divBdr>
    </w:div>
    <w:div w:id="180230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nergyandresources.vic.gov.au/esi"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economicdevelopment.vic.gov.au" TargetMode="External"/><Relationship Id="rId2" Type="http://schemas.openxmlformats.org/officeDocument/2006/relationships/numbering" Target="numbering.xml"/><Relationship Id="rId16" Type="http://schemas.openxmlformats.org/officeDocument/2006/relationships/hyperlink" Target="http://www.energyandresources.vic.gov.au/es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mailto:energysaver.incentive@ecodev.vic.gov.au" TargetMode="Externa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energyandresources.vic.gov.au/e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B4700-789C-4566-96E8-DDFB7F4EB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2351</Words>
  <Characters>12954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15275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Deidre Rooney</dc:creator>
  <cp:lastModifiedBy>Kathryn Lucas-Healey</cp:lastModifiedBy>
  <cp:revision>9</cp:revision>
  <cp:lastPrinted>2016-05-09T02:09:00Z</cp:lastPrinted>
  <dcterms:created xsi:type="dcterms:W3CDTF">2016-06-10T05:20:00Z</dcterms:created>
  <dcterms:modified xsi:type="dcterms:W3CDTF">2016-06-14T00:50:00Z</dcterms:modified>
</cp:coreProperties>
</file>