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28" w:rsidRDefault="006B7428" w:rsidP="001A4BCA">
      <w:pPr>
        <w:pStyle w:val="introtext"/>
      </w:pPr>
    </w:p>
    <w:p w:rsidR="00C659E3" w:rsidRDefault="000551EB" w:rsidP="001A4BCA">
      <w:pPr>
        <w:pStyle w:val="introtext"/>
        <w:sectPr w:rsidR="00C659E3" w:rsidSect="00C659E3">
          <w:headerReference w:type="default" r:id="rId9"/>
          <w:footerReference w:type="default" r:id="rId10"/>
          <w:headerReference w:type="first" r:id="rId11"/>
          <w:footerReference w:type="first" r:id="rId12"/>
          <w:pgSz w:w="11906" w:h="16838"/>
          <w:pgMar w:top="1701" w:right="1440" w:bottom="1440" w:left="1440" w:header="1361" w:footer="567" w:gutter="0"/>
          <w:cols w:space="708"/>
          <w:titlePg/>
          <w:docGrid w:linePitch="360"/>
        </w:sectPr>
      </w:pPr>
      <w:r w:rsidRPr="001C4809">
        <w:t xml:space="preserve">The </w:t>
      </w:r>
      <w:r w:rsidR="004D541D" w:rsidRPr="001C4809">
        <w:t xml:space="preserve">Department </w:t>
      </w:r>
      <w:r w:rsidR="004D541D">
        <w:t>of</w:t>
      </w:r>
      <w:r w:rsidR="009E17DC">
        <w:t xml:space="preserve"> Economic Development, Jobs, Transport and Resources </w:t>
      </w:r>
      <w:r w:rsidRPr="001C4809">
        <w:t xml:space="preserve">would like your feedback </w:t>
      </w:r>
      <w:r w:rsidR="004D541D" w:rsidRPr="001C4809">
        <w:t xml:space="preserve">about </w:t>
      </w:r>
      <w:r w:rsidR="004D541D">
        <w:t>a</w:t>
      </w:r>
      <w:r w:rsidR="009E17DC">
        <w:t xml:space="preserve"> </w:t>
      </w:r>
      <w:r w:rsidRPr="001C4809">
        <w:t xml:space="preserve">proposed </w:t>
      </w:r>
      <w:r w:rsidR="009E17DC">
        <w:t>method for determining energy savings</w:t>
      </w:r>
      <w:r>
        <w:t xml:space="preserve"> for the</w:t>
      </w:r>
      <w:r w:rsidRPr="001C4809">
        <w:t xml:space="preserve"> Victorian Energy Efficiency Target (VEET) scheme</w:t>
      </w:r>
      <w:r w:rsidR="009E17DC">
        <w:t xml:space="preserve"> called the Benchmark </w:t>
      </w:r>
      <w:r w:rsidR="002E677C">
        <w:t>R</w:t>
      </w:r>
      <w:r w:rsidR="009E17DC">
        <w:t>ating method</w:t>
      </w:r>
      <w:r>
        <w:t>.</w:t>
      </w:r>
    </w:p>
    <w:p w:rsidR="00483DD9" w:rsidRPr="00C659E3" w:rsidRDefault="00483DD9" w:rsidP="00483DD9">
      <w:pPr>
        <w:pStyle w:val="heading1blue"/>
      </w:pPr>
      <w:r>
        <w:lastRenderedPageBreak/>
        <w:t>The VEET scheme</w:t>
      </w:r>
    </w:p>
    <w:p w:rsidR="00483DD9" w:rsidRDefault="00483DD9" w:rsidP="00483DD9">
      <w:pPr>
        <w:pStyle w:val="bodycopy"/>
      </w:pPr>
      <w:r>
        <w:t xml:space="preserve">The </w:t>
      </w:r>
      <w:r w:rsidRPr="009B5A0D">
        <w:t xml:space="preserve">Victorian Energy Efficiency Target </w:t>
      </w:r>
      <w:r>
        <w:t>(VEET) scheme is a market-based scheme that incentivises energy efficiency upgrades, reduces greenhouse gas emissions, encourages investment and jobs and develops technology in Victoria.</w:t>
      </w:r>
    </w:p>
    <w:p w:rsidR="00483DD9" w:rsidRDefault="00483DD9" w:rsidP="00483DD9">
      <w:pPr>
        <w:pStyle w:val="bodycopy"/>
      </w:pPr>
      <w:r>
        <w:t>Under the VEET scheme, accredited organisations known as Accredited Persons (APs) can create certificates known as Victorian Energy Efficiency Certificates (VEECs) for undertaking energy efficiency activities. Each VEEC is equivalent to one tonne of greenhouse gas reduced or avoided. The scheme is administered by the Essential Service Commission (ESC).</w:t>
      </w:r>
    </w:p>
    <w:p w:rsidR="00483DD9" w:rsidRPr="008A34DD" w:rsidRDefault="00483DD9" w:rsidP="00483DD9">
      <w:pPr>
        <w:pStyle w:val="bodycopy"/>
        <w:rPr>
          <w:color w:val="064EA8"/>
          <w:sz w:val="24"/>
        </w:rPr>
      </w:pPr>
      <w:r w:rsidRPr="008A34DD">
        <w:rPr>
          <w:color w:val="064EA8"/>
          <w:sz w:val="24"/>
        </w:rPr>
        <w:t>Project Based Activities</w:t>
      </w:r>
    </w:p>
    <w:p w:rsidR="009E17DC" w:rsidRDefault="009E17DC" w:rsidP="009E17DC">
      <w:pPr>
        <w:pStyle w:val="bodycopy"/>
      </w:pPr>
      <w:r>
        <w:t xml:space="preserve">Until now, the methods used for determining the energy savings for activities under the VEET scheme have all been </w:t>
      </w:r>
      <w:r w:rsidR="000F2780" w:rsidRPr="003A3811">
        <w:rPr>
          <w:b/>
          <w:i/>
        </w:rPr>
        <w:t>deemed</w:t>
      </w:r>
      <w:r w:rsidRPr="003A3811">
        <w:rPr>
          <w:b/>
          <w:i/>
        </w:rPr>
        <w:t xml:space="preserve"> methods</w:t>
      </w:r>
      <w:r>
        <w:t xml:space="preserve">. This means that the calculations used regarding the energy savings of any given activity have been based on reasonable averages for such things as the normal efficiency of a certain product and the operating hours for which it is used. </w:t>
      </w:r>
    </w:p>
    <w:p w:rsidR="002E57AF" w:rsidRDefault="009E17DC" w:rsidP="00483DD9">
      <w:pPr>
        <w:pStyle w:val="bodycopy"/>
      </w:pPr>
      <w:r>
        <w:t xml:space="preserve">However, some situations need a more detailed and tailored approach to determining energy savings. For this reason three new measurement methods are being proposed, known as </w:t>
      </w:r>
      <w:r w:rsidRPr="003A3811">
        <w:rPr>
          <w:b/>
          <w:i/>
        </w:rPr>
        <w:t>Project Based Activities</w:t>
      </w:r>
      <w:r>
        <w:t xml:space="preserve"> (PBAs).</w:t>
      </w:r>
    </w:p>
    <w:p w:rsidR="00483DD9" w:rsidRDefault="009E17DC" w:rsidP="00483DD9">
      <w:pPr>
        <w:pStyle w:val="bodycopy"/>
      </w:pPr>
      <w:r>
        <w:t xml:space="preserve">These are activities where the number of certificates that can be claimed is specific to a </w:t>
      </w:r>
      <w:r>
        <w:lastRenderedPageBreak/>
        <w:t xml:space="preserve">given project. They will often involve the direct measurement of energy consumption and are designed to credit a wide range of technologies. The Department </w:t>
      </w:r>
      <w:r w:rsidR="00AC2EA1">
        <w:t xml:space="preserve">of Economic Development, Jobs, Transport and Resources (the </w:t>
      </w:r>
      <w:r w:rsidR="002B01EC">
        <w:t>d</w:t>
      </w:r>
      <w:r w:rsidR="00AC2EA1">
        <w:t xml:space="preserve">epartment) </w:t>
      </w:r>
      <w:r>
        <w:t xml:space="preserve">is seeking your feedback about each of these proposed new methods. This document explains one of these, </w:t>
      </w:r>
      <w:r w:rsidR="00483DD9">
        <w:t xml:space="preserve">known as the </w:t>
      </w:r>
      <w:r w:rsidR="00483DD9" w:rsidRPr="003A3811">
        <w:rPr>
          <w:b/>
          <w:i/>
        </w:rPr>
        <w:t xml:space="preserve">Benchmark </w:t>
      </w:r>
      <w:r w:rsidR="002E677C">
        <w:rPr>
          <w:b/>
          <w:i/>
        </w:rPr>
        <w:t>R</w:t>
      </w:r>
      <w:r w:rsidR="00483DD9" w:rsidRPr="003A3811">
        <w:rPr>
          <w:b/>
          <w:i/>
        </w:rPr>
        <w:t>ating method</w:t>
      </w:r>
      <w:r w:rsidR="00483DD9">
        <w:t>.</w:t>
      </w:r>
    </w:p>
    <w:p w:rsidR="00483DD9" w:rsidRPr="00FE0EBD" w:rsidRDefault="00483DD9" w:rsidP="00483DD9">
      <w:pPr>
        <w:pStyle w:val="bodycopy"/>
        <w:rPr>
          <w:color w:val="064EA8"/>
          <w:sz w:val="24"/>
        </w:rPr>
      </w:pPr>
      <w:r w:rsidRPr="00FE0EBD">
        <w:rPr>
          <w:color w:val="064EA8"/>
          <w:sz w:val="24"/>
        </w:rPr>
        <w:t>Reading this document</w:t>
      </w:r>
    </w:p>
    <w:p w:rsidR="00483DD9" w:rsidRDefault="00483DD9" w:rsidP="00483DD9">
      <w:pPr>
        <w:pStyle w:val="bodycopy"/>
      </w:pPr>
      <w:r>
        <w:t xml:space="preserve">This document is intended to be read in conjunction with the proposed amendments to the VEET Regulations to do with the Benchmark </w:t>
      </w:r>
      <w:r w:rsidR="002E677C">
        <w:t>R</w:t>
      </w:r>
      <w:r>
        <w:t xml:space="preserve">ating method. These will be added as new Schedule 38. Please refer to the proposed amendments to the Regulations before providing any feedback. These can be found online at </w:t>
      </w:r>
      <w:hyperlink r:id="rId13" w:history="1">
        <w:r w:rsidRPr="00FD261A">
          <w:rPr>
            <w:rStyle w:val="Hyperlink"/>
          </w:rPr>
          <w:t>www.energyandresources.vic.gov.au/esi</w:t>
        </w:r>
      </w:hyperlink>
    </w:p>
    <w:p w:rsidR="00ED2AB2" w:rsidRPr="00ED2AB2" w:rsidRDefault="00ED2AB2" w:rsidP="00ED2AB2">
      <w:pPr>
        <w:pStyle w:val="heading1blue"/>
      </w:pPr>
      <w:r w:rsidRPr="00ED2AB2">
        <w:t xml:space="preserve">Benchmark Rating </w:t>
      </w:r>
      <w:r w:rsidR="002B01EC">
        <w:t>s</w:t>
      </w:r>
      <w:r w:rsidRPr="00ED2AB2">
        <w:t>chemes</w:t>
      </w:r>
    </w:p>
    <w:p w:rsidR="00ED2AB2" w:rsidRPr="00ED2AB2" w:rsidRDefault="00ED2AB2" w:rsidP="00ED2AB2">
      <w:pPr>
        <w:pStyle w:val="bodycopy"/>
        <w:rPr>
          <w:rFonts w:eastAsiaTheme="minorHAnsi"/>
          <w:lang w:eastAsia="en-US"/>
        </w:rPr>
      </w:pPr>
      <w:r w:rsidRPr="00ED2AB2">
        <w:rPr>
          <w:rFonts w:eastAsiaTheme="minorHAnsi"/>
          <w:lang w:eastAsia="en-US"/>
        </w:rPr>
        <w:t xml:space="preserve">A </w:t>
      </w:r>
      <w:r w:rsidR="002B01EC">
        <w:rPr>
          <w:rFonts w:eastAsiaTheme="minorHAnsi"/>
          <w:b/>
          <w:i/>
          <w:lang w:eastAsia="en-US"/>
        </w:rPr>
        <w:t>b</w:t>
      </w:r>
      <w:r w:rsidR="0096379B">
        <w:rPr>
          <w:rFonts w:eastAsiaTheme="minorHAnsi"/>
          <w:b/>
          <w:i/>
          <w:lang w:eastAsia="en-US"/>
        </w:rPr>
        <w:t xml:space="preserve">enchmark </w:t>
      </w:r>
      <w:r w:rsidR="002B01EC">
        <w:rPr>
          <w:rFonts w:eastAsiaTheme="minorHAnsi"/>
          <w:b/>
          <w:i/>
          <w:lang w:eastAsia="en-US"/>
        </w:rPr>
        <w:t>r</w:t>
      </w:r>
      <w:r w:rsidR="0096379B">
        <w:rPr>
          <w:rFonts w:eastAsiaTheme="minorHAnsi"/>
          <w:b/>
          <w:i/>
          <w:lang w:eastAsia="en-US"/>
        </w:rPr>
        <w:t>ating</w:t>
      </w:r>
      <w:r w:rsidR="00DE2F0E">
        <w:rPr>
          <w:rFonts w:eastAsiaTheme="minorHAnsi"/>
          <w:lang w:eastAsia="en-US"/>
        </w:rPr>
        <w:t xml:space="preserve"> is a measure of the </w:t>
      </w:r>
      <w:r w:rsidRPr="00ED2AB2">
        <w:rPr>
          <w:rFonts w:eastAsiaTheme="minorHAnsi"/>
          <w:lang w:eastAsia="en-US"/>
        </w:rPr>
        <w:t xml:space="preserve">energy performance </w:t>
      </w:r>
      <w:r w:rsidR="00DE2F0E">
        <w:rPr>
          <w:rFonts w:eastAsiaTheme="minorHAnsi"/>
          <w:lang w:eastAsia="en-US"/>
        </w:rPr>
        <w:t xml:space="preserve">of a building </w:t>
      </w:r>
      <w:r w:rsidRPr="00ED2AB2">
        <w:rPr>
          <w:rFonts w:eastAsiaTheme="minorHAnsi"/>
          <w:lang w:eastAsia="en-US"/>
        </w:rPr>
        <w:t xml:space="preserve">compared </w:t>
      </w:r>
      <w:r w:rsidR="000F2780">
        <w:rPr>
          <w:rFonts w:eastAsiaTheme="minorHAnsi"/>
          <w:lang w:eastAsia="en-US"/>
        </w:rPr>
        <w:t>with that of</w:t>
      </w:r>
      <w:r w:rsidR="000F2780" w:rsidRPr="00ED2AB2">
        <w:rPr>
          <w:rFonts w:eastAsiaTheme="minorHAnsi"/>
          <w:lang w:eastAsia="en-US"/>
        </w:rPr>
        <w:t xml:space="preserve"> </w:t>
      </w:r>
      <w:r w:rsidRPr="00ED2AB2">
        <w:rPr>
          <w:rFonts w:eastAsiaTheme="minorHAnsi"/>
          <w:lang w:eastAsia="en-US"/>
        </w:rPr>
        <w:t xml:space="preserve">other buildings of a similar size and usage. Benchmark rating schemes develop methods to account for the variation between buildings and changes in the use of a building over time.  </w:t>
      </w:r>
    </w:p>
    <w:p w:rsidR="00ED2AB2" w:rsidRPr="00ED2AB2" w:rsidRDefault="00ED2AB2" w:rsidP="00ED2AB2">
      <w:pPr>
        <w:pStyle w:val="bodycopy"/>
        <w:rPr>
          <w:rFonts w:eastAsiaTheme="minorHAnsi"/>
          <w:lang w:eastAsia="en-US"/>
        </w:rPr>
      </w:pPr>
      <w:r w:rsidRPr="00ED2AB2">
        <w:rPr>
          <w:rFonts w:eastAsiaTheme="minorHAnsi"/>
          <w:lang w:eastAsia="en-US"/>
        </w:rPr>
        <w:t xml:space="preserve">Under the proposed new method the </w:t>
      </w:r>
      <w:r w:rsidR="00E61123">
        <w:rPr>
          <w:rFonts w:eastAsiaTheme="minorHAnsi"/>
          <w:lang w:eastAsia="en-US"/>
        </w:rPr>
        <w:t xml:space="preserve">ESC </w:t>
      </w:r>
      <w:r w:rsidR="000F2780">
        <w:rPr>
          <w:rFonts w:eastAsiaTheme="minorHAnsi"/>
          <w:lang w:eastAsia="en-US"/>
        </w:rPr>
        <w:t>would</w:t>
      </w:r>
      <w:r w:rsidR="000F2780" w:rsidRPr="00ED2AB2">
        <w:rPr>
          <w:rFonts w:eastAsiaTheme="minorHAnsi"/>
          <w:lang w:eastAsia="en-US"/>
        </w:rPr>
        <w:t xml:space="preserve"> </w:t>
      </w:r>
      <w:r w:rsidRPr="00ED2AB2">
        <w:rPr>
          <w:rFonts w:eastAsiaTheme="minorHAnsi"/>
          <w:lang w:eastAsia="en-US"/>
        </w:rPr>
        <w:t xml:space="preserve">be given the power to approve </w:t>
      </w:r>
      <w:r w:rsidR="000F2780">
        <w:rPr>
          <w:rFonts w:eastAsiaTheme="minorHAnsi"/>
          <w:b/>
          <w:i/>
          <w:lang w:eastAsia="en-US"/>
        </w:rPr>
        <w:t>b</w:t>
      </w:r>
      <w:r w:rsidRPr="003A3811">
        <w:rPr>
          <w:rFonts w:eastAsiaTheme="minorHAnsi"/>
          <w:b/>
          <w:i/>
          <w:lang w:eastAsia="en-US"/>
        </w:rPr>
        <w:t xml:space="preserve">enchmark </w:t>
      </w:r>
      <w:r w:rsidR="000F2780">
        <w:rPr>
          <w:rFonts w:eastAsiaTheme="minorHAnsi"/>
          <w:b/>
          <w:i/>
          <w:lang w:eastAsia="en-US"/>
        </w:rPr>
        <w:t>r</w:t>
      </w:r>
      <w:r w:rsidRPr="003A3811">
        <w:rPr>
          <w:rFonts w:eastAsiaTheme="minorHAnsi"/>
          <w:b/>
          <w:i/>
          <w:lang w:eastAsia="en-US"/>
        </w:rPr>
        <w:t xml:space="preserve">ating </w:t>
      </w:r>
      <w:r w:rsidR="000F2780">
        <w:rPr>
          <w:rFonts w:eastAsiaTheme="minorHAnsi"/>
          <w:b/>
          <w:i/>
          <w:lang w:eastAsia="en-US"/>
        </w:rPr>
        <w:t>s</w:t>
      </w:r>
      <w:r w:rsidRPr="003A3811">
        <w:rPr>
          <w:rFonts w:eastAsiaTheme="minorHAnsi"/>
          <w:b/>
          <w:i/>
          <w:lang w:eastAsia="en-US"/>
        </w:rPr>
        <w:t>chemes</w:t>
      </w:r>
      <w:r w:rsidRPr="00ED2AB2">
        <w:rPr>
          <w:rFonts w:eastAsiaTheme="minorHAnsi"/>
          <w:lang w:eastAsia="en-US"/>
        </w:rPr>
        <w:t xml:space="preserve">. These schemes must meet certain requirements in order to be approved, including the requirement that </w:t>
      </w:r>
      <w:r w:rsidR="00382B8C">
        <w:rPr>
          <w:rFonts w:eastAsiaTheme="minorHAnsi"/>
          <w:lang w:eastAsia="en-US"/>
        </w:rPr>
        <w:t xml:space="preserve">a scheme </w:t>
      </w:r>
      <w:r w:rsidRPr="00ED2AB2">
        <w:rPr>
          <w:rFonts w:eastAsiaTheme="minorHAnsi"/>
          <w:lang w:eastAsia="en-US"/>
        </w:rPr>
        <w:t>must base its</w:t>
      </w:r>
      <w:r w:rsidR="00382B8C">
        <w:rPr>
          <w:rFonts w:eastAsiaTheme="minorHAnsi"/>
          <w:lang w:eastAsia="en-US"/>
        </w:rPr>
        <w:t xml:space="preserve"> building </w:t>
      </w:r>
      <w:r w:rsidRPr="00ED2AB2">
        <w:rPr>
          <w:rFonts w:eastAsiaTheme="minorHAnsi"/>
          <w:lang w:eastAsia="en-US"/>
        </w:rPr>
        <w:t xml:space="preserve">ratings on </w:t>
      </w:r>
      <w:r w:rsidRPr="00ED2AB2">
        <w:rPr>
          <w:rFonts w:eastAsiaTheme="minorHAnsi"/>
          <w:lang w:eastAsia="en-US"/>
        </w:rPr>
        <w:lastRenderedPageBreak/>
        <w:t xml:space="preserve">measured energy consumption data and that any variables used to calculate the benchmark energy consumption must be determined using a publicly available methodology. In addition, any approved benchmark rating scheme must be created and maintained by a qualified administrator and the ratings must be subject to independent audit. </w:t>
      </w:r>
    </w:p>
    <w:p w:rsidR="00ED2AB2" w:rsidRPr="00ED2AB2" w:rsidRDefault="00ED2AB2" w:rsidP="00ED2AB2">
      <w:pPr>
        <w:pStyle w:val="heading2black"/>
      </w:pPr>
      <w:r w:rsidRPr="00ED2AB2">
        <w:t>NABERS energy rating scheme</w:t>
      </w:r>
      <w:r w:rsidRPr="00ED2AB2">
        <w:tab/>
      </w:r>
    </w:p>
    <w:p w:rsidR="00ED2AB2" w:rsidRPr="00ED2AB2" w:rsidRDefault="00ED2AB2" w:rsidP="00ED2AB2">
      <w:pPr>
        <w:pStyle w:val="bodycopy"/>
        <w:rPr>
          <w:rFonts w:eastAsiaTheme="minorHAnsi"/>
          <w:lang w:eastAsia="en-US"/>
        </w:rPr>
      </w:pPr>
      <w:r w:rsidRPr="00ED2AB2">
        <w:rPr>
          <w:rFonts w:eastAsiaTheme="minorHAnsi"/>
          <w:lang w:eastAsia="en-US"/>
        </w:rPr>
        <w:t>These proposed Regulations have been drafted in a way that allow</w:t>
      </w:r>
      <w:r w:rsidR="000F2780">
        <w:rPr>
          <w:rFonts w:eastAsiaTheme="minorHAnsi"/>
          <w:lang w:eastAsia="en-US"/>
        </w:rPr>
        <w:t>s</w:t>
      </w:r>
      <w:r w:rsidRPr="00ED2AB2">
        <w:rPr>
          <w:rFonts w:eastAsiaTheme="minorHAnsi"/>
          <w:lang w:eastAsia="en-US"/>
        </w:rPr>
        <w:t xml:space="preserve"> the </w:t>
      </w:r>
      <w:r w:rsidR="00E61123">
        <w:rPr>
          <w:rFonts w:eastAsiaTheme="minorHAnsi"/>
          <w:lang w:eastAsia="en-US"/>
        </w:rPr>
        <w:t>ESC</w:t>
      </w:r>
      <w:r w:rsidRPr="00ED2AB2">
        <w:rPr>
          <w:rFonts w:eastAsiaTheme="minorHAnsi"/>
          <w:lang w:eastAsia="en-US"/>
        </w:rPr>
        <w:t xml:space="preserve"> to approve the National Australian Built Environment Rating System (NABERS) as an approved benchmark rating scheme. NABERS is widely used in Victoria for rating commercial buildings, including office buildings, hotels, shopping centres and data centres.  </w:t>
      </w:r>
    </w:p>
    <w:p w:rsidR="00ED2AB2" w:rsidRPr="00ED2AB2" w:rsidRDefault="00ED2AB2" w:rsidP="00ED2AB2">
      <w:pPr>
        <w:pStyle w:val="bodycopy"/>
        <w:rPr>
          <w:rFonts w:eastAsiaTheme="minorHAnsi"/>
          <w:lang w:eastAsia="en-US"/>
        </w:rPr>
      </w:pPr>
      <w:r w:rsidRPr="00ED2AB2">
        <w:rPr>
          <w:rFonts w:eastAsiaTheme="minorHAnsi"/>
          <w:lang w:eastAsia="en-US"/>
        </w:rPr>
        <w:t>For the purposes of legislative drafting, the draft Regulations do not refer directly to the NABERS scheme</w:t>
      </w:r>
      <w:r w:rsidR="000F2780">
        <w:rPr>
          <w:rFonts w:eastAsiaTheme="minorHAnsi"/>
          <w:lang w:eastAsia="en-US"/>
        </w:rPr>
        <w:t>;</w:t>
      </w:r>
      <w:r w:rsidRPr="00ED2AB2">
        <w:rPr>
          <w:rFonts w:eastAsiaTheme="minorHAnsi"/>
          <w:lang w:eastAsia="en-US"/>
        </w:rPr>
        <w:t xml:space="preserve"> instead they employ the more general term </w:t>
      </w:r>
      <w:r w:rsidR="000F2780">
        <w:rPr>
          <w:rFonts w:eastAsiaTheme="minorHAnsi"/>
          <w:lang w:eastAsia="en-US"/>
        </w:rPr>
        <w:t>‘b</w:t>
      </w:r>
      <w:r w:rsidRPr="00ED2AB2">
        <w:rPr>
          <w:rFonts w:eastAsiaTheme="minorHAnsi"/>
          <w:lang w:eastAsia="en-US"/>
        </w:rPr>
        <w:t xml:space="preserve">enchmark </w:t>
      </w:r>
      <w:r w:rsidR="000F2780">
        <w:rPr>
          <w:rFonts w:eastAsiaTheme="minorHAnsi"/>
          <w:lang w:eastAsia="en-US"/>
        </w:rPr>
        <w:t>r</w:t>
      </w:r>
      <w:r w:rsidRPr="00ED2AB2">
        <w:rPr>
          <w:rFonts w:eastAsiaTheme="minorHAnsi"/>
          <w:lang w:eastAsia="en-US"/>
        </w:rPr>
        <w:t xml:space="preserve">ating </w:t>
      </w:r>
      <w:r w:rsidR="000F2780">
        <w:rPr>
          <w:rFonts w:eastAsiaTheme="minorHAnsi"/>
          <w:lang w:eastAsia="en-US"/>
        </w:rPr>
        <w:t>s</w:t>
      </w:r>
      <w:r w:rsidRPr="00ED2AB2">
        <w:rPr>
          <w:rFonts w:eastAsiaTheme="minorHAnsi"/>
          <w:lang w:eastAsia="en-US"/>
        </w:rPr>
        <w:t>chemes</w:t>
      </w:r>
      <w:r w:rsidR="000F2780">
        <w:rPr>
          <w:rFonts w:eastAsiaTheme="minorHAnsi"/>
          <w:lang w:eastAsia="en-US"/>
        </w:rPr>
        <w:t>’</w:t>
      </w:r>
      <w:r w:rsidRPr="00ED2AB2">
        <w:rPr>
          <w:rFonts w:eastAsiaTheme="minorHAnsi"/>
          <w:lang w:eastAsia="en-US"/>
        </w:rPr>
        <w:t xml:space="preserve">.  </w:t>
      </w:r>
    </w:p>
    <w:p w:rsidR="00483DD9" w:rsidRDefault="00483DD9" w:rsidP="004E2AC5">
      <w:pPr>
        <w:pStyle w:val="heading1blue"/>
      </w:pPr>
      <w:r>
        <w:t>How the method works</w:t>
      </w:r>
    </w:p>
    <w:p w:rsidR="00483DD9" w:rsidRDefault="001A2C19" w:rsidP="004E2AC5">
      <w:pPr>
        <w:pStyle w:val="bodycopy"/>
      </w:pPr>
      <w:r>
        <w:rPr>
          <w:rFonts w:eastAsiaTheme="minorHAnsi"/>
          <w:lang w:eastAsia="en-US"/>
        </w:rPr>
        <w:t xml:space="preserve">Benchmark rating schemes determine improvements in the energy efficiency of a building by measuring changes in its </w:t>
      </w:r>
      <w:r w:rsidRPr="003A3811">
        <w:rPr>
          <w:rFonts w:eastAsiaTheme="minorHAnsi"/>
          <w:b/>
          <w:i/>
          <w:lang w:eastAsia="en-US"/>
        </w:rPr>
        <w:t>energy rating</w:t>
      </w:r>
      <w:r w:rsidR="00810A65">
        <w:rPr>
          <w:rFonts w:eastAsiaTheme="minorHAnsi"/>
          <w:lang w:eastAsia="en-US"/>
        </w:rPr>
        <w:t>.</w:t>
      </w:r>
      <w:r>
        <w:rPr>
          <w:rFonts w:eastAsiaTheme="minorHAnsi"/>
          <w:lang w:eastAsia="en-US"/>
        </w:rPr>
        <w:t xml:space="preserve"> </w:t>
      </w:r>
      <w:r w:rsidR="00483DD9" w:rsidRPr="00ED2AB2">
        <w:rPr>
          <w:rFonts w:eastAsiaTheme="minorHAnsi"/>
          <w:lang w:eastAsia="en-US"/>
        </w:rPr>
        <w:t>This method is designed to be technology</w:t>
      </w:r>
      <w:r w:rsidR="002E57AF">
        <w:rPr>
          <w:rFonts w:eastAsiaTheme="minorHAnsi"/>
          <w:lang w:eastAsia="en-US"/>
        </w:rPr>
        <w:t xml:space="preserve"> </w:t>
      </w:r>
      <w:r w:rsidR="00483DD9" w:rsidRPr="00ED2AB2">
        <w:rPr>
          <w:rFonts w:eastAsiaTheme="minorHAnsi"/>
          <w:lang w:eastAsia="en-US"/>
        </w:rPr>
        <w:t>neutral. As such</w:t>
      </w:r>
      <w:r w:rsidR="00AC2EA1">
        <w:rPr>
          <w:rFonts w:eastAsiaTheme="minorHAnsi"/>
          <w:lang w:eastAsia="en-US"/>
        </w:rPr>
        <w:t>,</w:t>
      </w:r>
      <w:r w:rsidR="00483DD9" w:rsidRPr="00ED2AB2">
        <w:rPr>
          <w:rFonts w:eastAsiaTheme="minorHAnsi"/>
          <w:lang w:eastAsia="en-US"/>
        </w:rPr>
        <w:t xml:space="preserve"> a wide range of activities can be undertaken as part of a </w:t>
      </w:r>
      <w:r w:rsidR="003A3811">
        <w:rPr>
          <w:rFonts w:eastAsiaTheme="minorHAnsi"/>
          <w:lang w:eastAsia="en-US"/>
        </w:rPr>
        <w:t>benchmark rating</w:t>
      </w:r>
      <w:r w:rsidR="00483DD9" w:rsidRPr="00ED2AB2">
        <w:rPr>
          <w:rFonts w:eastAsiaTheme="minorHAnsi"/>
          <w:lang w:eastAsia="en-US"/>
        </w:rPr>
        <w:t xml:space="preserve"> project.  </w:t>
      </w:r>
    </w:p>
    <w:p w:rsidR="00D81823" w:rsidRDefault="00ED2AB2" w:rsidP="00ED2AB2">
      <w:pPr>
        <w:pStyle w:val="bodycopy"/>
        <w:rPr>
          <w:rFonts w:eastAsiaTheme="minorHAnsi"/>
          <w:lang w:eastAsia="en-US"/>
        </w:rPr>
      </w:pPr>
      <w:r w:rsidRPr="00ED2AB2">
        <w:rPr>
          <w:rFonts w:eastAsiaTheme="minorHAnsi"/>
          <w:lang w:eastAsia="en-US"/>
        </w:rPr>
        <w:t xml:space="preserve">The performance of the building is rated </w:t>
      </w:r>
      <w:r w:rsidR="00810A65">
        <w:rPr>
          <w:rFonts w:eastAsiaTheme="minorHAnsi"/>
          <w:lang w:eastAsia="en-US"/>
        </w:rPr>
        <w:t xml:space="preserve">before the project activities </w:t>
      </w:r>
      <w:r w:rsidR="001A2C19">
        <w:rPr>
          <w:rFonts w:eastAsiaTheme="minorHAnsi"/>
          <w:lang w:eastAsia="en-US"/>
        </w:rPr>
        <w:t xml:space="preserve">start </w:t>
      </w:r>
      <w:r w:rsidR="00810A65">
        <w:rPr>
          <w:rFonts w:eastAsiaTheme="minorHAnsi"/>
          <w:lang w:eastAsia="en-US"/>
        </w:rPr>
        <w:t xml:space="preserve">and then annually after they are completed. </w:t>
      </w:r>
      <w:r w:rsidR="001A2C19">
        <w:rPr>
          <w:rFonts w:eastAsiaTheme="minorHAnsi"/>
          <w:lang w:eastAsia="en-US"/>
        </w:rPr>
        <w:t xml:space="preserve">The </w:t>
      </w:r>
      <w:r w:rsidR="00810A65">
        <w:rPr>
          <w:rFonts w:eastAsiaTheme="minorHAnsi"/>
          <w:lang w:eastAsia="en-US"/>
        </w:rPr>
        <w:t xml:space="preserve">rating </w:t>
      </w:r>
      <w:r w:rsidR="001A2C19">
        <w:rPr>
          <w:rFonts w:eastAsiaTheme="minorHAnsi"/>
          <w:lang w:eastAsia="en-US"/>
        </w:rPr>
        <w:t>carried out</w:t>
      </w:r>
      <w:r w:rsidR="00810A65">
        <w:rPr>
          <w:rFonts w:eastAsiaTheme="minorHAnsi"/>
          <w:lang w:eastAsia="en-US"/>
        </w:rPr>
        <w:t xml:space="preserve"> before the project commences</w:t>
      </w:r>
      <w:r w:rsidR="00AC2EA1">
        <w:rPr>
          <w:rFonts w:eastAsiaTheme="minorHAnsi"/>
          <w:lang w:eastAsia="en-US"/>
        </w:rPr>
        <w:t xml:space="preserve"> is </w:t>
      </w:r>
      <w:r w:rsidR="001A2C19">
        <w:rPr>
          <w:rFonts w:eastAsiaTheme="minorHAnsi"/>
          <w:lang w:eastAsia="en-US"/>
        </w:rPr>
        <w:t xml:space="preserve">called </w:t>
      </w:r>
      <w:r w:rsidR="00810A65">
        <w:rPr>
          <w:rFonts w:eastAsiaTheme="minorHAnsi"/>
          <w:lang w:eastAsia="en-US"/>
        </w:rPr>
        <w:t xml:space="preserve">the </w:t>
      </w:r>
      <w:r w:rsidR="002B01EC">
        <w:rPr>
          <w:rFonts w:eastAsiaTheme="minorHAnsi"/>
          <w:b/>
          <w:i/>
          <w:lang w:eastAsia="en-US"/>
        </w:rPr>
        <w:t>b</w:t>
      </w:r>
      <w:r w:rsidRPr="003A3811">
        <w:rPr>
          <w:rFonts w:eastAsiaTheme="minorHAnsi"/>
          <w:b/>
          <w:i/>
          <w:lang w:eastAsia="en-US"/>
        </w:rPr>
        <w:t xml:space="preserve">aseline </w:t>
      </w:r>
      <w:r w:rsidR="002B01EC">
        <w:rPr>
          <w:rFonts w:eastAsiaTheme="minorHAnsi"/>
          <w:b/>
          <w:i/>
          <w:lang w:eastAsia="en-US"/>
        </w:rPr>
        <w:t>r</w:t>
      </w:r>
      <w:r w:rsidRPr="003A3811">
        <w:rPr>
          <w:rFonts w:eastAsiaTheme="minorHAnsi"/>
          <w:b/>
          <w:i/>
          <w:lang w:eastAsia="en-US"/>
        </w:rPr>
        <w:t>ating</w:t>
      </w:r>
      <w:r w:rsidR="00AC2EA1">
        <w:rPr>
          <w:rFonts w:eastAsiaTheme="minorHAnsi"/>
          <w:i/>
          <w:lang w:eastAsia="en-US"/>
        </w:rPr>
        <w:t xml:space="preserve">. </w:t>
      </w:r>
      <w:r w:rsidR="00AC2EA1" w:rsidRPr="003A3811">
        <w:rPr>
          <w:rFonts w:eastAsiaTheme="minorHAnsi"/>
          <w:lang w:eastAsia="en-US"/>
        </w:rPr>
        <w:t xml:space="preserve">This </w:t>
      </w:r>
      <w:r w:rsidR="00E61123">
        <w:rPr>
          <w:rFonts w:eastAsiaTheme="minorHAnsi"/>
          <w:lang w:eastAsia="en-US"/>
        </w:rPr>
        <w:t xml:space="preserve">determines the energy performance of </w:t>
      </w:r>
      <w:r w:rsidRPr="00ED2AB2">
        <w:rPr>
          <w:rFonts w:eastAsiaTheme="minorHAnsi"/>
          <w:lang w:eastAsia="en-US"/>
        </w:rPr>
        <w:t xml:space="preserve">the building for the </w:t>
      </w:r>
      <w:r w:rsidR="002B01EC">
        <w:rPr>
          <w:rFonts w:eastAsiaTheme="minorHAnsi"/>
          <w:lang w:eastAsia="en-US"/>
        </w:rPr>
        <w:t>12-</w:t>
      </w:r>
      <w:r w:rsidRPr="00ED2AB2">
        <w:rPr>
          <w:rFonts w:eastAsiaTheme="minorHAnsi"/>
          <w:lang w:eastAsia="en-US"/>
        </w:rPr>
        <w:t xml:space="preserve">month period </w:t>
      </w:r>
      <w:r w:rsidR="002B01EC">
        <w:rPr>
          <w:rFonts w:eastAsiaTheme="minorHAnsi"/>
          <w:lang w:eastAsia="en-US"/>
        </w:rPr>
        <w:t>before</w:t>
      </w:r>
      <w:r w:rsidRPr="00ED2AB2">
        <w:rPr>
          <w:rFonts w:eastAsiaTheme="minorHAnsi"/>
          <w:lang w:eastAsia="en-US"/>
        </w:rPr>
        <w:t xml:space="preserve"> project activities. </w:t>
      </w:r>
    </w:p>
    <w:p w:rsidR="005020AF" w:rsidRDefault="00ED2AB2" w:rsidP="00ED2AB2">
      <w:pPr>
        <w:pStyle w:val="bodycopy"/>
        <w:rPr>
          <w:rFonts w:eastAsiaTheme="minorHAnsi"/>
          <w:lang w:eastAsia="en-US"/>
        </w:rPr>
      </w:pPr>
      <w:r w:rsidRPr="00ED2AB2">
        <w:rPr>
          <w:rFonts w:eastAsiaTheme="minorHAnsi"/>
          <w:lang w:eastAsia="en-US"/>
        </w:rPr>
        <w:t xml:space="preserve">The second rating takes place at the end of the </w:t>
      </w:r>
      <w:r w:rsidR="002B01EC">
        <w:rPr>
          <w:rFonts w:eastAsiaTheme="minorHAnsi"/>
          <w:lang w:eastAsia="en-US"/>
        </w:rPr>
        <w:t>12-</w:t>
      </w:r>
      <w:r w:rsidR="00D81823">
        <w:rPr>
          <w:rFonts w:eastAsiaTheme="minorHAnsi"/>
          <w:lang w:eastAsia="en-US"/>
        </w:rPr>
        <w:t xml:space="preserve">month </w:t>
      </w:r>
      <w:r w:rsidR="002B01EC">
        <w:rPr>
          <w:rFonts w:eastAsiaTheme="minorHAnsi"/>
          <w:b/>
          <w:i/>
          <w:lang w:eastAsia="en-US"/>
        </w:rPr>
        <w:t>r</w:t>
      </w:r>
      <w:r w:rsidR="00810A65" w:rsidRPr="003A3811">
        <w:rPr>
          <w:rFonts w:eastAsiaTheme="minorHAnsi"/>
          <w:b/>
          <w:i/>
          <w:lang w:eastAsia="en-US"/>
        </w:rPr>
        <w:t xml:space="preserve">eporting </w:t>
      </w:r>
      <w:r w:rsidR="002B01EC">
        <w:rPr>
          <w:rFonts w:eastAsiaTheme="minorHAnsi"/>
          <w:b/>
          <w:i/>
          <w:lang w:eastAsia="en-US"/>
        </w:rPr>
        <w:t>p</w:t>
      </w:r>
      <w:r w:rsidRPr="003A3811">
        <w:rPr>
          <w:rFonts w:eastAsiaTheme="minorHAnsi"/>
          <w:b/>
          <w:i/>
          <w:lang w:eastAsia="en-US"/>
        </w:rPr>
        <w:t>eriod</w:t>
      </w:r>
      <w:r w:rsidR="00D81823">
        <w:rPr>
          <w:rFonts w:eastAsiaTheme="minorHAnsi"/>
          <w:lang w:eastAsia="en-US"/>
        </w:rPr>
        <w:t>.</w:t>
      </w:r>
      <w:r w:rsidR="00810A65">
        <w:rPr>
          <w:rFonts w:eastAsiaTheme="minorHAnsi"/>
          <w:lang w:eastAsia="en-US"/>
        </w:rPr>
        <w:t xml:space="preserve"> </w:t>
      </w:r>
      <w:r w:rsidRPr="00ED2AB2">
        <w:rPr>
          <w:rFonts w:eastAsiaTheme="minorHAnsi"/>
          <w:lang w:eastAsia="en-US"/>
        </w:rPr>
        <w:t xml:space="preserve"> </w:t>
      </w:r>
      <w:r w:rsidR="00D81823">
        <w:rPr>
          <w:rFonts w:eastAsiaTheme="minorHAnsi"/>
          <w:lang w:eastAsia="en-US"/>
        </w:rPr>
        <w:t xml:space="preserve">This </w:t>
      </w:r>
      <w:r w:rsidR="001A2C19">
        <w:rPr>
          <w:rFonts w:eastAsiaTheme="minorHAnsi"/>
          <w:lang w:eastAsia="en-US"/>
        </w:rPr>
        <w:t xml:space="preserve">is called the </w:t>
      </w:r>
      <w:r w:rsidR="002B01EC">
        <w:rPr>
          <w:rFonts w:eastAsiaTheme="minorHAnsi"/>
          <w:b/>
          <w:i/>
          <w:lang w:eastAsia="en-US"/>
        </w:rPr>
        <w:t>r</w:t>
      </w:r>
      <w:r w:rsidR="00D81823" w:rsidRPr="003A3811">
        <w:rPr>
          <w:rFonts w:eastAsiaTheme="minorHAnsi"/>
          <w:b/>
          <w:i/>
          <w:lang w:eastAsia="en-US"/>
        </w:rPr>
        <w:t xml:space="preserve">eporting </w:t>
      </w:r>
      <w:r w:rsidR="002B01EC">
        <w:rPr>
          <w:rFonts w:eastAsiaTheme="minorHAnsi"/>
          <w:b/>
          <w:i/>
          <w:lang w:eastAsia="en-US"/>
        </w:rPr>
        <w:t>r</w:t>
      </w:r>
      <w:r w:rsidR="00D81823" w:rsidRPr="003A3811">
        <w:rPr>
          <w:rFonts w:eastAsiaTheme="minorHAnsi"/>
          <w:b/>
          <w:i/>
          <w:lang w:eastAsia="en-US"/>
        </w:rPr>
        <w:t>ating</w:t>
      </w:r>
      <w:r w:rsidR="001A2C19">
        <w:rPr>
          <w:rFonts w:eastAsiaTheme="minorHAnsi"/>
          <w:b/>
          <w:i/>
          <w:lang w:eastAsia="en-US"/>
        </w:rPr>
        <w:t xml:space="preserve">. </w:t>
      </w:r>
      <w:r w:rsidR="001A2C19" w:rsidRPr="003A3811">
        <w:rPr>
          <w:rFonts w:eastAsiaTheme="minorHAnsi"/>
          <w:lang w:eastAsia="en-US"/>
        </w:rPr>
        <w:t>It</w:t>
      </w:r>
      <w:r w:rsidR="00D81823">
        <w:rPr>
          <w:rFonts w:eastAsiaTheme="minorHAnsi"/>
          <w:lang w:eastAsia="en-US"/>
        </w:rPr>
        <w:t xml:space="preserve"> </w:t>
      </w:r>
      <w:r w:rsidR="005020AF" w:rsidRPr="004E2AC5">
        <w:rPr>
          <w:rFonts w:eastAsiaTheme="minorHAnsi"/>
          <w:lang w:eastAsia="en-US"/>
        </w:rPr>
        <w:t xml:space="preserve">can be undertaken annually to claim incentives for a period of up to </w:t>
      </w:r>
      <w:r w:rsidR="003F3703" w:rsidRPr="004E2AC5">
        <w:rPr>
          <w:rFonts w:eastAsiaTheme="minorHAnsi"/>
          <w:lang w:eastAsia="en-US"/>
        </w:rPr>
        <w:t>seven</w:t>
      </w:r>
      <w:r w:rsidR="005020AF" w:rsidRPr="004E2AC5">
        <w:rPr>
          <w:rFonts w:eastAsiaTheme="minorHAnsi"/>
          <w:lang w:eastAsia="en-US"/>
        </w:rPr>
        <w:t xml:space="preserve"> years</w:t>
      </w:r>
      <w:r w:rsidR="002B01EC">
        <w:rPr>
          <w:rFonts w:eastAsiaTheme="minorHAnsi"/>
          <w:lang w:eastAsia="en-US"/>
        </w:rPr>
        <w:t>,</w:t>
      </w:r>
      <w:r w:rsidR="001A2C19">
        <w:rPr>
          <w:rFonts w:eastAsiaTheme="minorHAnsi"/>
          <w:lang w:eastAsia="en-US"/>
        </w:rPr>
        <w:t xml:space="preserve"> after which </w:t>
      </w:r>
      <w:r w:rsidR="005020AF" w:rsidRPr="004E2AC5">
        <w:rPr>
          <w:rFonts w:eastAsiaTheme="minorHAnsi"/>
          <w:lang w:eastAsia="en-US"/>
        </w:rPr>
        <w:t xml:space="preserve">a new </w:t>
      </w:r>
      <w:r w:rsidR="002B01EC">
        <w:rPr>
          <w:rFonts w:eastAsiaTheme="minorHAnsi"/>
          <w:lang w:eastAsia="en-US"/>
        </w:rPr>
        <w:t>b</w:t>
      </w:r>
      <w:r w:rsidR="005020AF" w:rsidRPr="004E2AC5">
        <w:rPr>
          <w:rFonts w:eastAsiaTheme="minorHAnsi"/>
          <w:lang w:eastAsia="en-US"/>
        </w:rPr>
        <w:t xml:space="preserve">aseline </w:t>
      </w:r>
      <w:r w:rsidR="002B01EC">
        <w:rPr>
          <w:rFonts w:eastAsiaTheme="minorHAnsi"/>
          <w:lang w:eastAsia="en-US"/>
        </w:rPr>
        <w:t>r</w:t>
      </w:r>
      <w:r w:rsidR="005020AF" w:rsidRPr="004E2AC5">
        <w:rPr>
          <w:rFonts w:eastAsiaTheme="minorHAnsi"/>
          <w:lang w:eastAsia="en-US"/>
        </w:rPr>
        <w:t xml:space="preserve">ating </w:t>
      </w:r>
      <w:r w:rsidR="001A2C19">
        <w:rPr>
          <w:rFonts w:eastAsiaTheme="minorHAnsi"/>
          <w:lang w:eastAsia="en-US"/>
        </w:rPr>
        <w:t xml:space="preserve">is </w:t>
      </w:r>
      <w:r w:rsidR="005020AF" w:rsidRPr="004E2AC5">
        <w:rPr>
          <w:rFonts w:eastAsiaTheme="minorHAnsi"/>
          <w:lang w:eastAsia="en-US"/>
        </w:rPr>
        <w:t>need</w:t>
      </w:r>
      <w:r w:rsidR="001A2C19">
        <w:rPr>
          <w:rFonts w:eastAsiaTheme="minorHAnsi"/>
          <w:lang w:eastAsia="en-US"/>
        </w:rPr>
        <w:t>ed</w:t>
      </w:r>
      <w:r w:rsidR="005020AF" w:rsidRPr="004E2AC5">
        <w:rPr>
          <w:rFonts w:eastAsiaTheme="minorHAnsi"/>
          <w:lang w:eastAsia="en-US"/>
        </w:rPr>
        <w:t>.</w:t>
      </w:r>
    </w:p>
    <w:p w:rsidR="00E61123" w:rsidRDefault="00AC2EA1" w:rsidP="00ED2AB2">
      <w:pPr>
        <w:pStyle w:val="bodycopy"/>
        <w:rPr>
          <w:rFonts w:eastAsiaTheme="minorHAnsi"/>
          <w:lang w:eastAsia="en-US"/>
        </w:rPr>
      </w:pPr>
      <w:r>
        <w:rPr>
          <w:rFonts w:eastAsiaTheme="minorHAnsi"/>
          <w:lang w:eastAsia="en-US"/>
        </w:rPr>
        <w:t>B</w:t>
      </w:r>
      <w:r w:rsidR="00810A65">
        <w:rPr>
          <w:rFonts w:eastAsiaTheme="minorHAnsi"/>
          <w:lang w:eastAsia="en-US"/>
        </w:rPr>
        <w:t>enchmark rating scheme</w:t>
      </w:r>
      <w:r>
        <w:rPr>
          <w:rFonts w:eastAsiaTheme="minorHAnsi"/>
          <w:lang w:eastAsia="en-US"/>
        </w:rPr>
        <w:t>s</w:t>
      </w:r>
      <w:r w:rsidR="00810A65">
        <w:rPr>
          <w:rFonts w:eastAsiaTheme="minorHAnsi"/>
          <w:lang w:eastAsia="en-US"/>
        </w:rPr>
        <w:t xml:space="preserve"> </w:t>
      </w:r>
      <w:r>
        <w:rPr>
          <w:rFonts w:eastAsiaTheme="minorHAnsi"/>
          <w:lang w:eastAsia="en-US"/>
        </w:rPr>
        <w:t xml:space="preserve">are </w:t>
      </w:r>
      <w:r w:rsidR="00810A65">
        <w:rPr>
          <w:rFonts w:eastAsiaTheme="minorHAnsi"/>
          <w:lang w:eastAsia="en-US"/>
        </w:rPr>
        <w:t xml:space="preserve">designed to compare buildings of different sizes, uses and operating hours with </w:t>
      </w:r>
      <w:r w:rsidR="001A2C19">
        <w:rPr>
          <w:rFonts w:eastAsiaTheme="minorHAnsi"/>
          <w:lang w:eastAsia="en-US"/>
        </w:rPr>
        <w:t>one another</w:t>
      </w:r>
      <w:r w:rsidR="00810A65">
        <w:rPr>
          <w:rFonts w:eastAsiaTheme="minorHAnsi"/>
          <w:lang w:eastAsia="en-US"/>
        </w:rPr>
        <w:t xml:space="preserve">. </w:t>
      </w:r>
      <w:r w:rsidR="00396393">
        <w:rPr>
          <w:rFonts w:eastAsiaTheme="minorHAnsi"/>
          <w:lang w:eastAsia="en-US"/>
        </w:rPr>
        <w:t>In order t</w:t>
      </w:r>
      <w:r w:rsidR="00E61123">
        <w:rPr>
          <w:rFonts w:eastAsiaTheme="minorHAnsi"/>
          <w:lang w:eastAsia="en-US"/>
        </w:rPr>
        <w:t xml:space="preserve">o do this </w:t>
      </w:r>
      <w:r w:rsidR="00396393">
        <w:rPr>
          <w:rFonts w:eastAsiaTheme="minorHAnsi"/>
          <w:lang w:eastAsia="en-US"/>
        </w:rPr>
        <w:t xml:space="preserve">accurately, </w:t>
      </w:r>
      <w:r w:rsidR="00E61123">
        <w:rPr>
          <w:rFonts w:eastAsiaTheme="minorHAnsi"/>
          <w:lang w:eastAsia="en-US"/>
        </w:rPr>
        <w:t xml:space="preserve">energy consumption is normalised </w:t>
      </w:r>
      <w:r w:rsidR="00396393">
        <w:rPr>
          <w:rFonts w:eastAsiaTheme="minorHAnsi"/>
          <w:lang w:eastAsia="en-US"/>
        </w:rPr>
        <w:t>based on certain</w:t>
      </w:r>
      <w:r w:rsidR="00E61123">
        <w:rPr>
          <w:rFonts w:eastAsiaTheme="minorHAnsi"/>
          <w:lang w:eastAsia="en-US"/>
        </w:rPr>
        <w:t xml:space="preserve"> variables</w:t>
      </w:r>
      <w:r w:rsidR="001A2C19">
        <w:rPr>
          <w:rFonts w:eastAsiaTheme="minorHAnsi"/>
          <w:lang w:eastAsia="en-US"/>
        </w:rPr>
        <w:t>.</w:t>
      </w:r>
      <w:r w:rsidR="00E61123">
        <w:rPr>
          <w:rFonts w:eastAsiaTheme="minorHAnsi"/>
          <w:lang w:eastAsia="en-US"/>
        </w:rPr>
        <w:t xml:space="preserve"> </w:t>
      </w:r>
      <w:r w:rsidR="001A2C19">
        <w:rPr>
          <w:rFonts w:eastAsiaTheme="minorHAnsi"/>
          <w:lang w:eastAsia="en-US"/>
        </w:rPr>
        <w:t>F</w:t>
      </w:r>
      <w:r w:rsidR="00E61123">
        <w:rPr>
          <w:rFonts w:eastAsiaTheme="minorHAnsi"/>
          <w:lang w:eastAsia="en-US"/>
        </w:rPr>
        <w:t>or example</w:t>
      </w:r>
      <w:r w:rsidR="001A2C19">
        <w:rPr>
          <w:rFonts w:eastAsiaTheme="minorHAnsi"/>
          <w:lang w:eastAsia="en-US"/>
        </w:rPr>
        <w:t>,</w:t>
      </w:r>
      <w:r w:rsidR="00E61123">
        <w:rPr>
          <w:rFonts w:eastAsiaTheme="minorHAnsi"/>
          <w:lang w:eastAsia="en-US"/>
        </w:rPr>
        <w:t xml:space="preserve"> NABERS office ratings are normalised based on net </w:t>
      </w:r>
      <w:r w:rsidR="00DE2F0E">
        <w:rPr>
          <w:rFonts w:eastAsiaTheme="minorHAnsi"/>
          <w:lang w:eastAsia="en-US"/>
        </w:rPr>
        <w:t>let-</w:t>
      </w:r>
      <w:r w:rsidR="00E61123">
        <w:rPr>
          <w:rFonts w:eastAsiaTheme="minorHAnsi"/>
          <w:lang w:eastAsia="en-US"/>
        </w:rPr>
        <w:t xml:space="preserve">able area. </w:t>
      </w:r>
    </w:p>
    <w:p w:rsidR="00810A65" w:rsidRDefault="00396393" w:rsidP="00ED2AB2">
      <w:pPr>
        <w:pStyle w:val="bodycopy"/>
        <w:rPr>
          <w:rFonts w:eastAsiaTheme="minorHAnsi"/>
          <w:lang w:eastAsia="en-US"/>
        </w:rPr>
      </w:pPr>
      <w:r>
        <w:rPr>
          <w:rFonts w:eastAsiaTheme="minorHAnsi"/>
          <w:lang w:eastAsia="en-US"/>
        </w:rPr>
        <w:t xml:space="preserve">Variables relating to the operation and use of a building </w:t>
      </w:r>
      <w:r w:rsidR="00E61123">
        <w:rPr>
          <w:rFonts w:eastAsiaTheme="minorHAnsi"/>
          <w:lang w:eastAsia="en-US"/>
        </w:rPr>
        <w:t xml:space="preserve">may change over the lifetime of the project. </w:t>
      </w:r>
      <w:r>
        <w:rPr>
          <w:rFonts w:eastAsiaTheme="minorHAnsi"/>
          <w:lang w:eastAsia="en-US"/>
        </w:rPr>
        <w:t xml:space="preserve">These changes are accounted for </w:t>
      </w:r>
      <w:r>
        <w:rPr>
          <w:rFonts w:eastAsiaTheme="minorHAnsi"/>
          <w:lang w:eastAsia="en-US"/>
        </w:rPr>
        <w:lastRenderedPageBreak/>
        <w:t xml:space="preserve">using a reverse calculator. For example, the operating hours and the number of computers in an office building may change over time. </w:t>
      </w:r>
      <w:r>
        <w:rPr>
          <w:rFonts w:eastAsiaTheme="minorHAnsi"/>
          <w:lang w:eastAsia="en-US"/>
        </w:rPr>
        <w:br/>
        <w:t>A</w:t>
      </w:r>
      <w:r w:rsidR="00E61123">
        <w:rPr>
          <w:rFonts w:eastAsiaTheme="minorHAnsi"/>
          <w:lang w:eastAsia="en-US"/>
        </w:rPr>
        <w:t xml:space="preserve"> reverse calculator determine</w:t>
      </w:r>
      <w:r>
        <w:rPr>
          <w:rFonts w:eastAsiaTheme="minorHAnsi"/>
          <w:lang w:eastAsia="en-US"/>
        </w:rPr>
        <w:t>s</w:t>
      </w:r>
      <w:r w:rsidR="00E61123">
        <w:rPr>
          <w:rFonts w:eastAsiaTheme="minorHAnsi"/>
          <w:lang w:eastAsia="en-US"/>
        </w:rPr>
        <w:t xml:space="preserve"> what the </w:t>
      </w:r>
      <w:r w:rsidR="00810A65">
        <w:rPr>
          <w:rFonts w:eastAsiaTheme="minorHAnsi"/>
          <w:lang w:eastAsia="en-US"/>
        </w:rPr>
        <w:t>energy consumption of the building would have been if the project had not occurred.</w:t>
      </w:r>
      <w:r w:rsidR="005020AF">
        <w:rPr>
          <w:rFonts w:eastAsiaTheme="minorHAnsi"/>
          <w:lang w:eastAsia="en-US"/>
        </w:rPr>
        <w:t xml:space="preserve"> This </w:t>
      </w:r>
      <w:r w:rsidR="00505982">
        <w:rPr>
          <w:rFonts w:eastAsiaTheme="minorHAnsi"/>
          <w:lang w:eastAsia="en-US"/>
        </w:rPr>
        <w:t>is done by</w:t>
      </w:r>
      <w:r w:rsidR="005020AF">
        <w:rPr>
          <w:rFonts w:eastAsiaTheme="minorHAnsi"/>
          <w:lang w:eastAsia="en-US"/>
        </w:rPr>
        <w:t xml:space="preserve"> entering the current usage and operation of the building </w:t>
      </w:r>
      <w:r w:rsidR="00505982">
        <w:rPr>
          <w:rFonts w:eastAsiaTheme="minorHAnsi"/>
          <w:lang w:eastAsia="en-US"/>
        </w:rPr>
        <w:t xml:space="preserve">as well as </w:t>
      </w:r>
      <w:r w:rsidR="005020AF">
        <w:rPr>
          <w:rFonts w:eastAsiaTheme="minorHAnsi"/>
          <w:lang w:eastAsia="en-US"/>
        </w:rPr>
        <w:t xml:space="preserve">the </w:t>
      </w:r>
      <w:r w:rsidR="002B01EC" w:rsidRPr="007D0CDE">
        <w:rPr>
          <w:rFonts w:eastAsiaTheme="minorHAnsi"/>
          <w:b/>
          <w:i/>
          <w:lang w:eastAsia="en-US"/>
        </w:rPr>
        <w:t>b</w:t>
      </w:r>
      <w:r w:rsidR="005020AF" w:rsidRPr="007D0CDE">
        <w:rPr>
          <w:rFonts w:eastAsiaTheme="minorHAnsi"/>
          <w:b/>
          <w:i/>
          <w:lang w:eastAsia="en-US"/>
        </w:rPr>
        <w:t xml:space="preserve">aseline </w:t>
      </w:r>
      <w:r w:rsidR="002B01EC" w:rsidRPr="007D0CDE">
        <w:rPr>
          <w:rFonts w:eastAsiaTheme="minorHAnsi"/>
          <w:b/>
          <w:i/>
          <w:lang w:eastAsia="en-US"/>
        </w:rPr>
        <w:t>r</w:t>
      </w:r>
      <w:r w:rsidR="005020AF" w:rsidRPr="007D0CDE">
        <w:rPr>
          <w:rFonts w:eastAsiaTheme="minorHAnsi"/>
          <w:b/>
          <w:i/>
          <w:lang w:eastAsia="en-US"/>
        </w:rPr>
        <w:t>ating</w:t>
      </w:r>
      <w:r w:rsidR="00505982">
        <w:rPr>
          <w:rFonts w:eastAsiaTheme="minorHAnsi"/>
          <w:lang w:eastAsia="en-US"/>
        </w:rPr>
        <w:t xml:space="preserve"> into the calculator.</w:t>
      </w:r>
      <w:r w:rsidR="005020AF">
        <w:rPr>
          <w:rFonts w:eastAsiaTheme="minorHAnsi"/>
          <w:lang w:eastAsia="en-US"/>
        </w:rPr>
        <w:t xml:space="preserve"> </w:t>
      </w:r>
    </w:p>
    <w:p w:rsidR="00ED2AB2" w:rsidRPr="00ED2AB2" w:rsidRDefault="00ED2AB2" w:rsidP="00ED2AB2">
      <w:pPr>
        <w:pStyle w:val="heading2black"/>
      </w:pPr>
      <w:r w:rsidRPr="00ED2AB2">
        <w:t>Deduct</w:t>
      </w:r>
      <w:r w:rsidR="00AC2EA1">
        <w:t>ing</w:t>
      </w:r>
      <w:r w:rsidRPr="00ED2AB2">
        <w:t xml:space="preserve"> business-as-usual improvements</w:t>
      </w:r>
    </w:p>
    <w:p w:rsidR="00D81823" w:rsidRDefault="00810A65" w:rsidP="00ED2AB2">
      <w:pPr>
        <w:pStyle w:val="bodycopy"/>
        <w:rPr>
          <w:rFonts w:eastAsiaTheme="minorHAnsi"/>
          <w:lang w:eastAsia="en-US"/>
        </w:rPr>
      </w:pPr>
      <w:r w:rsidRPr="00ED2AB2" w:rsidDel="00483DD9">
        <w:rPr>
          <w:rFonts w:eastAsiaTheme="minorHAnsi"/>
          <w:lang w:eastAsia="en-US"/>
        </w:rPr>
        <w:t xml:space="preserve">As with VEET </w:t>
      </w:r>
      <w:r w:rsidR="00505982">
        <w:rPr>
          <w:rFonts w:eastAsiaTheme="minorHAnsi"/>
          <w:lang w:eastAsia="en-US"/>
        </w:rPr>
        <w:t>generally</w:t>
      </w:r>
      <w:r w:rsidRPr="00ED2AB2" w:rsidDel="00483DD9">
        <w:rPr>
          <w:rFonts w:eastAsiaTheme="minorHAnsi"/>
          <w:lang w:eastAsia="en-US"/>
        </w:rPr>
        <w:t xml:space="preserve">, </w:t>
      </w:r>
      <w:r w:rsidR="00505982">
        <w:rPr>
          <w:rFonts w:eastAsiaTheme="minorHAnsi"/>
          <w:lang w:eastAsia="en-US"/>
        </w:rPr>
        <w:t xml:space="preserve">energy efficiency activities that are </w:t>
      </w:r>
      <w:r w:rsidRPr="00ED2AB2" w:rsidDel="00483DD9">
        <w:rPr>
          <w:rFonts w:eastAsiaTheme="minorHAnsi"/>
          <w:lang w:eastAsia="en-US"/>
        </w:rPr>
        <w:t>required by law</w:t>
      </w:r>
      <w:r w:rsidR="00505982">
        <w:rPr>
          <w:rFonts w:eastAsiaTheme="minorHAnsi"/>
          <w:lang w:eastAsia="en-US"/>
        </w:rPr>
        <w:t xml:space="preserve"> cannot be credited</w:t>
      </w:r>
      <w:r w:rsidRPr="00ED2AB2" w:rsidDel="00483DD9">
        <w:rPr>
          <w:rFonts w:eastAsiaTheme="minorHAnsi"/>
          <w:lang w:eastAsia="en-US"/>
        </w:rPr>
        <w:t xml:space="preserve">. </w:t>
      </w:r>
      <w:r w:rsidR="00D81823">
        <w:rPr>
          <w:rFonts w:eastAsiaTheme="minorHAnsi"/>
          <w:lang w:eastAsia="en-US"/>
        </w:rPr>
        <w:t>The method includes a factor</w:t>
      </w:r>
      <w:r w:rsidR="00505982">
        <w:rPr>
          <w:rFonts w:eastAsiaTheme="minorHAnsi"/>
          <w:lang w:eastAsia="en-US"/>
        </w:rPr>
        <w:t xml:space="preserve">, known as the </w:t>
      </w:r>
      <w:r w:rsidR="000B0008">
        <w:rPr>
          <w:rFonts w:eastAsiaTheme="minorHAnsi"/>
          <w:b/>
          <w:i/>
          <w:lang w:eastAsia="en-US"/>
        </w:rPr>
        <w:t>b</w:t>
      </w:r>
      <w:r w:rsidR="00505982" w:rsidRPr="003A3811">
        <w:rPr>
          <w:rFonts w:eastAsiaTheme="minorHAnsi"/>
          <w:b/>
          <w:i/>
          <w:lang w:eastAsia="en-US"/>
        </w:rPr>
        <w:t xml:space="preserve">enchmark </w:t>
      </w:r>
      <w:r w:rsidR="000B0008">
        <w:rPr>
          <w:rFonts w:eastAsiaTheme="minorHAnsi"/>
          <w:b/>
          <w:i/>
          <w:lang w:eastAsia="en-US"/>
        </w:rPr>
        <w:t>f</w:t>
      </w:r>
      <w:r w:rsidR="00505982" w:rsidRPr="003A3811">
        <w:rPr>
          <w:rFonts w:eastAsiaTheme="minorHAnsi"/>
          <w:b/>
          <w:i/>
          <w:lang w:eastAsia="en-US"/>
        </w:rPr>
        <w:t>actor</w:t>
      </w:r>
      <w:r w:rsidR="00505982">
        <w:rPr>
          <w:rFonts w:eastAsiaTheme="minorHAnsi"/>
          <w:lang w:eastAsia="en-US"/>
        </w:rPr>
        <w:t>,</w:t>
      </w:r>
      <w:r w:rsidR="00D81823">
        <w:rPr>
          <w:rFonts w:eastAsiaTheme="minorHAnsi"/>
          <w:lang w:eastAsia="en-US"/>
        </w:rPr>
        <w:t xml:space="preserve"> to account for </w:t>
      </w:r>
      <w:r w:rsidR="00014C84">
        <w:rPr>
          <w:rFonts w:eastAsiaTheme="minorHAnsi"/>
          <w:lang w:eastAsia="en-US"/>
        </w:rPr>
        <w:t xml:space="preserve">any </w:t>
      </w:r>
      <w:r w:rsidR="00D81823">
        <w:rPr>
          <w:rFonts w:eastAsiaTheme="minorHAnsi"/>
          <w:lang w:eastAsia="en-US"/>
        </w:rPr>
        <w:t xml:space="preserve">improvements </w:t>
      </w:r>
      <w:r w:rsidR="00505982">
        <w:rPr>
          <w:rFonts w:eastAsiaTheme="minorHAnsi"/>
          <w:lang w:eastAsia="en-US"/>
        </w:rPr>
        <w:t>that are</w:t>
      </w:r>
      <w:r w:rsidR="00014C84">
        <w:rPr>
          <w:rFonts w:eastAsiaTheme="minorHAnsi"/>
          <w:lang w:eastAsia="en-US"/>
        </w:rPr>
        <w:t xml:space="preserve"> </w:t>
      </w:r>
      <w:r w:rsidR="00505982">
        <w:rPr>
          <w:rFonts w:eastAsiaTheme="minorHAnsi"/>
          <w:lang w:eastAsia="en-US"/>
        </w:rPr>
        <w:t>a legal requirement. This factor also accounts for any improvements</w:t>
      </w:r>
      <w:r w:rsidR="00014C84">
        <w:rPr>
          <w:rFonts w:eastAsiaTheme="minorHAnsi"/>
          <w:lang w:eastAsia="en-US"/>
        </w:rPr>
        <w:t xml:space="preserve"> </w:t>
      </w:r>
      <w:r w:rsidR="00505982">
        <w:rPr>
          <w:rFonts w:eastAsiaTheme="minorHAnsi"/>
          <w:lang w:eastAsia="en-US"/>
        </w:rPr>
        <w:t xml:space="preserve">in energy efficiency </w:t>
      </w:r>
      <w:r w:rsidR="005020AF" w:rsidRPr="00ED2AB2">
        <w:rPr>
          <w:rFonts w:eastAsiaTheme="minorHAnsi"/>
          <w:lang w:eastAsia="en-US"/>
        </w:rPr>
        <w:t xml:space="preserve">over time </w:t>
      </w:r>
      <w:r w:rsidR="00505982">
        <w:rPr>
          <w:rFonts w:eastAsiaTheme="minorHAnsi"/>
          <w:lang w:eastAsia="en-US"/>
        </w:rPr>
        <w:t xml:space="preserve">that would have happened anyway for other reasons such as </w:t>
      </w:r>
      <w:r w:rsidR="005020AF" w:rsidRPr="00ED2AB2">
        <w:rPr>
          <w:rFonts w:eastAsiaTheme="minorHAnsi"/>
          <w:lang w:eastAsia="en-US"/>
        </w:rPr>
        <w:t>improvements in technology.</w:t>
      </w:r>
      <w:r w:rsidR="00D81823">
        <w:rPr>
          <w:rFonts w:eastAsiaTheme="minorHAnsi"/>
          <w:lang w:eastAsia="en-US"/>
        </w:rPr>
        <w:t xml:space="preserve"> </w:t>
      </w:r>
    </w:p>
    <w:p w:rsidR="00ED2AB2" w:rsidRDefault="00E61123" w:rsidP="00ED2AB2">
      <w:pPr>
        <w:pStyle w:val="bodycopy"/>
        <w:rPr>
          <w:rFonts w:eastAsiaTheme="minorHAnsi"/>
          <w:lang w:eastAsia="en-US"/>
        </w:rPr>
      </w:pPr>
      <w:r>
        <w:rPr>
          <w:rFonts w:eastAsiaTheme="minorHAnsi"/>
          <w:lang w:eastAsia="en-US"/>
        </w:rPr>
        <w:t>This</w:t>
      </w:r>
      <w:r w:rsidR="00ED2AB2" w:rsidRPr="00ED2AB2">
        <w:rPr>
          <w:rFonts w:eastAsiaTheme="minorHAnsi"/>
          <w:lang w:eastAsia="en-US"/>
        </w:rPr>
        <w:t xml:space="preserve"> </w:t>
      </w:r>
      <w:r w:rsidR="000B0008">
        <w:rPr>
          <w:rFonts w:eastAsiaTheme="minorHAnsi"/>
          <w:lang w:eastAsia="en-US"/>
        </w:rPr>
        <w:t>b</w:t>
      </w:r>
      <w:r w:rsidR="00014C84">
        <w:rPr>
          <w:rFonts w:eastAsiaTheme="minorHAnsi"/>
          <w:lang w:eastAsia="en-US"/>
        </w:rPr>
        <w:t xml:space="preserve">enchmark </w:t>
      </w:r>
      <w:r w:rsidR="000B0008">
        <w:rPr>
          <w:rFonts w:eastAsiaTheme="minorHAnsi"/>
          <w:lang w:eastAsia="en-US"/>
        </w:rPr>
        <w:t>f</w:t>
      </w:r>
      <w:r w:rsidR="00014C84">
        <w:rPr>
          <w:rFonts w:eastAsiaTheme="minorHAnsi"/>
          <w:lang w:eastAsia="en-US"/>
        </w:rPr>
        <w:t>actor</w:t>
      </w:r>
      <w:r w:rsidR="00D81823">
        <w:rPr>
          <w:rFonts w:eastAsiaTheme="minorHAnsi"/>
          <w:lang w:eastAsia="en-US"/>
        </w:rPr>
        <w:t xml:space="preserve"> reduces the </w:t>
      </w:r>
      <w:r w:rsidR="00D81823" w:rsidRPr="00ED2AB2">
        <w:rPr>
          <w:rFonts w:eastAsiaTheme="minorHAnsi"/>
          <w:lang w:eastAsia="en-US"/>
        </w:rPr>
        <w:t xml:space="preserve">baseline energy consumption </w:t>
      </w:r>
      <w:r w:rsidR="00D81823">
        <w:rPr>
          <w:rFonts w:eastAsiaTheme="minorHAnsi"/>
          <w:lang w:eastAsia="en-US"/>
        </w:rPr>
        <w:t xml:space="preserve">by </w:t>
      </w:r>
      <w:r w:rsidR="00014C84">
        <w:rPr>
          <w:rFonts w:eastAsiaTheme="minorHAnsi"/>
          <w:lang w:eastAsia="en-US"/>
        </w:rPr>
        <w:t>three</w:t>
      </w:r>
      <w:r w:rsidR="00D81823">
        <w:rPr>
          <w:rFonts w:eastAsiaTheme="minorHAnsi"/>
          <w:lang w:eastAsia="en-US"/>
        </w:rPr>
        <w:t> </w:t>
      </w:r>
      <w:r w:rsidR="00ED2AB2" w:rsidRPr="00ED2AB2">
        <w:rPr>
          <w:rFonts w:eastAsiaTheme="minorHAnsi"/>
          <w:lang w:eastAsia="en-US"/>
        </w:rPr>
        <w:t xml:space="preserve">per cent </w:t>
      </w:r>
      <w:r w:rsidR="00D81823">
        <w:rPr>
          <w:rFonts w:eastAsiaTheme="minorHAnsi"/>
          <w:lang w:eastAsia="en-US"/>
        </w:rPr>
        <w:t xml:space="preserve">for every year </w:t>
      </w:r>
      <w:r w:rsidR="000260F9">
        <w:rPr>
          <w:rFonts w:eastAsiaTheme="minorHAnsi"/>
          <w:lang w:eastAsia="en-US"/>
        </w:rPr>
        <w:t xml:space="preserve">after </w:t>
      </w:r>
      <w:r w:rsidR="00D81823">
        <w:rPr>
          <w:rFonts w:eastAsiaTheme="minorHAnsi"/>
          <w:lang w:eastAsia="en-US"/>
        </w:rPr>
        <w:t xml:space="preserve">the </w:t>
      </w:r>
      <w:r w:rsidR="000B0008">
        <w:rPr>
          <w:rFonts w:eastAsiaTheme="minorHAnsi"/>
          <w:lang w:eastAsia="en-US"/>
        </w:rPr>
        <w:t>b</w:t>
      </w:r>
      <w:r w:rsidR="00D81823">
        <w:rPr>
          <w:rFonts w:eastAsiaTheme="minorHAnsi"/>
          <w:lang w:eastAsia="en-US"/>
        </w:rPr>
        <w:t xml:space="preserve">aseline </w:t>
      </w:r>
      <w:r w:rsidR="000B0008">
        <w:rPr>
          <w:rFonts w:eastAsiaTheme="minorHAnsi"/>
          <w:lang w:eastAsia="en-US"/>
        </w:rPr>
        <w:t>r</w:t>
      </w:r>
      <w:r w:rsidR="00D81823">
        <w:rPr>
          <w:rFonts w:eastAsiaTheme="minorHAnsi"/>
          <w:lang w:eastAsia="en-US"/>
        </w:rPr>
        <w:t xml:space="preserve">ating </w:t>
      </w:r>
      <w:r w:rsidR="000260F9">
        <w:rPr>
          <w:rFonts w:eastAsiaTheme="minorHAnsi"/>
          <w:lang w:eastAsia="en-US"/>
        </w:rPr>
        <w:t xml:space="preserve">is </w:t>
      </w:r>
      <w:r w:rsidR="00D81823">
        <w:rPr>
          <w:rFonts w:eastAsiaTheme="minorHAnsi"/>
          <w:lang w:eastAsia="en-US"/>
        </w:rPr>
        <w:t>completed</w:t>
      </w:r>
      <w:r w:rsidR="00ED2AB2" w:rsidRPr="00ED2AB2">
        <w:rPr>
          <w:rFonts w:eastAsiaTheme="minorHAnsi"/>
          <w:lang w:eastAsia="en-US"/>
        </w:rPr>
        <w:t>.</w:t>
      </w:r>
      <w:r w:rsidR="0096379B">
        <w:rPr>
          <w:rFonts w:eastAsiaTheme="minorHAnsi"/>
          <w:lang w:eastAsia="en-US"/>
        </w:rPr>
        <w:t xml:space="preserve"> </w:t>
      </w:r>
      <w:r w:rsidR="00D81823">
        <w:rPr>
          <w:rFonts w:eastAsiaTheme="minorHAnsi"/>
          <w:lang w:eastAsia="en-US"/>
        </w:rPr>
        <w:t>This means that t</w:t>
      </w:r>
      <w:r w:rsidR="00ED2AB2" w:rsidRPr="00ED2AB2">
        <w:rPr>
          <w:rFonts w:eastAsiaTheme="minorHAnsi"/>
          <w:lang w:eastAsia="en-US"/>
        </w:rPr>
        <w:t>he energy savings that can be claimed</w:t>
      </w:r>
      <w:r w:rsidR="00D81823">
        <w:rPr>
          <w:rFonts w:eastAsiaTheme="minorHAnsi"/>
          <w:lang w:eastAsia="en-US"/>
        </w:rPr>
        <w:t xml:space="preserve"> are reduced by three per cent per year </w:t>
      </w:r>
      <w:r w:rsidR="00ED2AB2" w:rsidRPr="00ED2AB2">
        <w:rPr>
          <w:rFonts w:eastAsiaTheme="minorHAnsi"/>
          <w:lang w:eastAsia="en-US"/>
        </w:rPr>
        <w:t>unless additional activities are undertaken.</w:t>
      </w:r>
    </w:p>
    <w:p w:rsidR="00382B8C" w:rsidRDefault="00382B8C" w:rsidP="00ED2AB2">
      <w:pPr>
        <w:pStyle w:val="bodycopy"/>
        <w:rPr>
          <w:rFonts w:eastAsiaTheme="minorHAnsi"/>
          <w:lang w:eastAsia="en-US"/>
        </w:rPr>
      </w:pPr>
      <w:r w:rsidRPr="00ED2AB2">
        <w:rPr>
          <w:rFonts w:eastAsiaTheme="minorHAnsi"/>
          <w:lang w:eastAsia="en-US"/>
        </w:rPr>
        <w:t>The</w:t>
      </w:r>
      <w:r>
        <w:rPr>
          <w:rFonts w:eastAsiaTheme="minorHAnsi"/>
          <w:lang w:eastAsia="en-US"/>
        </w:rPr>
        <w:t>re are similar</w:t>
      </w:r>
      <w:r w:rsidRPr="00ED2AB2">
        <w:rPr>
          <w:rFonts w:eastAsiaTheme="minorHAnsi"/>
          <w:lang w:eastAsia="en-US"/>
        </w:rPr>
        <w:t xml:space="preserve"> </w:t>
      </w:r>
      <w:r>
        <w:rPr>
          <w:rFonts w:eastAsiaTheme="minorHAnsi"/>
          <w:lang w:eastAsia="en-US"/>
        </w:rPr>
        <w:t xml:space="preserve">benchmark rating </w:t>
      </w:r>
      <w:r w:rsidRPr="00ED2AB2">
        <w:rPr>
          <w:rFonts w:eastAsiaTheme="minorHAnsi"/>
          <w:lang w:eastAsia="en-US"/>
        </w:rPr>
        <w:t>methods use</w:t>
      </w:r>
      <w:r>
        <w:rPr>
          <w:rFonts w:eastAsiaTheme="minorHAnsi"/>
          <w:lang w:eastAsia="en-US"/>
        </w:rPr>
        <w:t>d</w:t>
      </w:r>
      <w:r w:rsidRPr="00ED2AB2">
        <w:rPr>
          <w:rFonts w:eastAsiaTheme="minorHAnsi"/>
          <w:lang w:eastAsia="en-US"/>
        </w:rPr>
        <w:t xml:space="preserve"> in the New South Wales Energy Saver Scheme (ESS) and in the Commonwealth Emissions Reduction Fund (ERF)</w:t>
      </w:r>
      <w:r>
        <w:rPr>
          <w:rFonts w:eastAsiaTheme="minorHAnsi"/>
          <w:lang w:eastAsia="en-US"/>
        </w:rPr>
        <w:t>.</w:t>
      </w:r>
      <w:r w:rsidR="00DE2F0E">
        <w:rPr>
          <w:rFonts w:eastAsiaTheme="minorHAnsi"/>
          <w:lang w:eastAsia="en-US"/>
        </w:rPr>
        <w:t xml:space="preserve"> </w:t>
      </w:r>
      <w:r>
        <w:rPr>
          <w:rFonts w:eastAsiaTheme="minorHAnsi"/>
          <w:lang w:eastAsia="en-US"/>
        </w:rPr>
        <w:t>These deduct b</w:t>
      </w:r>
      <w:r w:rsidR="00C22D42">
        <w:rPr>
          <w:rFonts w:eastAsiaTheme="minorHAnsi"/>
          <w:lang w:eastAsia="en-US"/>
        </w:rPr>
        <w:t xml:space="preserve">usiness-as-usual improvements by increasing the baseline rating for the building by </w:t>
      </w:r>
      <w:r>
        <w:rPr>
          <w:rFonts w:eastAsiaTheme="minorHAnsi"/>
          <w:lang w:eastAsia="en-US"/>
        </w:rPr>
        <w:t>0.15 stars per year</w:t>
      </w:r>
      <w:r w:rsidR="00C22D42">
        <w:rPr>
          <w:rFonts w:eastAsiaTheme="minorHAnsi"/>
          <w:lang w:eastAsia="en-US"/>
        </w:rPr>
        <w:t xml:space="preserve">. However, this may be less accurate for buildings with higher benchmark ratings, therefore the proposed method uses a percentage improvement instead.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626A60" w:rsidTr="007E3294">
        <w:tc>
          <w:tcPr>
            <w:tcW w:w="4375" w:type="dxa"/>
            <w:shd w:val="clear" w:color="auto" w:fill="D9D9D9" w:themeFill="background1" w:themeFillShade="D9"/>
          </w:tcPr>
          <w:p w:rsidR="00626A60" w:rsidRPr="00ED2AB2" w:rsidRDefault="00626A60" w:rsidP="00626A60">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p>
          <w:p w:rsidR="00626A60" w:rsidRPr="007E3294" w:rsidRDefault="00626A60" w:rsidP="007E3294">
            <w:pPr>
              <w:pStyle w:val="bodycopy"/>
              <w:rPr>
                <w:rFonts w:eastAsiaTheme="minorHAnsi"/>
                <w:lang w:eastAsia="en-US"/>
              </w:rPr>
            </w:pPr>
            <w:r w:rsidRPr="00ED2AB2">
              <w:rPr>
                <w:rFonts w:ascii="Tahoma" w:eastAsiaTheme="minorHAnsi" w:hAnsi="Tahoma" w:cs="Tahoma"/>
                <w:color w:val="auto"/>
                <w:lang w:eastAsia="en-US"/>
              </w:rPr>
              <w:t xml:space="preserve">The proposed approach </w:t>
            </w:r>
            <w:r>
              <w:rPr>
                <w:rFonts w:ascii="Tahoma" w:eastAsiaTheme="minorHAnsi" w:hAnsi="Tahoma" w:cs="Tahoma"/>
                <w:color w:val="auto"/>
                <w:lang w:eastAsia="en-US"/>
              </w:rPr>
              <w:t>is different to</w:t>
            </w:r>
            <w:r w:rsidRPr="00ED2AB2">
              <w:rPr>
                <w:rFonts w:ascii="Tahoma" w:eastAsiaTheme="minorHAnsi" w:hAnsi="Tahoma" w:cs="Tahoma"/>
                <w:color w:val="auto"/>
                <w:lang w:eastAsia="en-US"/>
              </w:rPr>
              <w:t xml:space="preserve"> NSW ESS and Commonwealth ERF schemes</w:t>
            </w:r>
            <w:r w:rsidR="003243C0">
              <w:rPr>
                <w:rFonts w:ascii="Tahoma" w:eastAsiaTheme="minorHAnsi" w:hAnsi="Tahoma" w:cs="Tahoma"/>
                <w:color w:val="auto"/>
                <w:lang w:eastAsia="en-US"/>
              </w:rPr>
              <w:t>.</w:t>
            </w:r>
            <w:r w:rsidR="003243C0">
              <w:rPr>
                <w:rFonts w:ascii="Tahoma" w:eastAsiaTheme="minorHAnsi" w:hAnsi="Tahoma" w:cs="Tahoma"/>
                <w:color w:val="auto"/>
                <w:lang w:eastAsia="en-US"/>
              </w:rPr>
              <w:br/>
              <w:t>I</w:t>
            </w:r>
            <w:r w:rsidRPr="00ED2AB2">
              <w:rPr>
                <w:rFonts w:ascii="Tahoma" w:eastAsiaTheme="minorHAnsi" w:hAnsi="Tahoma" w:cs="Tahoma"/>
                <w:color w:val="auto"/>
                <w:lang w:eastAsia="en-US"/>
              </w:rPr>
              <w:t>s this preferable to aligning the</w:t>
            </w:r>
            <w:r>
              <w:rPr>
                <w:rFonts w:ascii="Tahoma" w:eastAsiaTheme="minorHAnsi" w:hAnsi="Tahoma" w:cs="Tahoma"/>
                <w:color w:val="auto"/>
                <w:lang w:eastAsia="en-US"/>
              </w:rPr>
              <w:t>se</w:t>
            </w:r>
            <w:r w:rsidRPr="00ED2AB2">
              <w:rPr>
                <w:rFonts w:ascii="Tahoma" w:eastAsiaTheme="minorHAnsi" w:hAnsi="Tahoma" w:cs="Tahoma"/>
                <w:color w:val="auto"/>
                <w:lang w:eastAsia="en-US"/>
              </w:rPr>
              <w:t xml:space="preserve"> schemes?</w:t>
            </w:r>
          </w:p>
        </w:tc>
      </w:tr>
    </w:tbl>
    <w:p w:rsidR="00ED2AB2" w:rsidRPr="00ED2AB2" w:rsidRDefault="003F3703" w:rsidP="00ED2AB2">
      <w:pPr>
        <w:pStyle w:val="heading2black"/>
      </w:pPr>
      <w:r>
        <w:t>Account</w:t>
      </w:r>
      <w:r w:rsidR="000260F9">
        <w:t>ing</w:t>
      </w:r>
      <w:r>
        <w:t xml:space="preserve"> for changes to metering </w:t>
      </w:r>
    </w:p>
    <w:p w:rsidR="003F3703" w:rsidRDefault="00ED2AB2" w:rsidP="00ED2AB2">
      <w:pPr>
        <w:pStyle w:val="bodycopy"/>
        <w:rPr>
          <w:rFonts w:eastAsiaTheme="minorHAnsi"/>
          <w:lang w:eastAsia="en-US"/>
        </w:rPr>
      </w:pPr>
      <w:r w:rsidRPr="00ED2AB2">
        <w:rPr>
          <w:rFonts w:eastAsiaTheme="minorHAnsi"/>
          <w:lang w:eastAsia="en-US"/>
        </w:rPr>
        <w:t xml:space="preserve">There may be some parts of </w:t>
      </w:r>
      <w:r w:rsidR="000260F9">
        <w:rPr>
          <w:rFonts w:eastAsiaTheme="minorHAnsi"/>
          <w:lang w:eastAsia="en-US"/>
        </w:rPr>
        <w:t>a</w:t>
      </w:r>
      <w:r w:rsidR="000260F9" w:rsidRPr="00ED2AB2">
        <w:rPr>
          <w:rFonts w:eastAsiaTheme="minorHAnsi"/>
          <w:lang w:eastAsia="en-US"/>
        </w:rPr>
        <w:t xml:space="preserve"> </w:t>
      </w:r>
      <w:r w:rsidRPr="00ED2AB2">
        <w:rPr>
          <w:rFonts w:eastAsiaTheme="minorHAnsi"/>
          <w:lang w:eastAsia="en-US"/>
        </w:rPr>
        <w:t xml:space="preserve">building which </w:t>
      </w:r>
      <w:r w:rsidR="003F3703">
        <w:rPr>
          <w:rFonts w:eastAsiaTheme="minorHAnsi"/>
          <w:lang w:eastAsia="en-US"/>
        </w:rPr>
        <w:t>are not included in the</w:t>
      </w:r>
      <w:r w:rsidRPr="00ED2AB2">
        <w:rPr>
          <w:rFonts w:eastAsiaTheme="minorHAnsi"/>
          <w:lang w:eastAsia="en-US"/>
        </w:rPr>
        <w:t xml:space="preserve"> </w:t>
      </w:r>
      <w:r w:rsidR="000B0008">
        <w:rPr>
          <w:rFonts w:eastAsiaTheme="minorHAnsi"/>
          <w:lang w:eastAsia="en-US"/>
        </w:rPr>
        <w:t>b</w:t>
      </w:r>
      <w:r w:rsidR="0096379B">
        <w:rPr>
          <w:rFonts w:eastAsiaTheme="minorHAnsi"/>
          <w:lang w:eastAsia="en-US"/>
        </w:rPr>
        <w:t xml:space="preserve">enchmark </w:t>
      </w:r>
      <w:r w:rsidR="000B0008">
        <w:rPr>
          <w:rFonts w:eastAsiaTheme="minorHAnsi"/>
          <w:lang w:eastAsia="en-US"/>
        </w:rPr>
        <w:t>r</w:t>
      </w:r>
      <w:r w:rsidR="0096379B">
        <w:rPr>
          <w:rFonts w:eastAsiaTheme="minorHAnsi"/>
          <w:lang w:eastAsia="en-US"/>
        </w:rPr>
        <w:t>ating</w:t>
      </w:r>
      <w:r w:rsidR="000260F9">
        <w:rPr>
          <w:rFonts w:eastAsiaTheme="minorHAnsi"/>
          <w:lang w:eastAsia="en-US"/>
        </w:rPr>
        <w:t xml:space="preserve"> as they are not reflective of the building’s </w:t>
      </w:r>
      <w:r w:rsidR="00DB7F29">
        <w:rPr>
          <w:rFonts w:eastAsiaTheme="minorHAnsi"/>
          <w:lang w:eastAsia="en-US"/>
        </w:rPr>
        <w:t xml:space="preserve">general </w:t>
      </w:r>
      <w:r w:rsidR="000260F9">
        <w:rPr>
          <w:rFonts w:eastAsiaTheme="minorHAnsi"/>
          <w:lang w:eastAsia="en-US"/>
        </w:rPr>
        <w:t xml:space="preserve">energy </w:t>
      </w:r>
      <w:r w:rsidR="004D541D">
        <w:rPr>
          <w:rFonts w:eastAsiaTheme="minorHAnsi"/>
          <w:lang w:eastAsia="en-US"/>
        </w:rPr>
        <w:t>performance</w:t>
      </w:r>
      <w:r w:rsidRPr="00ED2AB2">
        <w:rPr>
          <w:rFonts w:eastAsiaTheme="minorHAnsi"/>
          <w:lang w:eastAsia="en-US"/>
        </w:rPr>
        <w:t xml:space="preserve">. </w:t>
      </w:r>
      <w:r w:rsidRPr="00F34602">
        <w:rPr>
          <w:rFonts w:eastAsiaTheme="minorHAnsi"/>
          <w:lang w:eastAsia="en-US"/>
        </w:rPr>
        <w:t>For example,</w:t>
      </w:r>
      <w:r w:rsidRPr="00ED2AB2">
        <w:rPr>
          <w:rFonts w:eastAsiaTheme="minorHAnsi"/>
          <w:lang w:eastAsia="en-US"/>
        </w:rPr>
        <w:t xml:space="preserve"> </w:t>
      </w:r>
      <w:r w:rsidR="003F3703">
        <w:rPr>
          <w:rFonts w:eastAsiaTheme="minorHAnsi"/>
          <w:lang w:eastAsia="en-US"/>
        </w:rPr>
        <w:t>for an</w:t>
      </w:r>
      <w:r w:rsidRPr="00ED2AB2">
        <w:rPr>
          <w:rFonts w:eastAsiaTheme="minorHAnsi"/>
          <w:lang w:eastAsia="en-US"/>
        </w:rPr>
        <w:t xml:space="preserve"> office building with a café on one floor, the café’s energy use </w:t>
      </w:r>
      <w:r w:rsidR="003F3703">
        <w:rPr>
          <w:rFonts w:eastAsiaTheme="minorHAnsi"/>
          <w:lang w:eastAsia="en-US"/>
        </w:rPr>
        <w:t>may be excluded</w:t>
      </w:r>
      <w:r w:rsidRPr="00ED2AB2">
        <w:rPr>
          <w:rFonts w:eastAsiaTheme="minorHAnsi"/>
          <w:lang w:eastAsia="en-US"/>
        </w:rPr>
        <w:t xml:space="preserve">. </w:t>
      </w:r>
      <w:r w:rsidR="003F3703">
        <w:rPr>
          <w:rFonts w:eastAsiaTheme="minorHAnsi"/>
          <w:lang w:eastAsia="en-US"/>
        </w:rPr>
        <w:t>Benchmark rating schemes require evidence in order to exclude this energy consumption, typically</w:t>
      </w:r>
      <w:r w:rsidR="004D541D">
        <w:rPr>
          <w:rFonts w:eastAsiaTheme="minorHAnsi"/>
          <w:lang w:eastAsia="en-US"/>
        </w:rPr>
        <w:t xml:space="preserve"> using</w:t>
      </w:r>
      <w:r w:rsidR="003F3703">
        <w:rPr>
          <w:rFonts w:eastAsiaTheme="minorHAnsi"/>
          <w:lang w:eastAsia="en-US"/>
        </w:rPr>
        <w:t xml:space="preserve"> sub-meters. </w:t>
      </w:r>
    </w:p>
    <w:p w:rsidR="003F3703" w:rsidRDefault="003F3703" w:rsidP="00ED2AB2">
      <w:pPr>
        <w:pStyle w:val="bodycopy"/>
        <w:rPr>
          <w:rFonts w:eastAsiaTheme="minorHAnsi"/>
          <w:lang w:eastAsia="en-US"/>
        </w:rPr>
      </w:pPr>
      <w:r>
        <w:rPr>
          <w:rFonts w:eastAsiaTheme="minorHAnsi"/>
          <w:lang w:eastAsia="en-US"/>
        </w:rPr>
        <w:lastRenderedPageBreak/>
        <w:t xml:space="preserve">Where </w:t>
      </w:r>
      <w:r w:rsidR="0081142A">
        <w:rPr>
          <w:rFonts w:eastAsiaTheme="minorHAnsi"/>
          <w:lang w:eastAsia="en-US"/>
        </w:rPr>
        <w:t xml:space="preserve">a sub-meter is installed after the </w:t>
      </w:r>
      <w:r w:rsidR="000B0008">
        <w:rPr>
          <w:rFonts w:eastAsiaTheme="minorHAnsi"/>
          <w:lang w:eastAsia="en-US"/>
        </w:rPr>
        <w:t>b</w:t>
      </w:r>
      <w:r w:rsidR="0081142A">
        <w:rPr>
          <w:rFonts w:eastAsiaTheme="minorHAnsi"/>
          <w:lang w:eastAsia="en-US"/>
        </w:rPr>
        <w:t xml:space="preserve">aseline </w:t>
      </w:r>
      <w:r w:rsidR="000B0008">
        <w:rPr>
          <w:rFonts w:eastAsiaTheme="minorHAnsi"/>
          <w:lang w:eastAsia="en-US"/>
        </w:rPr>
        <w:t>r</w:t>
      </w:r>
      <w:r w:rsidR="0081142A">
        <w:rPr>
          <w:rFonts w:eastAsiaTheme="minorHAnsi"/>
          <w:lang w:eastAsia="en-US"/>
        </w:rPr>
        <w:t xml:space="preserve">ating or </w:t>
      </w:r>
      <w:r>
        <w:rPr>
          <w:rFonts w:eastAsiaTheme="minorHAnsi"/>
          <w:lang w:eastAsia="en-US"/>
        </w:rPr>
        <w:t xml:space="preserve">the metering at the site is changed </w:t>
      </w:r>
      <w:r w:rsidR="0081142A">
        <w:rPr>
          <w:rFonts w:eastAsiaTheme="minorHAnsi"/>
          <w:lang w:eastAsia="en-US"/>
        </w:rPr>
        <w:t xml:space="preserve">in some other way </w:t>
      </w:r>
      <w:r>
        <w:rPr>
          <w:rFonts w:eastAsiaTheme="minorHAnsi"/>
          <w:lang w:eastAsia="en-US"/>
        </w:rPr>
        <w:t xml:space="preserve">this may change the parts of the building which are covered by the </w:t>
      </w:r>
      <w:r w:rsidR="000B0008">
        <w:rPr>
          <w:rFonts w:eastAsiaTheme="minorHAnsi"/>
          <w:lang w:eastAsia="en-US"/>
        </w:rPr>
        <w:t>b</w:t>
      </w:r>
      <w:r w:rsidR="0096379B">
        <w:rPr>
          <w:rFonts w:eastAsiaTheme="minorHAnsi"/>
          <w:lang w:eastAsia="en-US"/>
        </w:rPr>
        <w:t xml:space="preserve">enchmark </w:t>
      </w:r>
      <w:r w:rsidR="000B0008">
        <w:rPr>
          <w:rFonts w:eastAsiaTheme="minorHAnsi"/>
          <w:lang w:eastAsia="en-US"/>
        </w:rPr>
        <w:t>r</w:t>
      </w:r>
      <w:r w:rsidR="0096379B">
        <w:rPr>
          <w:rFonts w:eastAsiaTheme="minorHAnsi"/>
          <w:lang w:eastAsia="en-US"/>
        </w:rPr>
        <w:t>ating</w:t>
      </w:r>
      <w:r>
        <w:rPr>
          <w:rFonts w:eastAsiaTheme="minorHAnsi"/>
          <w:lang w:eastAsia="en-US"/>
        </w:rPr>
        <w:t xml:space="preserve">. </w:t>
      </w:r>
      <w:r w:rsidR="0081142A">
        <w:rPr>
          <w:rFonts w:eastAsiaTheme="minorHAnsi"/>
          <w:lang w:eastAsia="en-US"/>
        </w:rPr>
        <w:t>In order t</w:t>
      </w:r>
      <w:r w:rsidR="00981C79">
        <w:rPr>
          <w:rFonts w:eastAsiaTheme="minorHAnsi"/>
          <w:lang w:eastAsia="en-US"/>
        </w:rPr>
        <w:t xml:space="preserve">o account for this, </w:t>
      </w:r>
      <w:r w:rsidR="00AC2EA1">
        <w:rPr>
          <w:rFonts w:eastAsiaTheme="minorHAnsi"/>
          <w:lang w:eastAsia="en-US"/>
        </w:rPr>
        <w:t>Equation 2 in Division 1 of the proposed new Schedule 38 of the VEET Regulations</w:t>
      </w:r>
      <w:r w:rsidR="00AC2EA1" w:rsidDel="00AC2EA1">
        <w:rPr>
          <w:rFonts w:eastAsiaTheme="minorHAnsi"/>
          <w:lang w:eastAsia="en-US"/>
        </w:rPr>
        <w:t xml:space="preserve"> </w:t>
      </w:r>
      <w:r w:rsidR="00981C79">
        <w:rPr>
          <w:rFonts w:eastAsiaTheme="minorHAnsi"/>
          <w:lang w:eastAsia="en-US"/>
        </w:rPr>
        <w:t>requires that</w:t>
      </w:r>
      <w:r w:rsidR="00245815">
        <w:rPr>
          <w:rFonts w:eastAsiaTheme="minorHAnsi"/>
          <w:lang w:eastAsia="en-US"/>
        </w:rPr>
        <w:t xml:space="preserve"> </w:t>
      </w:r>
      <w:r>
        <w:rPr>
          <w:rFonts w:eastAsiaTheme="minorHAnsi"/>
          <w:lang w:eastAsia="en-US"/>
        </w:rPr>
        <w:t xml:space="preserve">energy consumption for </w:t>
      </w:r>
      <w:r w:rsidR="00981C79">
        <w:rPr>
          <w:rFonts w:eastAsiaTheme="minorHAnsi"/>
          <w:lang w:eastAsia="en-US"/>
        </w:rPr>
        <w:t>a</w:t>
      </w:r>
      <w:r>
        <w:rPr>
          <w:rFonts w:eastAsiaTheme="minorHAnsi"/>
          <w:lang w:eastAsia="en-US"/>
        </w:rPr>
        <w:t xml:space="preserve"> part of the building that </w:t>
      </w:r>
      <w:r w:rsidR="00DE2F0E">
        <w:rPr>
          <w:rFonts w:eastAsiaTheme="minorHAnsi"/>
          <w:lang w:eastAsia="en-US"/>
        </w:rPr>
        <w:t xml:space="preserve">was </w:t>
      </w:r>
      <w:r>
        <w:rPr>
          <w:rFonts w:eastAsiaTheme="minorHAnsi"/>
          <w:lang w:eastAsia="en-US"/>
        </w:rPr>
        <w:t xml:space="preserve">excluded from the </w:t>
      </w:r>
      <w:r w:rsidR="000B0008">
        <w:rPr>
          <w:rFonts w:eastAsiaTheme="minorHAnsi"/>
          <w:lang w:eastAsia="en-US"/>
        </w:rPr>
        <w:t>r</w:t>
      </w:r>
      <w:r w:rsidR="0096379B">
        <w:rPr>
          <w:rFonts w:eastAsiaTheme="minorHAnsi"/>
          <w:lang w:eastAsia="en-US"/>
        </w:rPr>
        <w:t xml:space="preserve">eporting </w:t>
      </w:r>
      <w:r w:rsidR="000B0008">
        <w:rPr>
          <w:rFonts w:eastAsiaTheme="minorHAnsi"/>
          <w:lang w:eastAsia="en-US"/>
        </w:rPr>
        <w:t>p</w:t>
      </w:r>
      <w:r w:rsidR="0096379B">
        <w:rPr>
          <w:rFonts w:eastAsiaTheme="minorHAnsi"/>
          <w:lang w:eastAsia="en-US"/>
        </w:rPr>
        <w:t>eriod</w:t>
      </w:r>
      <w:r>
        <w:rPr>
          <w:rFonts w:eastAsiaTheme="minorHAnsi"/>
          <w:lang w:eastAsia="en-US"/>
        </w:rPr>
        <w:t xml:space="preserve"> rating but was included in the </w:t>
      </w:r>
      <w:r w:rsidR="000B0008">
        <w:rPr>
          <w:rFonts w:eastAsiaTheme="minorHAnsi"/>
          <w:lang w:eastAsia="en-US"/>
        </w:rPr>
        <w:t>b</w:t>
      </w:r>
      <w:r w:rsidR="0096379B">
        <w:rPr>
          <w:rFonts w:eastAsiaTheme="minorHAnsi"/>
          <w:lang w:eastAsia="en-US"/>
        </w:rPr>
        <w:t xml:space="preserve">aseline </w:t>
      </w:r>
      <w:r w:rsidR="000B0008">
        <w:rPr>
          <w:rFonts w:eastAsiaTheme="minorHAnsi"/>
          <w:lang w:eastAsia="en-US"/>
        </w:rPr>
        <w:t>r</w:t>
      </w:r>
      <w:r w:rsidR="0096379B">
        <w:rPr>
          <w:rFonts w:eastAsiaTheme="minorHAnsi"/>
          <w:lang w:eastAsia="en-US"/>
        </w:rPr>
        <w:t>ating</w:t>
      </w:r>
      <w:r w:rsidR="00245815">
        <w:rPr>
          <w:rFonts w:eastAsiaTheme="minorHAnsi"/>
          <w:lang w:eastAsia="en-US"/>
        </w:rPr>
        <w:t xml:space="preserve"> should be added into the </w:t>
      </w:r>
      <w:r w:rsidR="00981C79">
        <w:rPr>
          <w:rFonts w:eastAsiaTheme="minorHAnsi"/>
          <w:lang w:eastAsia="en-US"/>
        </w:rPr>
        <w:t>energy consumption</w:t>
      </w:r>
      <w:r w:rsidR="00B356B9">
        <w:rPr>
          <w:rFonts w:eastAsiaTheme="minorHAnsi"/>
          <w:lang w:eastAsia="en-US"/>
        </w:rPr>
        <w:t xml:space="preserve"> for the </w:t>
      </w:r>
      <w:r w:rsidR="000B0008">
        <w:rPr>
          <w:rFonts w:eastAsiaTheme="minorHAnsi"/>
          <w:lang w:eastAsia="en-US"/>
        </w:rPr>
        <w:t>r</w:t>
      </w:r>
      <w:r w:rsidR="0096379B">
        <w:rPr>
          <w:rFonts w:eastAsiaTheme="minorHAnsi"/>
          <w:lang w:eastAsia="en-US"/>
        </w:rPr>
        <w:t xml:space="preserve">eporting </w:t>
      </w:r>
      <w:r w:rsidR="000B0008">
        <w:rPr>
          <w:rFonts w:eastAsiaTheme="minorHAnsi"/>
          <w:lang w:eastAsia="en-US"/>
        </w:rPr>
        <w:t>p</w:t>
      </w:r>
      <w:r w:rsidR="0096379B">
        <w:rPr>
          <w:rFonts w:eastAsiaTheme="minorHAnsi"/>
          <w:lang w:eastAsia="en-US"/>
        </w:rPr>
        <w:t>eriod</w:t>
      </w:r>
      <w:r>
        <w:rPr>
          <w:rFonts w:eastAsiaTheme="minorHAnsi"/>
          <w:lang w:eastAsia="en-US"/>
        </w:rPr>
        <w:t xml:space="preserve">. </w:t>
      </w:r>
    </w:p>
    <w:p w:rsidR="00ED2AB2" w:rsidRPr="00ED2AB2" w:rsidRDefault="00ED2AB2" w:rsidP="00ED2AB2">
      <w:pPr>
        <w:pStyle w:val="heading2black"/>
      </w:pPr>
      <w:r w:rsidRPr="00ED2AB2">
        <w:t>Exclud</w:t>
      </w:r>
      <w:r w:rsidR="003D6994">
        <w:t>ing</w:t>
      </w:r>
      <w:r w:rsidRPr="00ED2AB2">
        <w:t xml:space="preserve"> saving</w:t>
      </w:r>
      <w:r w:rsidR="003D6994">
        <w:t>s</w:t>
      </w:r>
      <w:r w:rsidRPr="00ED2AB2">
        <w:t xml:space="preserve"> claimed under </w:t>
      </w:r>
      <w:r w:rsidR="003A6BE0">
        <w:t xml:space="preserve">the </w:t>
      </w:r>
      <w:r w:rsidRPr="00ED2AB2">
        <w:t>RET</w:t>
      </w:r>
    </w:p>
    <w:p w:rsidR="00981C79" w:rsidRDefault="00866704" w:rsidP="00ED2AB2">
      <w:pPr>
        <w:pStyle w:val="bodycopy"/>
      </w:pPr>
      <w:r>
        <w:t>C</w:t>
      </w:r>
      <w:r w:rsidRPr="00FE0EBD">
        <w:t>redits</w:t>
      </w:r>
      <w:r>
        <w:t xml:space="preserve"> can be claimed for </w:t>
      </w:r>
      <w:r w:rsidR="003D6994">
        <w:t xml:space="preserve">generation from on-site renewable energy systems either </w:t>
      </w:r>
      <w:r>
        <w:t xml:space="preserve">under the </w:t>
      </w:r>
      <w:r w:rsidR="005020AF" w:rsidRPr="00FE0EBD">
        <w:t xml:space="preserve">Commonwealth </w:t>
      </w:r>
      <w:r w:rsidR="005020AF" w:rsidRPr="008A34DD">
        <w:t xml:space="preserve">Renewable Energy Target </w:t>
      </w:r>
      <w:r w:rsidR="005020AF" w:rsidRPr="00FE0EBD">
        <w:t>(</w:t>
      </w:r>
      <w:r w:rsidR="005020AF">
        <w:t>RET</w:t>
      </w:r>
      <w:r w:rsidR="005020AF" w:rsidRPr="00FE0EBD">
        <w:t>) or under VEET but not both</w:t>
      </w:r>
      <w:r w:rsidR="005020AF">
        <w:t xml:space="preserve">, with the exception </w:t>
      </w:r>
      <w:r w:rsidR="00DE2F0E">
        <w:t xml:space="preserve">of </w:t>
      </w:r>
      <w:r w:rsidR="005020AF">
        <w:t>solar water heaters</w:t>
      </w:r>
      <w:r w:rsidR="005020AF" w:rsidRPr="00FE0EBD">
        <w:t>.</w:t>
      </w:r>
      <w:r w:rsidR="005020AF">
        <w:t xml:space="preserve">  </w:t>
      </w:r>
    </w:p>
    <w:p w:rsidR="00ED2AB2" w:rsidRPr="004E2AC5" w:rsidRDefault="007C070E" w:rsidP="00ED2AB2">
      <w:pPr>
        <w:pStyle w:val="bodycopy"/>
        <w:rPr>
          <w:rFonts w:eastAsiaTheme="minorHAnsi"/>
          <w:lang w:eastAsia="en-US"/>
        </w:rPr>
      </w:pPr>
      <w:r>
        <w:rPr>
          <w:rFonts w:eastAsiaTheme="minorHAnsi"/>
          <w:lang w:eastAsia="en-US"/>
        </w:rPr>
        <w:t>Likewise, a</w:t>
      </w:r>
      <w:r w:rsidR="00ED2AB2" w:rsidRPr="00ED2AB2">
        <w:rPr>
          <w:rFonts w:eastAsiaTheme="minorHAnsi"/>
          <w:lang w:eastAsia="en-US"/>
        </w:rPr>
        <w:t xml:space="preserve">ny reduction in energy </w:t>
      </w:r>
      <w:r>
        <w:rPr>
          <w:rFonts w:eastAsiaTheme="minorHAnsi"/>
          <w:lang w:eastAsia="en-US"/>
        </w:rPr>
        <w:t xml:space="preserve">metered at a building due to on-site renewable energy generation </w:t>
      </w:r>
      <w:r w:rsidR="00ED2AB2" w:rsidRPr="00ED2AB2">
        <w:rPr>
          <w:rFonts w:eastAsiaTheme="minorHAnsi"/>
          <w:lang w:eastAsia="en-US"/>
        </w:rPr>
        <w:t xml:space="preserve">that has been claimed under the RET must not be claimed under VEET. </w:t>
      </w:r>
      <w:r w:rsidR="0081142A">
        <w:rPr>
          <w:rFonts w:eastAsiaTheme="minorHAnsi"/>
          <w:lang w:eastAsia="en-US"/>
        </w:rPr>
        <w:t>A</w:t>
      </w:r>
      <w:r w:rsidR="00981C79">
        <w:rPr>
          <w:rFonts w:eastAsiaTheme="minorHAnsi"/>
          <w:lang w:eastAsia="en-US"/>
        </w:rPr>
        <w:t>ny energy generated by a</w:t>
      </w:r>
      <w:r w:rsidR="0081142A">
        <w:rPr>
          <w:rFonts w:eastAsiaTheme="minorHAnsi"/>
          <w:lang w:eastAsia="en-US"/>
        </w:rPr>
        <w:t>n on-site</w:t>
      </w:r>
      <w:r w:rsidR="00981C79">
        <w:rPr>
          <w:rFonts w:eastAsiaTheme="minorHAnsi"/>
          <w:lang w:eastAsia="en-US"/>
        </w:rPr>
        <w:t xml:space="preserve"> renewable energy system must be </w:t>
      </w:r>
      <w:r>
        <w:rPr>
          <w:rFonts w:eastAsiaTheme="minorHAnsi"/>
          <w:lang w:eastAsia="en-US"/>
        </w:rPr>
        <w:t>included in the r</w:t>
      </w:r>
      <w:r w:rsidR="00981C79">
        <w:rPr>
          <w:rFonts w:eastAsiaTheme="minorHAnsi"/>
          <w:lang w:eastAsia="en-US"/>
        </w:rPr>
        <w:t>eport</w:t>
      </w:r>
      <w:r>
        <w:rPr>
          <w:rFonts w:eastAsiaTheme="minorHAnsi"/>
          <w:lang w:eastAsia="en-US"/>
        </w:rPr>
        <w:t xml:space="preserve">ed </w:t>
      </w:r>
      <w:r w:rsidR="00981C79">
        <w:rPr>
          <w:rFonts w:eastAsiaTheme="minorHAnsi"/>
          <w:lang w:eastAsia="en-US"/>
        </w:rPr>
        <w:t>energy consumption</w:t>
      </w:r>
      <w:r w:rsidR="00866704">
        <w:rPr>
          <w:rFonts w:eastAsiaTheme="minorHAnsi"/>
          <w:lang w:eastAsia="en-US"/>
        </w:rPr>
        <w:t xml:space="preserve"> </w:t>
      </w:r>
      <w:r>
        <w:rPr>
          <w:rFonts w:eastAsiaTheme="minorHAnsi"/>
          <w:lang w:eastAsia="en-US"/>
        </w:rPr>
        <w:t>shown</w:t>
      </w:r>
      <w:r w:rsidR="00981C79">
        <w:rPr>
          <w:rFonts w:eastAsiaTheme="minorHAnsi"/>
          <w:lang w:eastAsia="en-US"/>
        </w:rPr>
        <w:t xml:space="preserve"> in Equation 2</w:t>
      </w:r>
      <w:r w:rsidR="00866704">
        <w:rPr>
          <w:rFonts w:eastAsiaTheme="minorHAnsi"/>
          <w:lang w:eastAsia="en-US"/>
        </w:rPr>
        <w:t xml:space="preserve"> </w:t>
      </w:r>
      <w:r w:rsidR="00AC2EA1">
        <w:rPr>
          <w:rFonts w:eastAsiaTheme="minorHAnsi"/>
          <w:lang w:eastAsia="en-US"/>
        </w:rPr>
        <w:t xml:space="preserve">in Division 1 </w:t>
      </w:r>
      <w:r w:rsidR="00866704">
        <w:rPr>
          <w:rFonts w:eastAsiaTheme="minorHAnsi"/>
          <w:lang w:eastAsia="en-US"/>
        </w:rPr>
        <w:t>of</w:t>
      </w:r>
      <w:r>
        <w:rPr>
          <w:rFonts w:eastAsiaTheme="minorHAnsi"/>
          <w:lang w:eastAsia="en-US"/>
        </w:rPr>
        <w:t xml:space="preserve"> the proposed </w:t>
      </w:r>
      <w:r w:rsidR="00AC2EA1">
        <w:rPr>
          <w:rFonts w:eastAsiaTheme="minorHAnsi"/>
          <w:lang w:eastAsia="en-US"/>
        </w:rPr>
        <w:t xml:space="preserve">new Schedule 38 of </w:t>
      </w:r>
      <w:r>
        <w:rPr>
          <w:rFonts w:eastAsiaTheme="minorHAnsi"/>
          <w:lang w:eastAsia="en-US"/>
        </w:rPr>
        <w:t>the VEET Regulations</w:t>
      </w:r>
      <w:r w:rsidR="00981C79">
        <w:rPr>
          <w:rFonts w:eastAsiaTheme="minorHAnsi"/>
          <w:lang w:eastAsia="en-US"/>
        </w:rPr>
        <w:t xml:space="preserve">. </w:t>
      </w:r>
    </w:p>
    <w:p w:rsidR="003F3703" w:rsidRPr="00ED2AB2" w:rsidRDefault="003F3703" w:rsidP="003F3703">
      <w:pPr>
        <w:pStyle w:val="heading2black"/>
      </w:pPr>
      <w:r>
        <w:t>No proposed crediting h</w:t>
      </w:r>
      <w:r w:rsidRPr="00ED2AB2">
        <w:t>urdle</w:t>
      </w:r>
    </w:p>
    <w:p w:rsidR="001E69B6" w:rsidRDefault="003F3703" w:rsidP="003F3703">
      <w:pPr>
        <w:pStyle w:val="bodycopy"/>
        <w:rPr>
          <w:rFonts w:eastAsiaTheme="minorHAnsi"/>
          <w:lang w:eastAsia="en-US"/>
        </w:rPr>
      </w:pPr>
      <w:r w:rsidRPr="00ED2AB2">
        <w:rPr>
          <w:rFonts w:eastAsiaTheme="minorHAnsi"/>
          <w:lang w:eastAsia="en-US"/>
        </w:rPr>
        <w:t>The</w:t>
      </w:r>
      <w:r w:rsidR="00EC4190">
        <w:rPr>
          <w:rFonts w:eastAsiaTheme="minorHAnsi"/>
          <w:lang w:eastAsia="en-US"/>
        </w:rPr>
        <w:t xml:space="preserve"> </w:t>
      </w:r>
      <w:r w:rsidRPr="00ED2AB2">
        <w:rPr>
          <w:rFonts w:eastAsiaTheme="minorHAnsi"/>
          <w:lang w:eastAsia="en-US"/>
        </w:rPr>
        <w:t>ESS</w:t>
      </w:r>
      <w:r w:rsidR="00382B8C">
        <w:rPr>
          <w:rFonts w:eastAsiaTheme="minorHAnsi"/>
          <w:lang w:eastAsia="en-US"/>
        </w:rPr>
        <w:t xml:space="preserve"> and </w:t>
      </w:r>
      <w:r w:rsidRPr="00ED2AB2">
        <w:rPr>
          <w:rFonts w:eastAsiaTheme="minorHAnsi"/>
          <w:lang w:eastAsia="en-US"/>
        </w:rPr>
        <w:t>ERF</w:t>
      </w:r>
      <w:r w:rsidR="00382B8C">
        <w:rPr>
          <w:rFonts w:eastAsiaTheme="minorHAnsi"/>
          <w:lang w:eastAsia="en-US"/>
        </w:rPr>
        <w:t xml:space="preserve"> benchmark rating methods</w:t>
      </w:r>
      <w:r w:rsidRPr="00ED2AB2">
        <w:rPr>
          <w:rFonts w:eastAsiaTheme="minorHAnsi"/>
          <w:lang w:eastAsia="en-US"/>
        </w:rPr>
        <w:t xml:space="preserve"> both include a </w:t>
      </w:r>
      <w:r w:rsidRPr="003A3811">
        <w:rPr>
          <w:rFonts w:eastAsiaTheme="minorHAnsi"/>
          <w:b/>
          <w:i/>
          <w:lang w:eastAsia="en-US"/>
        </w:rPr>
        <w:t>crediting hurdle</w:t>
      </w:r>
      <w:r w:rsidRPr="00ED2AB2">
        <w:rPr>
          <w:rFonts w:eastAsiaTheme="minorHAnsi"/>
          <w:lang w:eastAsia="en-US"/>
        </w:rPr>
        <w:t xml:space="preserve">. This is where credits under those schemes are only awarded for energy improvements over and above </w:t>
      </w:r>
      <w:r w:rsidR="00014C84">
        <w:rPr>
          <w:rFonts w:eastAsiaTheme="minorHAnsi"/>
          <w:lang w:eastAsia="en-US"/>
        </w:rPr>
        <w:t>a particular level</w:t>
      </w:r>
      <w:r w:rsidRPr="00ED2AB2">
        <w:rPr>
          <w:rFonts w:eastAsiaTheme="minorHAnsi"/>
          <w:lang w:eastAsia="en-US"/>
        </w:rPr>
        <w:t xml:space="preserve">. </w:t>
      </w:r>
      <w:r w:rsidR="00014C84">
        <w:rPr>
          <w:rFonts w:eastAsiaTheme="minorHAnsi"/>
          <w:lang w:eastAsia="en-US"/>
        </w:rPr>
        <w:t>Th</w:t>
      </w:r>
      <w:r w:rsidR="004C1258">
        <w:rPr>
          <w:rFonts w:eastAsiaTheme="minorHAnsi"/>
          <w:lang w:eastAsia="en-US"/>
        </w:rPr>
        <w:t>ere</w:t>
      </w:r>
      <w:r w:rsidR="00014C84">
        <w:rPr>
          <w:rFonts w:eastAsiaTheme="minorHAnsi"/>
          <w:lang w:eastAsia="en-US"/>
        </w:rPr>
        <w:t xml:space="preserve"> is no requir</w:t>
      </w:r>
      <w:r w:rsidR="004C1258">
        <w:rPr>
          <w:rFonts w:eastAsiaTheme="minorHAnsi"/>
          <w:lang w:eastAsia="en-US"/>
        </w:rPr>
        <w:t>ed</w:t>
      </w:r>
      <w:r w:rsidR="00014C84">
        <w:rPr>
          <w:rFonts w:eastAsiaTheme="minorHAnsi"/>
          <w:lang w:eastAsia="en-US"/>
        </w:rPr>
        <w:t xml:space="preserve"> </w:t>
      </w:r>
      <w:r w:rsidR="004C1258">
        <w:rPr>
          <w:rFonts w:eastAsiaTheme="minorHAnsi"/>
          <w:lang w:eastAsia="en-US"/>
        </w:rPr>
        <w:t xml:space="preserve">crediting hurdle in the </w:t>
      </w:r>
      <w:r w:rsidRPr="00ED2AB2">
        <w:rPr>
          <w:rFonts w:eastAsiaTheme="minorHAnsi"/>
          <w:lang w:eastAsia="en-US"/>
        </w:rPr>
        <w:t xml:space="preserve">proposed </w:t>
      </w:r>
      <w:r w:rsidR="004C1258">
        <w:rPr>
          <w:rFonts w:eastAsiaTheme="minorHAnsi"/>
          <w:lang w:eastAsia="en-US"/>
        </w:rPr>
        <w:t xml:space="preserve">Victorian </w:t>
      </w:r>
      <w:r w:rsidR="00014C84">
        <w:rPr>
          <w:rFonts w:eastAsiaTheme="minorHAnsi"/>
          <w:lang w:eastAsia="en-US"/>
        </w:rPr>
        <w:t xml:space="preserve">method. </w:t>
      </w:r>
    </w:p>
    <w:p w:rsidR="003F3703" w:rsidRPr="003A3811" w:rsidRDefault="003F3703" w:rsidP="003F3703">
      <w:pPr>
        <w:pStyle w:val="bodycopy"/>
        <w:rPr>
          <w:rFonts w:eastAsiaTheme="minorHAnsi"/>
          <w:i/>
          <w:lang w:eastAsia="en-US"/>
        </w:rPr>
      </w:pPr>
      <w:r w:rsidRPr="003A3811">
        <w:rPr>
          <w:rFonts w:eastAsiaTheme="minorHAnsi"/>
          <w:i/>
          <w:lang w:eastAsia="en-US"/>
        </w:rPr>
        <w:t>Please note: NABERS rounds the star rating to the nearest half a star.</w:t>
      </w:r>
      <w:r w:rsidR="001E69B6" w:rsidRPr="003A3811">
        <w:rPr>
          <w:rFonts w:eastAsiaTheme="minorHAnsi"/>
          <w:i/>
          <w:lang w:eastAsia="en-US"/>
        </w:rPr>
        <w:t xml:space="preserve"> A project which does not result in a change </w:t>
      </w:r>
      <w:r w:rsidR="00866704">
        <w:rPr>
          <w:rFonts w:eastAsiaTheme="minorHAnsi"/>
          <w:i/>
          <w:lang w:eastAsia="en-US"/>
        </w:rPr>
        <w:t>in</w:t>
      </w:r>
      <w:r w:rsidR="001E69B6" w:rsidRPr="003A3811">
        <w:rPr>
          <w:rFonts w:eastAsiaTheme="minorHAnsi"/>
          <w:i/>
          <w:lang w:eastAsia="en-US"/>
        </w:rPr>
        <w:t xml:space="preserve"> rating will not be eligible for VEECs. </w:t>
      </w:r>
      <w:r w:rsidRPr="003A3811">
        <w:rPr>
          <w:rFonts w:eastAsiaTheme="minorHAnsi"/>
          <w:i/>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3F3703" w:rsidRPr="00ED2AB2" w:rsidTr="00F34602">
        <w:tc>
          <w:tcPr>
            <w:tcW w:w="10420" w:type="dxa"/>
            <w:shd w:val="clear" w:color="auto" w:fill="D9D9D9" w:themeFill="background1" w:themeFillShade="D9"/>
          </w:tcPr>
          <w:p w:rsidR="003F3703" w:rsidRPr="00ED2AB2" w:rsidRDefault="003F3703" w:rsidP="00F34602">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p>
          <w:p w:rsidR="003F3703" w:rsidRPr="00ED2AB2" w:rsidRDefault="00626A60">
            <w:pPr>
              <w:spacing w:before="120" w:after="120"/>
              <w:rPr>
                <w:rFonts w:ascii="Tahoma" w:eastAsiaTheme="minorHAnsi" w:hAnsi="Tahoma" w:cs="Tahoma"/>
                <w:color w:val="auto"/>
                <w:szCs w:val="20"/>
                <w:lang w:eastAsia="en-US"/>
              </w:rPr>
            </w:pPr>
            <w:r w:rsidRPr="00ED2AB2">
              <w:rPr>
                <w:rFonts w:ascii="Tahoma" w:eastAsiaTheme="minorHAnsi" w:hAnsi="Tahoma" w:cs="Tahoma"/>
                <w:color w:val="auto"/>
                <w:szCs w:val="20"/>
                <w:lang w:eastAsia="en-US"/>
              </w:rPr>
              <w:t xml:space="preserve">The proposed approach </w:t>
            </w:r>
            <w:r>
              <w:rPr>
                <w:rFonts w:ascii="Tahoma" w:eastAsiaTheme="minorHAnsi" w:hAnsi="Tahoma" w:cs="Tahoma"/>
                <w:color w:val="auto"/>
                <w:lang w:eastAsia="en-US"/>
              </w:rPr>
              <w:t>is different to</w:t>
            </w:r>
            <w:r w:rsidRPr="00ED2AB2">
              <w:rPr>
                <w:rFonts w:ascii="Tahoma" w:eastAsiaTheme="minorHAnsi" w:hAnsi="Tahoma" w:cs="Tahoma"/>
                <w:color w:val="auto"/>
                <w:szCs w:val="20"/>
                <w:lang w:eastAsia="en-US"/>
              </w:rPr>
              <w:t xml:space="preserve"> NSW ESS and Commonwealth ERF schemes</w:t>
            </w:r>
            <w:r w:rsidR="003243C0">
              <w:rPr>
                <w:rFonts w:ascii="Tahoma" w:eastAsiaTheme="minorHAnsi" w:hAnsi="Tahoma" w:cs="Tahoma"/>
                <w:color w:val="auto"/>
                <w:lang w:eastAsia="en-US"/>
              </w:rPr>
              <w:t>.</w:t>
            </w:r>
            <w:r w:rsidR="003243C0">
              <w:rPr>
                <w:rFonts w:ascii="Tahoma" w:eastAsiaTheme="minorHAnsi" w:hAnsi="Tahoma" w:cs="Tahoma"/>
                <w:color w:val="auto"/>
                <w:lang w:eastAsia="en-US"/>
              </w:rPr>
              <w:br/>
              <w:t>I</w:t>
            </w:r>
            <w:r w:rsidRPr="00ED2AB2">
              <w:rPr>
                <w:rFonts w:ascii="Tahoma" w:eastAsiaTheme="minorHAnsi" w:hAnsi="Tahoma" w:cs="Tahoma"/>
                <w:color w:val="auto"/>
                <w:szCs w:val="20"/>
                <w:lang w:eastAsia="en-US"/>
              </w:rPr>
              <w:t>s this preferable to aligning the</w:t>
            </w:r>
            <w:r>
              <w:rPr>
                <w:rFonts w:ascii="Tahoma" w:eastAsiaTheme="minorHAnsi" w:hAnsi="Tahoma" w:cs="Tahoma"/>
                <w:color w:val="auto"/>
                <w:szCs w:val="20"/>
                <w:lang w:eastAsia="en-US"/>
              </w:rPr>
              <w:t>se</w:t>
            </w:r>
            <w:r w:rsidRPr="00ED2AB2">
              <w:rPr>
                <w:rFonts w:ascii="Tahoma" w:eastAsiaTheme="minorHAnsi" w:hAnsi="Tahoma" w:cs="Tahoma"/>
                <w:color w:val="auto"/>
                <w:szCs w:val="20"/>
                <w:lang w:eastAsia="en-US"/>
              </w:rPr>
              <w:t xml:space="preserve"> schemes?</w:t>
            </w:r>
          </w:p>
        </w:tc>
      </w:tr>
    </w:tbl>
    <w:p w:rsidR="00ED2AB2" w:rsidRPr="00ED2AB2" w:rsidRDefault="00ED2AB2" w:rsidP="004E2AC5">
      <w:pPr>
        <w:pStyle w:val="heading2black"/>
      </w:pPr>
      <w:r w:rsidRPr="00ED2AB2">
        <w:t xml:space="preserve">Building </w:t>
      </w:r>
      <w:r w:rsidR="000B0008">
        <w:t>v</w:t>
      </w:r>
      <w:r w:rsidRPr="00ED2AB2">
        <w:t xml:space="preserve">ariations and </w:t>
      </w:r>
      <w:r w:rsidR="000B0008">
        <w:t>e</w:t>
      </w:r>
      <w:r w:rsidRPr="00ED2AB2">
        <w:t>xpansions</w:t>
      </w:r>
    </w:p>
    <w:p w:rsidR="00626A60" w:rsidRDefault="005020AF" w:rsidP="00626A60">
      <w:pPr>
        <w:pStyle w:val="bodycopy"/>
        <w:rPr>
          <w:rFonts w:eastAsiaTheme="minorHAnsi"/>
          <w:lang w:eastAsia="en-US"/>
        </w:rPr>
      </w:pPr>
      <w:r>
        <w:rPr>
          <w:rFonts w:eastAsiaTheme="minorHAnsi"/>
          <w:lang w:eastAsia="en-US"/>
        </w:rPr>
        <w:t>W</w:t>
      </w:r>
      <w:r w:rsidR="00ED2AB2" w:rsidRPr="00ED2AB2">
        <w:rPr>
          <w:rFonts w:eastAsiaTheme="minorHAnsi"/>
          <w:lang w:eastAsia="en-US"/>
        </w:rPr>
        <w:t>hen a building undergoes a major renovation or expansion</w:t>
      </w:r>
      <w:r w:rsidR="00791A51">
        <w:rPr>
          <w:rFonts w:eastAsiaTheme="minorHAnsi"/>
          <w:lang w:eastAsia="en-US"/>
        </w:rPr>
        <w:t>,</w:t>
      </w:r>
      <w:r w:rsidR="00ED2AB2" w:rsidRPr="00ED2AB2">
        <w:rPr>
          <w:rFonts w:eastAsiaTheme="minorHAnsi"/>
          <w:lang w:eastAsia="en-US"/>
        </w:rPr>
        <w:t xml:space="preserve"> the planning requirements may trigger the building code, which requires certain energy efficiency activities.</w:t>
      </w:r>
      <w:r w:rsidR="00866704">
        <w:rPr>
          <w:rFonts w:eastAsiaTheme="minorHAnsi"/>
          <w:lang w:eastAsia="en-US"/>
        </w:rPr>
        <w:t xml:space="preserve"> </w:t>
      </w:r>
      <w:r w:rsidR="00ED2AB2" w:rsidRPr="00ED2AB2">
        <w:rPr>
          <w:rFonts w:eastAsiaTheme="minorHAnsi"/>
          <w:lang w:eastAsia="en-US"/>
        </w:rPr>
        <w:t xml:space="preserve">Energy efficiency improvements undertaken for compliance reasons cannot be credited under VEET. </w:t>
      </w:r>
    </w:p>
    <w:p w:rsidR="00ED2AB2" w:rsidRDefault="00866704" w:rsidP="006D5A6B">
      <w:pPr>
        <w:pStyle w:val="bodycopy"/>
        <w:rPr>
          <w:rFonts w:eastAsiaTheme="minorHAnsi"/>
          <w:lang w:eastAsia="en-US"/>
        </w:rPr>
      </w:pPr>
      <w:r>
        <w:rPr>
          <w:rFonts w:eastAsiaTheme="minorHAnsi"/>
          <w:lang w:eastAsia="en-US"/>
        </w:rPr>
        <w:t>T</w:t>
      </w:r>
      <w:r w:rsidR="00ED2AB2" w:rsidRPr="00ED2AB2">
        <w:rPr>
          <w:rFonts w:eastAsiaTheme="minorHAnsi"/>
          <w:lang w:eastAsia="en-US"/>
        </w:rPr>
        <w:t xml:space="preserve">o account for </w:t>
      </w:r>
      <w:r>
        <w:rPr>
          <w:rFonts w:eastAsiaTheme="minorHAnsi"/>
          <w:lang w:eastAsia="en-US"/>
        </w:rPr>
        <w:t>this</w:t>
      </w:r>
      <w:r w:rsidR="00791A51">
        <w:rPr>
          <w:rFonts w:eastAsiaTheme="minorHAnsi"/>
          <w:lang w:eastAsia="en-US"/>
        </w:rPr>
        <w:t>,</w:t>
      </w:r>
      <w:r w:rsidR="00ED2AB2" w:rsidRPr="00ED2AB2">
        <w:rPr>
          <w:rFonts w:eastAsiaTheme="minorHAnsi"/>
          <w:lang w:eastAsia="en-US"/>
        </w:rPr>
        <w:t xml:space="preserve"> buildings which require planning approval during the project have different </w:t>
      </w:r>
      <w:r w:rsidR="000B0008">
        <w:rPr>
          <w:rFonts w:eastAsiaTheme="minorHAnsi"/>
          <w:lang w:eastAsia="en-US"/>
        </w:rPr>
        <w:t>b</w:t>
      </w:r>
      <w:r w:rsidR="0096379B">
        <w:rPr>
          <w:rFonts w:eastAsiaTheme="minorHAnsi"/>
          <w:lang w:eastAsia="en-US"/>
        </w:rPr>
        <w:t xml:space="preserve">aseline </w:t>
      </w:r>
      <w:r w:rsidR="000B0008">
        <w:rPr>
          <w:rFonts w:eastAsiaTheme="minorHAnsi"/>
          <w:lang w:eastAsia="en-US"/>
        </w:rPr>
        <w:t>r</w:t>
      </w:r>
      <w:r w:rsidR="0096379B">
        <w:rPr>
          <w:rFonts w:eastAsiaTheme="minorHAnsi"/>
          <w:lang w:eastAsia="en-US"/>
        </w:rPr>
        <w:t>ating</w:t>
      </w:r>
      <w:r w:rsidR="005020AF">
        <w:rPr>
          <w:rFonts w:eastAsiaTheme="minorHAnsi"/>
          <w:lang w:eastAsia="en-US"/>
        </w:rPr>
        <w:t>s</w:t>
      </w:r>
      <w:r w:rsidR="00626A60">
        <w:rPr>
          <w:rFonts w:eastAsiaTheme="minorHAnsi"/>
          <w:lang w:eastAsia="en-US"/>
        </w:rPr>
        <w:t xml:space="preserve">. </w:t>
      </w:r>
    </w:p>
    <w:tbl>
      <w:tblPr>
        <w:tblStyle w:val="LightList-Accent1"/>
        <w:tblW w:w="5000" w:type="pct"/>
        <w:tblLook w:val="04A0" w:firstRow="1" w:lastRow="0" w:firstColumn="1" w:lastColumn="0" w:noHBand="0" w:noVBand="1"/>
      </w:tblPr>
      <w:tblGrid>
        <w:gridCol w:w="2198"/>
        <w:gridCol w:w="2177"/>
      </w:tblGrid>
      <w:tr w:rsidR="00ED2AB2" w:rsidRPr="004E2AC5" w:rsidTr="004E2AC5">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512" w:type="pct"/>
          </w:tcPr>
          <w:p w:rsidR="00ED2AB2" w:rsidRPr="004E2AC5" w:rsidRDefault="00ED2AB2" w:rsidP="004E2AC5">
            <w:pPr>
              <w:rPr>
                <w:rFonts w:ascii="Tahoma" w:eastAsiaTheme="minorHAnsi" w:hAnsi="Tahoma" w:cs="Tahoma"/>
                <w:color w:val="auto"/>
                <w:szCs w:val="20"/>
                <w:lang w:eastAsia="en-US"/>
              </w:rPr>
            </w:pPr>
            <w:r w:rsidRPr="004E2AC5">
              <w:rPr>
                <w:rFonts w:ascii="Tahoma" w:eastAsiaTheme="minorHAnsi" w:hAnsi="Tahoma" w:cs="Tahoma"/>
                <w:color w:val="auto"/>
                <w:szCs w:val="20"/>
                <w:lang w:eastAsia="en-US"/>
              </w:rPr>
              <w:t>Building type</w:t>
            </w:r>
          </w:p>
        </w:tc>
        <w:tc>
          <w:tcPr>
            <w:tcW w:w="2488" w:type="pct"/>
          </w:tcPr>
          <w:p w:rsidR="00ED2AB2" w:rsidRPr="004E2AC5" w:rsidRDefault="00ED2AB2" w:rsidP="000B0008">
            <w:pPr>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color w:val="auto"/>
                <w:szCs w:val="20"/>
                <w:lang w:eastAsia="en-US"/>
              </w:rPr>
            </w:pPr>
            <w:r w:rsidRPr="004E2AC5">
              <w:rPr>
                <w:rFonts w:ascii="Tahoma" w:eastAsiaTheme="minorHAnsi" w:hAnsi="Tahoma" w:cs="Tahoma"/>
                <w:color w:val="auto"/>
                <w:szCs w:val="20"/>
                <w:lang w:eastAsia="en-US"/>
              </w:rPr>
              <w:t xml:space="preserve">Baseline </w:t>
            </w:r>
            <w:r w:rsidR="000B0008">
              <w:rPr>
                <w:rFonts w:ascii="Tahoma" w:eastAsiaTheme="minorHAnsi" w:hAnsi="Tahoma" w:cs="Tahoma"/>
                <w:color w:val="auto"/>
                <w:szCs w:val="20"/>
                <w:lang w:eastAsia="en-US"/>
              </w:rPr>
              <w:t>r</w:t>
            </w:r>
            <w:r w:rsidRPr="004E2AC5">
              <w:rPr>
                <w:rFonts w:ascii="Tahoma" w:eastAsiaTheme="minorHAnsi" w:hAnsi="Tahoma" w:cs="Tahoma"/>
                <w:color w:val="auto"/>
                <w:szCs w:val="20"/>
                <w:lang w:eastAsia="en-US"/>
              </w:rPr>
              <w:t>ating</w:t>
            </w:r>
          </w:p>
        </w:tc>
      </w:tr>
      <w:tr w:rsidR="00ED2AB2" w:rsidRPr="004E2AC5" w:rsidTr="004E2AC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pct"/>
          </w:tcPr>
          <w:p w:rsidR="00ED2AB2" w:rsidRPr="004E2AC5" w:rsidRDefault="00ED2AB2" w:rsidP="004E2AC5">
            <w:pPr>
              <w:rPr>
                <w:rFonts w:ascii="Tahoma" w:eastAsiaTheme="minorHAnsi" w:hAnsi="Tahoma" w:cs="Tahoma"/>
                <w:b w:val="0"/>
                <w:color w:val="auto"/>
                <w:szCs w:val="20"/>
                <w:lang w:eastAsia="en-US"/>
              </w:rPr>
            </w:pPr>
            <w:r w:rsidRPr="004E2AC5">
              <w:rPr>
                <w:rFonts w:ascii="Tahoma" w:eastAsiaTheme="minorHAnsi" w:hAnsi="Tahoma" w:cs="Tahoma"/>
                <w:b w:val="0"/>
                <w:color w:val="auto"/>
                <w:szCs w:val="20"/>
                <w:lang w:eastAsia="en-US"/>
              </w:rPr>
              <w:t>Office buildings</w:t>
            </w:r>
          </w:p>
        </w:tc>
        <w:tc>
          <w:tcPr>
            <w:tcW w:w="2488" w:type="pct"/>
          </w:tcPr>
          <w:p w:rsidR="00ED2AB2" w:rsidRPr="004E2AC5" w:rsidRDefault="00ED2AB2" w:rsidP="004E2AC5">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szCs w:val="20"/>
                <w:lang w:eastAsia="en-US"/>
              </w:rPr>
            </w:pPr>
            <w:r w:rsidRPr="004E2AC5">
              <w:rPr>
                <w:rFonts w:ascii="Tahoma" w:eastAsiaTheme="minorHAnsi" w:hAnsi="Tahoma" w:cs="Tahoma"/>
                <w:color w:val="auto"/>
                <w:szCs w:val="20"/>
                <w:lang w:eastAsia="en-US"/>
              </w:rPr>
              <w:t>4</w:t>
            </w:r>
          </w:p>
        </w:tc>
      </w:tr>
      <w:tr w:rsidR="00ED2AB2" w:rsidRPr="004E2AC5" w:rsidTr="004E2AC5">
        <w:trPr>
          <w:trHeight w:val="238"/>
        </w:trPr>
        <w:tc>
          <w:tcPr>
            <w:cnfStyle w:val="001000000000" w:firstRow="0" w:lastRow="0" w:firstColumn="1" w:lastColumn="0" w:oddVBand="0" w:evenVBand="0" w:oddHBand="0" w:evenHBand="0" w:firstRowFirstColumn="0" w:firstRowLastColumn="0" w:lastRowFirstColumn="0" w:lastRowLastColumn="0"/>
            <w:tcW w:w="2512" w:type="pct"/>
          </w:tcPr>
          <w:p w:rsidR="00ED2AB2" w:rsidRPr="004E2AC5" w:rsidRDefault="00ED2AB2" w:rsidP="004E2AC5">
            <w:pPr>
              <w:rPr>
                <w:rFonts w:ascii="Tahoma" w:eastAsiaTheme="minorHAnsi" w:hAnsi="Tahoma" w:cs="Tahoma"/>
                <w:b w:val="0"/>
                <w:color w:val="auto"/>
                <w:szCs w:val="20"/>
                <w:lang w:eastAsia="en-US"/>
              </w:rPr>
            </w:pPr>
            <w:r w:rsidRPr="004E2AC5">
              <w:rPr>
                <w:rFonts w:ascii="Tahoma" w:eastAsiaTheme="minorHAnsi" w:hAnsi="Tahoma" w:cs="Tahoma"/>
                <w:b w:val="0"/>
                <w:color w:val="auto"/>
                <w:szCs w:val="20"/>
                <w:lang w:eastAsia="en-US"/>
              </w:rPr>
              <w:t>Hotels</w:t>
            </w:r>
          </w:p>
        </w:tc>
        <w:tc>
          <w:tcPr>
            <w:tcW w:w="2488" w:type="pct"/>
          </w:tcPr>
          <w:p w:rsidR="00ED2AB2" w:rsidRPr="004E2AC5" w:rsidRDefault="00ED2AB2" w:rsidP="004E2AC5">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szCs w:val="20"/>
                <w:lang w:eastAsia="en-US"/>
              </w:rPr>
            </w:pPr>
            <w:r w:rsidRPr="004E2AC5">
              <w:rPr>
                <w:rFonts w:ascii="Tahoma" w:eastAsiaTheme="minorHAnsi" w:hAnsi="Tahoma" w:cs="Tahoma"/>
                <w:color w:val="auto"/>
                <w:szCs w:val="20"/>
                <w:lang w:eastAsia="en-US"/>
              </w:rPr>
              <w:t>4</w:t>
            </w:r>
          </w:p>
        </w:tc>
      </w:tr>
      <w:tr w:rsidR="00ED2AB2" w:rsidRPr="004E2AC5" w:rsidTr="004E2AC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12" w:type="pct"/>
          </w:tcPr>
          <w:p w:rsidR="00ED2AB2" w:rsidRPr="004E2AC5" w:rsidRDefault="00ED2AB2" w:rsidP="004E2AC5">
            <w:pPr>
              <w:rPr>
                <w:rFonts w:ascii="Tahoma" w:eastAsiaTheme="minorHAnsi" w:hAnsi="Tahoma" w:cs="Tahoma"/>
                <w:b w:val="0"/>
                <w:color w:val="auto"/>
                <w:szCs w:val="20"/>
                <w:lang w:eastAsia="en-US"/>
              </w:rPr>
            </w:pPr>
            <w:r w:rsidRPr="004E2AC5">
              <w:rPr>
                <w:rFonts w:ascii="Tahoma" w:eastAsiaTheme="minorHAnsi" w:hAnsi="Tahoma" w:cs="Tahoma"/>
                <w:b w:val="0"/>
                <w:color w:val="auto"/>
                <w:szCs w:val="20"/>
                <w:lang w:eastAsia="en-US"/>
              </w:rPr>
              <w:t>Shopping centres</w:t>
            </w:r>
          </w:p>
        </w:tc>
        <w:tc>
          <w:tcPr>
            <w:tcW w:w="2488" w:type="pct"/>
          </w:tcPr>
          <w:p w:rsidR="00ED2AB2" w:rsidRPr="004E2AC5" w:rsidRDefault="00ED2AB2" w:rsidP="004E2AC5">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szCs w:val="20"/>
                <w:lang w:eastAsia="en-US"/>
              </w:rPr>
            </w:pPr>
            <w:r w:rsidRPr="004E2AC5">
              <w:rPr>
                <w:rFonts w:ascii="Tahoma" w:eastAsiaTheme="minorHAnsi" w:hAnsi="Tahoma" w:cs="Tahoma"/>
                <w:color w:val="auto"/>
                <w:szCs w:val="20"/>
                <w:lang w:eastAsia="en-US"/>
              </w:rPr>
              <w:t>4</w:t>
            </w:r>
          </w:p>
        </w:tc>
      </w:tr>
      <w:tr w:rsidR="00ED2AB2" w:rsidRPr="004E2AC5" w:rsidTr="004E2AC5">
        <w:trPr>
          <w:trHeight w:val="258"/>
        </w:trPr>
        <w:tc>
          <w:tcPr>
            <w:cnfStyle w:val="001000000000" w:firstRow="0" w:lastRow="0" w:firstColumn="1" w:lastColumn="0" w:oddVBand="0" w:evenVBand="0" w:oddHBand="0" w:evenHBand="0" w:firstRowFirstColumn="0" w:firstRowLastColumn="0" w:lastRowFirstColumn="0" w:lastRowLastColumn="0"/>
            <w:tcW w:w="2512" w:type="pct"/>
          </w:tcPr>
          <w:p w:rsidR="00ED2AB2" w:rsidRPr="004E2AC5" w:rsidRDefault="00ED2AB2" w:rsidP="004E2AC5">
            <w:pPr>
              <w:rPr>
                <w:rFonts w:ascii="Tahoma" w:eastAsiaTheme="minorHAnsi" w:hAnsi="Tahoma" w:cs="Tahoma"/>
                <w:b w:val="0"/>
                <w:color w:val="auto"/>
                <w:szCs w:val="20"/>
                <w:lang w:eastAsia="en-US"/>
              </w:rPr>
            </w:pPr>
            <w:r w:rsidRPr="004E2AC5">
              <w:rPr>
                <w:rFonts w:ascii="Tahoma" w:eastAsiaTheme="minorHAnsi" w:hAnsi="Tahoma" w:cs="Tahoma"/>
                <w:b w:val="0"/>
                <w:color w:val="auto"/>
                <w:szCs w:val="20"/>
                <w:lang w:eastAsia="en-US"/>
              </w:rPr>
              <w:t>Data centres</w:t>
            </w:r>
          </w:p>
        </w:tc>
        <w:tc>
          <w:tcPr>
            <w:tcW w:w="2488" w:type="pct"/>
          </w:tcPr>
          <w:p w:rsidR="00ED2AB2" w:rsidRPr="004E2AC5" w:rsidRDefault="00ED2AB2" w:rsidP="004E2AC5">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szCs w:val="20"/>
                <w:lang w:eastAsia="en-US"/>
              </w:rPr>
            </w:pPr>
            <w:r w:rsidRPr="004E2AC5">
              <w:rPr>
                <w:rFonts w:ascii="Tahoma" w:eastAsiaTheme="minorHAnsi" w:hAnsi="Tahoma" w:cs="Tahoma"/>
                <w:color w:val="auto"/>
                <w:szCs w:val="20"/>
                <w:lang w:eastAsia="en-US"/>
              </w:rPr>
              <w:t>5</w:t>
            </w:r>
          </w:p>
        </w:tc>
      </w:tr>
    </w:tbl>
    <w:p w:rsidR="002E57AF" w:rsidRDefault="002E57AF" w:rsidP="00ED2AB2">
      <w:pPr>
        <w:pStyle w:val="bodycopy"/>
        <w:rPr>
          <w:rFonts w:eastAsiaTheme="minorHAnsi"/>
          <w:lang w:eastAsia="en-US"/>
        </w:rPr>
      </w:pPr>
    </w:p>
    <w:p w:rsidR="00ED2AB2" w:rsidRPr="00ED2AB2" w:rsidRDefault="006D5A6B" w:rsidP="00ED2AB2">
      <w:pPr>
        <w:pStyle w:val="bodycopy"/>
        <w:rPr>
          <w:rFonts w:eastAsiaTheme="minorHAnsi"/>
          <w:lang w:eastAsia="en-US"/>
        </w:rPr>
      </w:pPr>
      <w:r w:rsidRPr="00ED2AB2">
        <w:rPr>
          <w:rFonts w:eastAsiaTheme="minorHAnsi"/>
          <w:lang w:eastAsia="en-US"/>
        </w:rPr>
        <w:t xml:space="preserve">These baselines apply from the year the planning approval is granted and </w:t>
      </w:r>
      <w:r>
        <w:rPr>
          <w:rFonts w:eastAsiaTheme="minorHAnsi"/>
          <w:lang w:eastAsia="en-US"/>
        </w:rPr>
        <w:t>supersede</w:t>
      </w:r>
      <w:r w:rsidRPr="00ED2AB2">
        <w:rPr>
          <w:rFonts w:eastAsiaTheme="minorHAnsi"/>
          <w:lang w:eastAsia="en-US"/>
        </w:rPr>
        <w:t xml:space="preserve"> </w:t>
      </w:r>
      <w:r w:rsidRPr="00F34602">
        <w:rPr>
          <w:rFonts w:eastAsiaTheme="minorHAnsi"/>
          <w:lang w:eastAsia="en-US"/>
        </w:rPr>
        <w:t>the</w:t>
      </w:r>
      <w:r w:rsidRPr="00ED2AB2">
        <w:rPr>
          <w:rFonts w:eastAsiaTheme="minorHAnsi"/>
          <w:lang w:eastAsia="en-US"/>
        </w:rPr>
        <w:t xml:space="preserve"> </w:t>
      </w:r>
      <w:r>
        <w:rPr>
          <w:rFonts w:eastAsiaTheme="minorHAnsi"/>
          <w:lang w:eastAsia="en-US"/>
        </w:rPr>
        <w:t xml:space="preserve">normal </w:t>
      </w:r>
      <w:r w:rsidR="000B0008">
        <w:rPr>
          <w:rFonts w:eastAsiaTheme="minorHAnsi"/>
          <w:lang w:eastAsia="en-US"/>
        </w:rPr>
        <w:t>b</w:t>
      </w:r>
      <w:r w:rsidRPr="00ED2AB2">
        <w:rPr>
          <w:rFonts w:eastAsiaTheme="minorHAnsi"/>
          <w:lang w:eastAsia="en-US"/>
        </w:rPr>
        <w:t xml:space="preserve">aseline </w:t>
      </w:r>
      <w:r w:rsidR="000B0008">
        <w:rPr>
          <w:rFonts w:eastAsiaTheme="minorHAnsi"/>
          <w:lang w:eastAsia="en-US"/>
        </w:rPr>
        <w:t>r</w:t>
      </w:r>
      <w:r>
        <w:rPr>
          <w:rFonts w:eastAsiaTheme="minorHAnsi"/>
          <w:lang w:eastAsia="en-US"/>
        </w:rPr>
        <w:t>ating</w:t>
      </w:r>
      <w:r w:rsidRPr="00ED2AB2">
        <w:rPr>
          <w:rFonts w:eastAsiaTheme="minorHAnsi"/>
          <w:lang w:eastAsia="en-US"/>
        </w:rPr>
        <w:t xml:space="preserve">. </w:t>
      </w:r>
      <w:r w:rsidR="00ED2AB2" w:rsidRPr="00ED2AB2">
        <w:rPr>
          <w:rFonts w:eastAsiaTheme="minorHAnsi"/>
          <w:lang w:eastAsia="en-US"/>
        </w:rPr>
        <w:t xml:space="preserve">Some local planning schemes require buildings seeking development approval to meet a certain NABERS star rating. In locations where a local council has such a requirement for planning approval purposes, any locally required rating will be considered the </w:t>
      </w:r>
      <w:r w:rsidR="002E52B1">
        <w:rPr>
          <w:rFonts w:eastAsiaTheme="minorHAnsi"/>
          <w:lang w:eastAsia="en-US"/>
        </w:rPr>
        <w:t>b</w:t>
      </w:r>
      <w:r w:rsidR="00ED2AB2" w:rsidRPr="00ED2AB2">
        <w:rPr>
          <w:rFonts w:eastAsiaTheme="minorHAnsi"/>
          <w:lang w:eastAsia="en-US"/>
        </w:rPr>
        <w:t xml:space="preserve">aseline </w:t>
      </w:r>
      <w:r w:rsidR="002E52B1">
        <w:rPr>
          <w:rFonts w:eastAsiaTheme="minorHAnsi"/>
          <w:lang w:eastAsia="en-US"/>
        </w:rPr>
        <w:t>r</w:t>
      </w:r>
      <w:r w:rsidR="00ED2AB2" w:rsidRPr="00ED2AB2">
        <w:rPr>
          <w:rFonts w:eastAsiaTheme="minorHAnsi"/>
          <w:lang w:eastAsia="en-US"/>
        </w:rPr>
        <w:t xml:space="preserve">ating.  </w:t>
      </w:r>
    </w:p>
    <w:p w:rsidR="000B0008" w:rsidRPr="00ED2AB2" w:rsidRDefault="00ED2AB2" w:rsidP="00ED2AB2">
      <w:pPr>
        <w:pStyle w:val="bodycopy"/>
        <w:rPr>
          <w:rFonts w:eastAsiaTheme="minorHAnsi"/>
          <w:lang w:eastAsia="en-US"/>
        </w:rPr>
      </w:pPr>
      <w:r w:rsidRPr="00ED2AB2">
        <w:rPr>
          <w:rFonts w:eastAsiaTheme="minorHAnsi"/>
          <w:lang w:eastAsia="en-US"/>
        </w:rPr>
        <w:t xml:space="preserve">For example, the City of Melbourne requires office buildings larger than 2000m2 to meet a NABERS energy rating of </w:t>
      </w:r>
      <w:r w:rsidR="00E650F1">
        <w:rPr>
          <w:rFonts w:eastAsiaTheme="minorHAnsi"/>
          <w:lang w:eastAsia="en-US"/>
        </w:rPr>
        <w:t>five stars</w:t>
      </w:r>
      <w:r w:rsidR="005E4BE1">
        <w:rPr>
          <w:rFonts w:eastAsiaTheme="minorHAnsi"/>
          <w:lang w:eastAsia="en-US"/>
        </w:rPr>
        <w:t>. T</w:t>
      </w:r>
      <w:r w:rsidR="00E650F1" w:rsidRPr="00ED2AB2">
        <w:rPr>
          <w:rFonts w:eastAsiaTheme="minorHAnsi"/>
          <w:lang w:eastAsia="en-US"/>
        </w:rPr>
        <w:t xml:space="preserve">he baseline star rating </w:t>
      </w:r>
      <w:r w:rsidR="00E650F1">
        <w:rPr>
          <w:rFonts w:eastAsiaTheme="minorHAnsi"/>
          <w:lang w:eastAsia="en-US"/>
        </w:rPr>
        <w:t>for a</w:t>
      </w:r>
      <w:r w:rsidRPr="00ED2AB2">
        <w:rPr>
          <w:rFonts w:eastAsiaTheme="minorHAnsi"/>
          <w:lang w:eastAsia="en-US"/>
        </w:rPr>
        <w:t>n</w:t>
      </w:r>
      <w:r w:rsidR="00157090">
        <w:rPr>
          <w:rFonts w:eastAsiaTheme="minorHAnsi"/>
          <w:lang w:eastAsia="en-US"/>
        </w:rPr>
        <w:t>y</w:t>
      </w:r>
      <w:r w:rsidRPr="00ED2AB2">
        <w:rPr>
          <w:rFonts w:eastAsiaTheme="minorHAnsi"/>
          <w:lang w:eastAsia="en-US"/>
        </w:rPr>
        <w:t xml:space="preserve"> office building undergoing a major renovation </w:t>
      </w:r>
      <w:r w:rsidR="005E4BE1">
        <w:rPr>
          <w:rFonts w:eastAsiaTheme="minorHAnsi"/>
          <w:lang w:eastAsia="en-US"/>
        </w:rPr>
        <w:t>requiring</w:t>
      </w:r>
      <w:r w:rsidRPr="00ED2AB2">
        <w:rPr>
          <w:rFonts w:eastAsiaTheme="minorHAnsi"/>
          <w:lang w:eastAsia="en-US"/>
        </w:rPr>
        <w:t xml:space="preserve"> planning approval</w:t>
      </w:r>
      <w:r w:rsidR="005E4BE1">
        <w:rPr>
          <w:rFonts w:eastAsiaTheme="minorHAnsi"/>
          <w:lang w:eastAsia="en-US"/>
        </w:rPr>
        <w:t xml:space="preserve"> would therefore be five</w:t>
      </w:r>
      <w:r w:rsidR="005E4BE1" w:rsidRPr="00ED2AB2">
        <w:rPr>
          <w:rFonts w:eastAsiaTheme="minorHAnsi"/>
          <w:lang w:eastAsia="en-US"/>
        </w:rPr>
        <w:t xml:space="preserve"> stars</w:t>
      </w:r>
      <w:r w:rsidR="005E4BE1">
        <w:rPr>
          <w:rFonts w:eastAsiaTheme="minorHAnsi"/>
          <w:lang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ED2AB2" w:rsidRPr="00ED2AB2" w:rsidTr="007E3294">
        <w:tc>
          <w:tcPr>
            <w:tcW w:w="10420" w:type="dxa"/>
            <w:shd w:val="clear" w:color="auto" w:fill="D9D9D9" w:themeFill="background1" w:themeFillShade="D9"/>
          </w:tcPr>
          <w:p w:rsidR="00ED2AB2" w:rsidRPr="00ED2AB2" w:rsidRDefault="00ED2AB2" w:rsidP="00ED2AB2">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p>
          <w:p w:rsidR="001E69B6" w:rsidRDefault="00ED2AB2" w:rsidP="00ED2AB2">
            <w:pPr>
              <w:spacing w:before="120" w:after="120"/>
              <w:rPr>
                <w:rFonts w:ascii="Tahoma" w:eastAsiaTheme="minorHAnsi" w:hAnsi="Tahoma" w:cs="Tahoma"/>
                <w:color w:val="auto"/>
                <w:szCs w:val="20"/>
                <w:lang w:eastAsia="en-US"/>
              </w:rPr>
            </w:pPr>
            <w:r w:rsidRPr="00ED2AB2">
              <w:rPr>
                <w:rFonts w:ascii="Tahoma" w:eastAsiaTheme="minorHAnsi" w:hAnsi="Tahoma" w:cs="Tahoma"/>
                <w:color w:val="auto"/>
                <w:szCs w:val="20"/>
                <w:lang w:eastAsia="en-US"/>
              </w:rPr>
              <w:t xml:space="preserve">Are the proposed baselines appropriate? </w:t>
            </w:r>
          </w:p>
          <w:p w:rsidR="00ED2AB2" w:rsidRPr="00ED2AB2" w:rsidRDefault="00626A60">
            <w:pPr>
              <w:spacing w:before="120" w:after="120"/>
              <w:rPr>
                <w:rFonts w:ascii="Tahoma" w:eastAsiaTheme="minorHAnsi" w:hAnsi="Tahoma" w:cs="Tahoma"/>
                <w:color w:val="auto"/>
                <w:szCs w:val="20"/>
                <w:lang w:eastAsia="en-US"/>
              </w:rPr>
            </w:pPr>
            <w:r w:rsidRPr="00ED2AB2">
              <w:rPr>
                <w:rFonts w:ascii="Tahoma" w:eastAsiaTheme="minorHAnsi" w:hAnsi="Tahoma" w:cs="Tahoma"/>
                <w:color w:val="auto"/>
                <w:szCs w:val="20"/>
                <w:lang w:eastAsia="en-US"/>
              </w:rPr>
              <w:t xml:space="preserve">The proposed approach </w:t>
            </w:r>
            <w:r>
              <w:rPr>
                <w:rFonts w:ascii="Tahoma" w:eastAsiaTheme="minorHAnsi" w:hAnsi="Tahoma" w:cs="Tahoma"/>
                <w:color w:val="auto"/>
                <w:lang w:eastAsia="en-US"/>
              </w:rPr>
              <w:t>is different to</w:t>
            </w:r>
            <w:r w:rsidRPr="00ED2AB2">
              <w:rPr>
                <w:rFonts w:ascii="Tahoma" w:eastAsiaTheme="minorHAnsi" w:hAnsi="Tahoma" w:cs="Tahoma"/>
                <w:color w:val="auto"/>
                <w:szCs w:val="20"/>
                <w:lang w:eastAsia="en-US"/>
              </w:rPr>
              <w:t xml:space="preserve"> NSW ESS and Commonwealth ERF schemes</w:t>
            </w:r>
            <w:r w:rsidR="005649B9">
              <w:rPr>
                <w:rFonts w:ascii="Tahoma" w:eastAsiaTheme="minorHAnsi" w:hAnsi="Tahoma" w:cs="Tahoma"/>
                <w:color w:val="auto"/>
                <w:szCs w:val="20"/>
                <w:lang w:eastAsia="en-US"/>
              </w:rPr>
              <w:t>.</w:t>
            </w:r>
            <w:r w:rsidR="003243C0">
              <w:rPr>
                <w:rFonts w:ascii="Tahoma" w:eastAsiaTheme="minorHAnsi" w:hAnsi="Tahoma" w:cs="Tahoma"/>
                <w:color w:val="auto"/>
                <w:lang w:eastAsia="en-US"/>
              </w:rPr>
              <w:br/>
              <w:t>I</w:t>
            </w:r>
            <w:r w:rsidRPr="00ED2AB2">
              <w:rPr>
                <w:rFonts w:ascii="Tahoma" w:eastAsiaTheme="minorHAnsi" w:hAnsi="Tahoma" w:cs="Tahoma"/>
                <w:color w:val="auto"/>
                <w:szCs w:val="20"/>
                <w:lang w:eastAsia="en-US"/>
              </w:rPr>
              <w:t>s this preferable to aligning the</w:t>
            </w:r>
            <w:r>
              <w:rPr>
                <w:rFonts w:ascii="Tahoma" w:eastAsiaTheme="minorHAnsi" w:hAnsi="Tahoma" w:cs="Tahoma"/>
                <w:color w:val="auto"/>
                <w:szCs w:val="20"/>
                <w:lang w:eastAsia="en-US"/>
              </w:rPr>
              <w:t>se</w:t>
            </w:r>
            <w:r w:rsidRPr="00ED2AB2">
              <w:rPr>
                <w:rFonts w:ascii="Tahoma" w:eastAsiaTheme="minorHAnsi" w:hAnsi="Tahoma" w:cs="Tahoma"/>
                <w:color w:val="auto"/>
                <w:szCs w:val="20"/>
                <w:lang w:eastAsia="en-US"/>
              </w:rPr>
              <w:t xml:space="preserve"> schemes?</w:t>
            </w:r>
          </w:p>
        </w:tc>
      </w:tr>
    </w:tbl>
    <w:p w:rsidR="00483DD9" w:rsidRDefault="00483DD9" w:rsidP="00483DD9">
      <w:pPr>
        <w:pStyle w:val="heading1blue"/>
      </w:pPr>
      <w:r>
        <w:t xml:space="preserve">Administrative </w:t>
      </w:r>
      <w:r w:rsidR="002E52B1">
        <w:t>r</w:t>
      </w:r>
      <w:r>
        <w:t>equirements</w:t>
      </w:r>
    </w:p>
    <w:p w:rsidR="00483DD9" w:rsidRPr="00483DD9" w:rsidRDefault="00483DD9" w:rsidP="004E2AC5">
      <w:pPr>
        <w:pStyle w:val="heading2black"/>
      </w:pPr>
      <w:r>
        <w:t xml:space="preserve">Project </w:t>
      </w:r>
      <w:r w:rsidR="002E52B1">
        <w:t>p</w:t>
      </w:r>
      <w:r>
        <w:t>lan</w:t>
      </w:r>
    </w:p>
    <w:p w:rsidR="00483DD9" w:rsidRPr="00ED2AB2" w:rsidRDefault="00483DD9" w:rsidP="00483DD9">
      <w:pPr>
        <w:pStyle w:val="bodycopy"/>
      </w:pPr>
      <w:r w:rsidRPr="00ED2AB2">
        <w:t xml:space="preserve">All projects must </w:t>
      </w:r>
      <w:r w:rsidR="00B356B9">
        <w:t xml:space="preserve">submit a project plan to the </w:t>
      </w:r>
      <w:r w:rsidRPr="00ED2AB2">
        <w:t xml:space="preserve">ESC </w:t>
      </w:r>
      <w:r w:rsidR="002E52B1">
        <w:t>before</w:t>
      </w:r>
      <w:r w:rsidRPr="00ED2AB2">
        <w:t xml:space="preserve"> the project activities </w:t>
      </w:r>
      <w:r w:rsidR="002E52B1">
        <w:t>are</w:t>
      </w:r>
      <w:r w:rsidR="002E52B1" w:rsidRPr="00ED2AB2">
        <w:t xml:space="preserve"> </w:t>
      </w:r>
      <w:r w:rsidRPr="00ED2AB2">
        <w:t>undertaken</w:t>
      </w:r>
      <w:r w:rsidR="002E52B1">
        <w:t>.</w:t>
      </w:r>
      <w:r w:rsidR="005E4BE1">
        <w:t xml:space="preserve"> </w:t>
      </w:r>
      <w:r w:rsidR="002E52B1">
        <w:t xml:space="preserve">It </w:t>
      </w:r>
      <w:r w:rsidR="005E4BE1">
        <w:t>must i</w:t>
      </w:r>
      <w:r w:rsidRPr="00ED2AB2">
        <w:t>nclude:</w:t>
      </w:r>
    </w:p>
    <w:p w:rsidR="00FA1812" w:rsidRDefault="002E52B1" w:rsidP="00483DD9">
      <w:pPr>
        <w:pStyle w:val="dotpoints"/>
      </w:pPr>
      <w:r>
        <w:t>t</w:t>
      </w:r>
      <w:r w:rsidR="00B356B9">
        <w:t>he</w:t>
      </w:r>
      <w:r w:rsidR="00483DD9" w:rsidRPr="00ED2AB2">
        <w:t xml:space="preserve"> benchmarking </w:t>
      </w:r>
      <w:r w:rsidR="00B356B9">
        <w:t xml:space="preserve">rating scheme and </w:t>
      </w:r>
      <w:r w:rsidR="00483DD9" w:rsidRPr="00ED2AB2">
        <w:t xml:space="preserve">reverse calculator </w:t>
      </w:r>
      <w:r w:rsidR="00C40B92">
        <w:t>that will</w:t>
      </w:r>
      <w:r w:rsidR="00C40B92" w:rsidRPr="00ED2AB2">
        <w:t xml:space="preserve"> </w:t>
      </w:r>
      <w:r w:rsidR="00483DD9" w:rsidRPr="00ED2AB2">
        <w:t xml:space="preserve">be used </w:t>
      </w:r>
    </w:p>
    <w:p w:rsidR="00B356B9" w:rsidRDefault="002E52B1" w:rsidP="00483DD9">
      <w:pPr>
        <w:pStyle w:val="dotpoints"/>
      </w:pPr>
      <w:r>
        <w:t>t</w:t>
      </w:r>
      <w:r w:rsidR="00B356B9">
        <w:t>he address of the building</w:t>
      </w:r>
    </w:p>
    <w:p w:rsidR="00B356B9" w:rsidRDefault="002E52B1" w:rsidP="00483DD9">
      <w:pPr>
        <w:pStyle w:val="dotpoints"/>
      </w:pPr>
      <w:r>
        <w:t>d</w:t>
      </w:r>
      <w:r w:rsidR="00B356B9" w:rsidRPr="00F34602">
        <w:t>etails of the baseline</w:t>
      </w:r>
      <w:r w:rsidR="00B356B9">
        <w:t xml:space="preserve"> rating</w:t>
      </w:r>
    </w:p>
    <w:p w:rsidR="00B356B9" w:rsidRDefault="002E52B1" w:rsidP="00483DD9">
      <w:pPr>
        <w:pStyle w:val="dotpoints"/>
      </w:pPr>
      <w:r>
        <w:t>a</w:t>
      </w:r>
      <w:r w:rsidR="00B356B9">
        <w:t xml:space="preserve"> brief description of the project activities</w:t>
      </w:r>
    </w:p>
    <w:p w:rsidR="00B356B9" w:rsidRDefault="002E52B1" w:rsidP="00483DD9">
      <w:pPr>
        <w:pStyle w:val="dotpoints"/>
      </w:pPr>
      <w:r>
        <w:t>s</w:t>
      </w:r>
      <w:r w:rsidR="00B356B9">
        <w:t xml:space="preserve">ervices </w:t>
      </w:r>
      <w:r w:rsidR="00FA1812">
        <w:t>that will be</w:t>
      </w:r>
      <w:r w:rsidR="00B356B9">
        <w:t xml:space="preserve"> affected</w:t>
      </w:r>
    </w:p>
    <w:p w:rsidR="00B356B9" w:rsidRDefault="002E52B1" w:rsidP="00483DD9">
      <w:pPr>
        <w:pStyle w:val="dotpoints"/>
      </w:pPr>
      <w:r>
        <w:t>a</w:t>
      </w:r>
      <w:r w:rsidR="00B356B9">
        <w:t xml:space="preserve"> risk management plan</w:t>
      </w:r>
      <w:r>
        <w:t>.</w:t>
      </w:r>
    </w:p>
    <w:p w:rsidR="00EF540C" w:rsidRDefault="00EF540C" w:rsidP="00EF540C">
      <w:pPr>
        <w:pStyle w:val="bodycopy"/>
      </w:pPr>
      <w:r>
        <w:t xml:space="preserve">The ESC must approve the project plan. It can only approve projects which it deems ‘reasonably likely’ to reduce greenhouse gas emissions. This gives the ESC the power to reject illegitimate projects. </w:t>
      </w:r>
    </w:p>
    <w:p w:rsidR="00FA1812" w:rsidRDefault="003243C0" w:rsidP="00FA1812">
      <w:pPr>
        <w:pStyle w:val="bodycopy"/>
      </w:pPr>
      <w:r>
        <w:t xml:space="preserve">It is not permitted to have more than one benchmark rating project taking place at the same site. </w:t>
      </w:r>
      <w:r w:rsidR="00FA1812">
        <w:t xml:space="preserve">To </w:t>
      </w:r>
      <w:r>
        <w:t xml:space="preserve">help </w:t>
      </w:r>
      <w:r w:rsidR="00626A60">
        <w:t xml:space="preserve">APs </w:t>
      </w:r>
      <w:r>
        <w:t>i</w:t>
      </w:r>
      <w:r w:rsidR="00626A60">
        <w:t xml:space="preserve">dentify </w:t>
      </w:r>
      <w:r>
        <w:t xml:space="preserve">whether </w:t>
      </w:r>
      <w:r w:rsidR="00626A60">
        <w:t xml:space="preserve">another project is </w:t>
      </w:r>
      <w:r>
        <w:t>taking place</w:t>
      </w:r>
      <w:r w:rsidR="00626A60">
        <w:t xml:space="preserve"> at </w:t>
      </w:r>
      <w:r>
        <w:t>a given</w:t>
      </w:r>
      <w:r w:rsidR="00626A60">
        <w:t xml:space="preserve"> site</w:t>
      </w:r>
      <w:r w:rsidR="00FA1812">
        <w:t xml:space="preserve">, it is possible that the ESC might maintain a public register of benchmark rating projects, to be listed from the project plan stage. However, there are concerns that this could compromise commercial confidentiality.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3A3811" w:rsidTr="007E3294">
        <w:tc>
          <w:tcPr>
            <w:tcW w:w="4375" w:type="dxa"/>
            <w:shd w:val="clear" w:color="auto" w:fill="D9D9D9" w:themeFill="background1" w:themeFillShade="D9"/>
          </w:tcPr>
          <w:p w:rsidR="003A3811" w:rsidRPr="00ED2AB2" w:rsidRDefault="003A3811" w:rsidP="003A3811">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p>
          <w:p w:rsidR="003A3811" w:rsidRDefault="003A3811" w:rsidP="00171574">
            <w:pPr>
              <w:pStyle w:val="bodycopy"/>
            </w:pPr>
            <w:r w:rsidRPr="007E3294">
              <w:rPr>
                <w:rFonts w:ascii="Tahoma" w:eastAsiaTheme="minorHAnsi" w:hAnsi="Tahoma" w:cs="Tahoma"/>
                <w:color w:val="auto"/>
                <w:lang w:eastAsia="en-US"/>
              </w:rPr>
              <w:t>Should a public register be maintained?</w:t>
            </w:r>
            <w:r w:rsidR="003243C0">
              <w:rPr>
                <w:rFonts w:ascii="Tahoma" w:eastAsiaTheme="minorHAnsi" w:hAnsi="Tahoma" w:cs="Tahoma"/>
                <w:color w:val="auto"/>
                <w:lang w:eastAsia="en-US"/>
              </w:rPr>
              <w:br/>
              <w:t>I</w:t>
            </w:r>
            <w:r w:rsidRPr="007E3294">
              <w:rPr>
                <w:rFonts w:ascii="Tahoma" w:eastAsiaTheme="minorHAnsi" w:hAnsi="Tahoma" w:cs="Tahoma"/>
                <w:color w:val="auto"/>
                <w:lang w:eastAsia="en-US"/>
              </w:rPr>
              <w:t>f so, what information (e.g. project type, site address, name of AP, or other information) should be placed on such a register?</w:t>
            </w:r>
          </w:p>
        </w:tc>
      </w:tr>
    </w:tbl>
    <w:p w:rsidR="00EF540C" w:rsidRDefault="00EF540C" w:rsidP="00EF540C">
      <w:pPr>
        <w:pStyle w:val="heading2black"/>
      </w:pPr>
      <w:r>
        <w:t>Project variations</w:t>
      </w:r>
    </w:p>
    <w:p w:rsidR="00EF540C" w:rsidRDefault="00EF540C" w:rsidP="00EF540C">
      <w:pPr>
        <w:pStyle w:val="bodycopy"/>
      </w:pPr>
      <w:r>
        <w:t xml:space="preserve">It is possible to change the activities undertaken after the project has started. </w:t>
      </w:r>
      <w:r w:rsidR="0081142A">
        <w:t>However</w:t>
      </w:r>
      <w:r>
        <w:t xml:space="preserve">, a project variation must be submitted to the ESC. This variation must be accompanied by an updated risk management plan and must be received by the ESC </w:t>
      </w:r>
      <w:r w:rsidR="002E52B1">
        <w:t>before</w:t>
      </w:r>
      <w:r>
        <w:t xml:space="preserve"> any new treatment activities </w:t>
      </w:r>
      <w:r w:rsidR="002E52B1">
        <w:t xml:space="preserve">are </w:t>
      </w:r>
      <w:r>
        <w:t xml:space="preserve">undertaken. </w:t>
      </w:r>
    </w:p>
    <w:p w:rsidR="00EF540C" w:rsidRDefault="00EF540C" w:rsidP="00EF540C">
      <w:pPr>
        <w:pStyle w:val="bodycopy"/>
      </w:pPr>
      <w:r>
        <w:t xml:space="preserve">The method specifies some aspects of the project which cannot be varied, including the address of the building, the benchmark rating scheme and services affected by the project. </w:t>
      </w:r>
    </w:p>
    <w:p w:rsidR="0081142A" w:rsidRDefault="0081142A" w:rsidP="0081142A">
      <w:pPr>
        <w:pStyle w:val="heading2black"/>
      </w:pPr>
      <w:r>
        <w:t>The use of approved products</w:t>
      </w:r>
    </w:p>
    <w:p w:rsidR="0081142A" w:rsidRPr="00DD1F5F" w:rsidRDefault="0081142A" w:rsidP="0081142A">
      <w:pPr>
        <w:pStyle w:val="bodycopy"/>
      </w:pPr>
      <w:r>
        <w:t xml:space="preserve">Where products installed as part of a benchmark rating project happen to be products that are already registered under VEET, these products must meet the existing VEET product standards. For example, if the treatment involves installing LED lights which are a registered product under schedule 34, these lights must meet the existing schedule 34 product requirements. </w:t>
      </w:r>
    </w:p>
    <w:p w:rsidR="001F66AB" w:rsidRDefault="001F66AB" w:rsidP="001F66AB">
      <w:pPr>
        <w:pStyle w:val="heading2black"/>
      </w:pPr>
      <w:r>
        <w:t>Disposal of products removed</w:t>
      </w:r>
    </w:p>
    <w:p w:rsidR="00FA1812" w:rsidRDefault="001F66AB" w:rsidP="00FA1812">
      <w:pPr>
        <w:pStyle w:val="bodycopy"/>
      </w:pPr>
      <w:r>
        <w:t xml:space="preserve">It is proposed that certain products must be decommissioned if removed as part of a </w:t>
      </w:r>
      <w:r w:rsidR="0096379B">
        <w:t>b</w:t>
      </w:r>
      <w:r>
        <w:t xml:space="preserve">enchmark rating project. The proposed changes to the Regulations would give the ESC the power to maintain a register of such products under new Regulation 9A. It is also proposed that </w:t>
      </w:r>
      <w:r w:rsidR="00FA1812">
        <w:t xml:space="preserve">if a product is removed and </w:t>
      </w:r>
      <w:r w:rsidR="0081142A">
        <w:t xml:space="preserve">if </w:t>
      </w:r>
      <w:r w:rsidR="00FA1812">
        <w:t xml:space="preserve">that type and size of product is normally required to be decommissioned under another VEET activity, the same decommissioning requirements would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964463" w:rsidTr="00964463">
        <w:tc>
          <w:tcPr>
            <w:tcW w:w="10420" w:type="dxa"/>
            <w:shd w:val="clear" w:color="auto" w:fill="D9D9D9" w:themeFill="background1" w:themeFillShade="D9"/>
            <w:hideMark/>
          </w:tcPr>
          <w:p w:rsidR="00964463" w:rsidRDefault="00964463">
            <w:pPr>
              <w:spacing w:before="120" w:after="120"/>
              <w:rPr>
                <w:rFonts w:ascii="Tahoma" w:eastAsiaTheme="minorHAnsi" w:hAnsi="Tahoma" w:cs="Tahoma"/>
                <w:b/>
                <w:color w:val="auto"/>
                <w:szCs w:val="20"/>
                <w:lang w:eastAsia="en-US"/>
              </w:rPr>
            </w:pPr>
            <w:r>
              <w:rPr>
                <w:rFonts w:ascii="Tahoma" w:eastAsiaTheme="minorHAnsi" w:hAnsi="Tahoma" w:cs="Tahoma"/>
                <w:b/>
                <w:color w:val="auto"/>
                <w:szCs w:val="20"/>
                <w:lang w:eastAsia="en-US"/>
              </w:rPr>
              <w:t>Question:</w:t>
            </w:r>
          </w:p>
          <w:p w:rsidR="00964463" w:rsidRDefault="00964463">
            <w:pPr>
              <w:spacing w:before="120" w:after="120"/>
              <w:rPr>
                <w:rFonts w:ascii="Tahoma" w:eastAsiaTheme="minorHAnsi" w:hAnsi="Tahoma" w:cs="Tahoma"/>
                <w:color w:val="auto"/>
                <w:szCs w:val="20"/>
                <w:lang w:eastAsia="en-US"/>
              </w:rPr>
            </w:pPr>
            <w:r>
              <w:rPr>
                <w:rFonts w:ascii="Tahoma" w:eastAsiaTheme="minorHAnsi" w:hAnsi="Tahoma" w:cs="Tahoma"/>
                <w:color w:val="auto"/>
                <w:szCs w:val="20"/>
                <w:lang w:eastAsia="en-US"/>
              </w:rPr>
              <w:t>Do you have any comments on this proposed method?</w:t>
            </w:r>
          </w:p>
        </w:tc>
      </w:tr>
    </w:tbl>
    <w:p w:rsidR="00B60413" w:rsidRDefault="00B60413" w:rsidP="00B60413">
      <w:pPr>
        <w:pStyle w:val="heading1blue"/>
      </w:pPr>
      <w:r>
        <w:t>Consultation day</w:t>
      </w:r>
    </w:p>
    <w:p w:rsidR="00441A7E" w:rsidRDefault="00441A7E" w:rsidP="00441A7E">
      <w:pPr>
        <w:pStyle w:val="bodycopy"/>
      </w:pPr>
      <w:r w:rsidRPr="00ED3C06">
        <w:t xml:space="preserve">There will be a public consultation </w:t>
      </w:r>
      <w:r>
        <w:t>day for interested parties in June 2016.</w:t>
      </w:r>
    </w:p>
    <w:p w:rsidR="00441A7E" w:rsidRDefault="00441A7E" w:rsidP="00441A7E">
      <w:pPr>
        <w:pStyle w:val="bodycopy"/>
      </w:pPr>
      <w:r>
        <w:t xml:space="preserve">Please see </w:t>
      </w:r>
      <w:r w:rsidRPr="00426E56">
        <w:t>the Department’s website</w:t>
      </w:r>
      <w:r>
        <w:t xml:space="preserve"> for further information including, time, date and location:</w:t>
      </w:r>
      <w:r>
        <w:br/>
      </w:r>
      <w:hyperlink r:id="rId14" w:history="1">
        <w:r w:rsidRPr="00FC19BC">
          <w:rPr>
            <w:rStyle w:val="Hyperlink"/>
          </w:rPr>
          <w:t>www.energyandresources.vic.gov.au/esi</w:t>
        </w:r>
      </w:hyperlink>
    </w:p>
    <w:p w:rsidR="00B60413" w:rsidRPr="00C659E3" w:rsidRDefault="00B60413" w:rsidP="00B60413">
      <w:pPr>
        <w:pStyle w:val="heading1blue"/>
      </w:pPr>
      <w:r>
        <w:t>How to provide your comments</w:t>
      </w:r>
    </w:p>
    <w:p w:rsidR="00B60413" w:rsidRDefault="00B60413" w:rsidP="00B60413">
      <w:r w:rsidRPr="004C1BFB">
        <w:t>Responses should clearly state the issue and, where relevant, make reference to specific sections of the draft Regulation.</w:t>
      </w:r>
    </w:p>
    <w:p w:rsidR="00B60413" w:rsidRDefault="00B60413" w:rsidP="00B60413">
      <w:pPr>
        <w:pStyle w:val="heading2black"/>
      </w:pPr>
      <w:r>
        <w:t>Submitting by email</w:t>
      </w:r>
    </w:p>
    <w:p w:rsidR="00B60413" w:rsidRDefault="00B60413" w:rsidP="00B60413">
      <w:r>
        <w:t xml:space="preserve">Submissions may be emailed to </w:t>
      </w:r>
      <w:hyperlink r:id="rId15" w:history="1">
        <w:r w:rsidRPr="00FD261A">
          <w:rPr>
            <w:rStyle w:val="Hyperlink"/>
          </w:rPr>
          <w:t>energysaver.incentive@ecodev.vic.gov.au</w:t>
        </w:r>
      </w:hyperlink>
      <w:r>
        <w:t xml:space="preserve">. </w:t>
      </w:r>
      <w:r>
        <w:br/>
      </w:r>
    </w:p>
    <w:p w:rsidR="00B60413" w:rsidRDefault="00B60413" w:rsidP="00B60413">
      <w:r>
        <w:t xml:space="preserve">Please use the subject: </w:t>
      </w:r>
      <w:r>
        <w:br/>
      </w:r>
      <w:r w:rsidRPr="00AE678C">
        <w:rPr>
          <w:i/>
        </w:rPr>
        <w:t>VEET</w:t>
      </w:r>
      <w:r>
        <w:rPr>
          <w:i/>
        </w:rPr>
        <w:t xml:space="preserve"> </w:t>
      </w:r>
      <w:r w:rsidR="00E6309D">
        <w:rPr>
          <w:i/>
        </w:rPr>
        <w:t xml:space="preserve">Benchmark rating </w:t>
      </w:r>
      <w:r>
        <w:rPr>
          <w:i/>
        </w:rPr>
        <w:t>method</w:t>
      </w:r>
    </w:p>
    <w:p w:rsidR="00B60413" w:rsidRDefault="00B60413" w:rsidP="00B60413">
      <w:pPr>
        <w:pStyle w:val="heading2black"/>
      </w:pPr>
      <w:r>
        <w:t>Submitting by post</w:t>
      </w:r>
    </w:p>
    <w:p w:rsidR="00B60413" w:rsidRDefault="00B60413" w:rsidP="00B60413">
      <w:pPr>
        <w:pStyle w:val="heading1blue"/>
        <w:spacing w:before="0"/>
        <w:rPr>
          <w:color w:val="53565A"/>
          <w:sz w:val="20"/>
        </w:rPr>
      </w:pPr>
      <w:r>
        <w:rPr>
          <w:color w:val="53565A"/>
          <w:sz w:val="20"/>
        </w:rPr>
        <w:t>R</w:t>
      </w:r>
      <w:r w:rsidRPr="004C1BFB">
        <w:rPr>
          <w:color w:val="53565A"/>
          <w:sz w:val="20"/>
        </w:rPr>
        <w:t xml:space="preserve">esponses may </w:t>
      </w:r>
      <w:r>
        <w:rPr>
          <w:color w:val="53565A"/>
          <w:sz w:val="20"/>
        </w:rPr>
        <w:t xml:space="preserve">also </w:t>
      </w:r>
      <w:r w:rsidRPr="004C1BFB">
        <w:rPr>
          <w:color w:val="53565A"/>
          <w:sz w:val="20"/>
        </w:rPr>
        <w:t>be provided in writing to:</w:t>
      </w:r>
    </w:p>
    <w:p w:rsidR="00B60413" w:rsidRDefault="00B60413" w:rsidP="00B60413">
      <w:pPr>
        <w:spacing w:after="120"/>
      </w:pPr>
      <w:r>
        <w:rPr>
          <w:i/>
        </w:rPr>
        <w:t>VEET Benchmark rating method</w:t>
      </w:r>
      <w:r>
        <w:rPr>
          <w:i/>
        </w:rPr>
        <w:br/>
      </w:r>
      <w:r w:rsidRPr="004C1BFB">
        <w:t>Energy Policy and Programs</w:t>
      </w:r>
      <w:r>
        <w:br/>
      </w:r>
      <w:r w:rsidRPr="004C1BFB">
        <w:t>Department of Economic Development, Jobs, Transport and Resources</w:t>
      </w:r>
      <w:r>
        <w:br/>
      </w:r>
      <w:r w:rsidRPr="004C1BFB">
        <w:t>GPO Box 4509</w:t>
      </w:r>
      <w:r>
        <w:br/>
      </w:r>
      <w:r w:rsidRPr="004C1BFB">
        <w:t>Melbourne VIC 3001</w:t>
      </w:r>
    </w:p>
    <w:p w:rsidR="00B60413" w:rsidRDefault="00B60413" w:rsidP="00B60413">
      <w:pPr>
        <w:pStyle w:val="heading2black"/>
      </w:pPr>
      <w:r>
        <w:t>Closing date for submissions</w:t>
      </w:r>
    </w:p>
    <w:p w:rsidR="00B60413" w:rsidRDefault="00B60413" w:rsidP="00B60413">
      <w:pPr>
        <w:pStyle w:val="bodycopy"/>
        <w:rPr>
          <w:rStyle w:val="Hyperlink"/>
          <w:rFonts w:cs="Times New Roman"/>
          <w:szCs w:val="24"/>
        </w:rPr>
      </w:pPr>
      <w:r w:rsidRPr="00B87025">
        <w:t xml:space="preserve">Please refer to </w:t>
      </w:r>
      <w:r>
        <w:t xml:space="preserve">the departmental </w:t>
      </w:r>
      <w:r w:rsidRPr="00B87025">
        <w:t>website for the closing date:</w:t>
      </w:r>
      <w:r>
        <w:br/>
      </w:r>
      <w:hyperlink r:id="rId16" w:history="1">
        <w:r w:rsidRPr="00AE678C">
          <w:rPr>
            <w:rStyle w:val="Hyperlink"/>
            <w:rFonts w:cs="Times New Roman"/>
            <w:szCs w:val="24"/>
          </w:rPr>
          <w:t>www.energyandresources.vic.gov.au/esi</w:t>
        </w:r>
      </w:hyperlink>
    </w:p>
    <w:p w:rsidR="00BC57B4" w:rsidRPr="00D84D75" w:rsidRDefault="00BC57B4" w:rsidP="00BC57B4">
      <w:pPr>
        <w:pStyle w:val="heading2black"/>
      </w:pPr>
      <w:r w:rsidRPr="00D84D75">
        <w:t>Confidentiality</w:t>
      </w:r>
    </w:p>
    <w:p w:rsidR="003737F2" w:rsidRPr="001F418F" w:rsidRDefault="003737F2" w:rsidP="00B60413">
      <w:pPr>
        <w:pStyle w:val="bodycopy"/>
        <w:rPr>
          <w:rStyle w:val="Hyperlink"/>
          <w:rFonts w:cs="Times New Roman"/>
          <w:szCs w:val="24"/>
        </w:rPr>
      </w:pPr>
      <w:r>
        <w:rPr>
          <w:rFonts w:ascii="Helvetica" w:hAnsi="Helvetica" w:cs="Helvetica"/>
          <w:color w:val="5F5F5F"/>
        </w:rPr>
        <w:t>Submissions may be published on</w:t>
      </w:r>
      <w:r w:rsidR="00B71B9F">
        <w:rPr>
          <w:rFonts w:ascii="Helvetica" w:hAnsi="Helvetica" w:cs="Helvetica"/>
          <w:color w:val="5F5F5F"/>
        </w:rPr>
        <w:t xml:space="preserve"> </w:t>
      </w:r>
      <w:r>
        <w:rPr>
          <w:rFonts w:ascii="Helvetica" w:hAnsi="Helvetica" w:cs="Helvetica"/>
          <w:color w:val="5F5F5F"/>
        </w:rPr>
        <w:t>the website. Please indicate if the</w:t>
      </w:r>
      <w:r w:rsidR="00B71B9F">
        <w:rPr>
          <w:rFonts w:ascii="Helvetica" w:hAnsi="Helvetica" w:cs="Helvetica"/>
          <w:color w:val="5F5F5F"/>
        </w:rPr>
        <w:t xml:space="preserve"> submission, or sections within</w:t>
      </w:r>
      <w:r>
        <w:rPr>
          <w:rFonts w:ascii="Helvetica" w:hAnsi="Helvetica" w:cs="Helvetica"/>
          <w:color w:val="5F5F5F"/>
        </w:rPr>
        <w:t xml:space="preserve"> the submission</w:t>
      </w:r>
      <w:r w:rsidR="00B71B9F">
        <w:rPr>
          <w:rFonts w:ascii="Helvetica" w:hAnsi="Helvetica" w:cs="Helvetica"/>
          <w:color w:val="5F5F5F"/>
        </w:rPr>
        <w:t xml:space="preserve">, </w:t>
      </w:r>
      <w:r w:rsidR="00881F4D">
        <w:rPr>
          <w:rFonts w:ascii="Helvetica" w:hAnsi="Helvetica" w:cs="Helvetica"/>
          <w:color w:val="5F5F5F"/>
        </w:rPr>
        <w:t xml:space="preserve">is </w:t>
      </w:r>
      <w:r>
        <w:rPr>
          <w:rFonts w:ascii="Helvetica" w:hAnsi="Helvetica" w:cs="Helvetica"/>
          <w:color w:val="5F5F5F"/>
        </w:rPr>
        <w:t xml:space="preserve">confidential or contain sensitive information that is not for publication. </w:t>
      </w:r>
    </w:p>
    <w:p w:rsidR="00B60413" w:rsidRDefault="00B60413" w:rsidP="00B60413">
      <w:pPr>
        <w:pStyle w:val="heading1blue"/>
      </w:pPr>
      <w:r>
        <w:t>Authorisation</w:t>
      </w:r>
    </w:p>
    <w:p w:rsidR="00B60413" w:rsidRPr="003243C0" w:rsidRDefault="00B60413" w:rsidP="00B60413">
      <w:pPr>
        <w:pStyle w:val="bodycopy"/>
      </w:pPr>
      <w:bookmarkStart w:id="0" w:name="_GoBack"/>
      <w:bookmarkEnd w:id="0"/>
      <w:r w:rsidRPr="003243C0">
        <w:t>Department of Economic Development, Jobs, Transport and Resources</w:t>
      </w:r>
    </w:p>
    <w:p w:rsidR="00B60413" w:rsidRPr="003243C0" w:rsidRDefault="00B60413" w:rsidP="00B60413">
      <w:pPr>
        <w:pStyle w:val="bodycopy"/>
      </w:pPr>
      <w:r w:rsidRPr="003243C0">
        <w:t>1 Spring Street Melbourne Victoria 3000</w:t>
      </w:r>
    </w:p>
    <w:p w:rsidR="00B60413" w:rsidRPr="003243C0" w:rsidRDefault="00B60413" w:rsidP="00B60413">
      <w:pPr>
        <w:pStyle w:val="bodycopy"/>
      </w:pPr>
      <w:r w:rsidRPr="003243C0">
        <w:t>Telephone (03) 9651 9999</w:t>
      </w:r>
    </w:p>
    <w:p w:rsidR="00B60413" w:rsidRPr="003243C0" w:rsidRDefault="00B60413" w:rsidP="00B60413">
      <w:pPr>
        <w:pStyle w:val="bodycopy"/>
      </w:pPr>
      <w:r w:rsidRPr="003243C0">
        <w:t xml:space="preserve">© Copyright State of Victoria, </w:t>
      </w:r>
    </w:p>
    <w:p w:rsidR="00B60413" w:rsidRPr="003243C0" w:rsidRDefault="00B60413" w:rsidP="00B60413">
      <w:pPr>
        <w:pStyle w:val="bodycopy"/>
      </w:pPr>
      <w:r w:rsidRPr="003243C0">
        <w:t>Department of Economic Development, Jobs, Transport and Resources 2016</w:t>
      </w:r>
    </w:p>
    <w:p w:rsidR="00B60413" w:rsidRPr="003243C0" w:rsidRDefault="00B60413" w:rsidP="00B60413">
      <w:pPr>
        <w:pStyle w:val="bodycopy"/>
      </w:pPr>
      <w:r w:rsidRPr="003243C0">
        <w:t>Except for any logos, emblems, trademarks, artwork and photography this document is made available under the terms of the Creative Commons Attribution 3.0 Australia license.</w:t>
      </w:r>
    </w:p>
    <w:p w:rsidR="009307B4" w:rsidRPr="003243C0" w:rsidRDefault="00B60413" w:rsidP="00B60413">
      <w:pPr>
        <w:pStyle w:val="bodycopy"/>
      </w:pPr>
      <w:r w:rsidRPr="003243C0">
        <w:t xml:space="preserve">This document is also available in an accessible format at </w:t>
      </w:r>
      <w:hyperlink r:id="rId17" w:history="1">
        <w:r w:rsidRPr="003243C0">
          <w:rPr>
            <w:rStyle w:val="Hyperlink"/>
          </w:rPr>
          <w:t>www.economicdevelopment.vic.gov.au</w:t>
        </w:r>
      </w:hyperlink>
      <w:r w:rsidRPr="003243C0">
        <w:t xml:space="preserve"> </w:t>
      </w:r>
    </w:p>
    <w:sectPr w:rsidR="009307B4" w:rsidRPr="003243C0" w:rsidSect="009307B4">
      <w:type w:val="continuous"/>
      <w:pgSz w:w="11906" w:h="16838"/>
      <w:pgMar w:top="1701" w:right="1440" w:bottom="1440" w:left="1440" w:header="709" w:footer="56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5D" w:rsidRDefault="009F005D" w:rsidP="00D21116">
      <w:r>
        <w:separator/>
      </w:r>
    </w:p>
  </w:endnote>
  <w:endnote w:type="continuationSeparator" w:id="0">
    <w:p w:rsidR="009F005D" w:rsidRDefault="009F005D" w:rsidP="00D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1779"/>
      <w:docPartObj>
        <w:docPartGallery w:val="Page Numbers (Bottom of Page)"/>
        <w:docPartUnique/>
      </w:docPartObj>
    </w:sdtPr>
    <w:sdtEndPr/>
    <w:sdtContent>
      <w:sdt>
        <w:sdtPr>
          <w:id w:val="-1669238322"/>
          <w:docPartObj>
            <w:docPartGallery w:val="Page Numbers (Top of Page)"/>
            <w:docPartUnique/>
          </w:docPartObj>
        </w:sdtPr>
        <w:sdtEndPr/>
        <w:sdtContent>
          <w:p w:rsidR="00F34602" w:rsidRPr="009E17DC" w:rsidRDefault="00C664FE" w:rsidP="009E17DC">
            <w:pPr>
              <w:pStyle w:val="Footer"/>
              <w:tabs>
                <w:tab w:val="right" w:pos="9072"/>
              </w:tabs>
              <w:rPr>
                <w:i/>
                <w:color w:val="064EA8"/>
              </w:rPr>
            </w:pPr>
            <w:r>
              <w:rPr>
                <w:color w:val="064EA8"/>
              </w:rPr>
              <w:t xml:space="preserve">Victorian Energy Efficiency Target (VEET) scheme – </w:t>
            </w:r>
            <w:r w:rsidR="00F34602" w:rsidRPr="009E17DC">
              <w:rPr>
                <w:i/>
                <w:color w:val="064EA8"/>
              </w:rPr>
              <w:t xml:space="preserve">Benchmark </w:t>
            </w:r>
            <w:r w:rsidR="002E57AF">
              <w:rPr>
                <w:i/>
                <w:color w:val="064EA8"/>
              </w:rPr>
              <w:t>R</w:t>
            </w:r>
            <w:r w:rsidR="00F34602" w:rsidRPr="009E17DC">
              <w:rPr>
                <w:i/>
                <w:color w:val="064EA8"/>
              </w:rPr>
              <w:t>ating</w:t>
            </w:r>
          </w:p>
          <w:p w:rsidR="00F34602" w:rsidRPr="00F62A4A" w:rsidRDefault="00F34602" w:rsidP="0026126A">
            <w:pPr>
              <w:pStyle w:val="Footer"/>
              <w:tabs>
                <w:tab w:val="clear" w:pos="9026"/>
                <w:tab w:val="right" w:pos="9072"/>
              </w:tabs>
            </w:pPr>
            <w:r>
              <w:tab/>
            </w:r>
            <w:r>
              <w:tab/>
            </w:r>
            <w:r>
              <w:rPr>
                <w:b/>
                <w:bCs/>
              </w:rPr>
              <w:fldChar w:fldCharType="begin"/>
            </w:r>
            <w:r>
              <w:rPr>
                <w:b/>
                <w:bCs/>
              </w:rPr>
              <w:instrText xml:space="preserve"> PAGE </w:instrText>
            </w:r>
            <w:r>
              <w:rPr>
                <w:b/>
                <w:bCs/>
              </w:rPr>
              <w:fldChar w:fldCharType="separate"/>
            </w:r>
            <w:r w:rsidR="0017157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171574">
              <w:rPr>
                <w:b/>
                <w:bCs/>
                <w:noProof/>
              </w:rPr>
              <w:t>5</w:t>
            </w:r>
            <w:r>
              <w:rPr>
                <w:b/>
                <w:bCs/>
              </w:rPr>
              <w:fldChar w:fldCharType="end"/>
            </w:r>
            <w:r>
              <w:rPr>
                <w:b/>
                <w:bCs/>
              </w:rPr>
              <w:tab/>
            </w:r>
            <w:r>
              <w:rPr>
                <w:b/>
                <w:bCs/>
              </w:rPr>
              <w:tab/>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02" w:rsidRDefault="00F34602" w:rsidP="00745D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5D" w:rsidRDefault="009F005D" w:rsidP="00D21116">
      <w:r>
        <w:separator/>
      </w:r>
    </w:p>
  </w:footnote>
  <w:footnote w:type="continuationSeparator" w:id="0">
    <w:p w:rsidR="009F005D" w:rsidRDefault="009F005D" w:rsidP="00D21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02" w:rsidRDefault="00F34602" w:rsidP="001F6527">
    <w:pPr>
      <w:pStyle w:val="infosheettitle"/>
    </w:pPr>
    <w:r>
      <w:rPr>
        <w:noProof/>
      </w:rPr>
      <w:drawing>
        <wp:anchor distT="0" distB="0" distL="114300" distR="114300" simplePos="0" relativeHeight="251661312" behindDoc="1" locked="0" layoutInCell="1" allowOverlap="1" wp14:anchorId="0C577DBE" wp14:editId="137FA204">
          <wp:simplePos x="0" y="0"/>
          <wp:positionH relativeFrom="page">
            <wp:posOffset>10795</wp:posOffset>
          </wp:positionH>
          <wp:positionV relativeFrom="page">
            <wp:posOffset>13022</wp:posOffset>
          </wp:positionV>
          <wp:extent cx="7560000" cy="720000"/>
          <wp:effectExtent l="0" t="0" r="0" b="0"/>
          <wp:wrapNone/>
          <wp:docPr id="2" name="Picture 2" descr="../Word%20Element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4602" w:rsidRPr="00D21116" w:rsidRDefault="00F34602" w:rsidP="001F6527">
    <w:pPr>
      <w:pStyle w:val="infosheet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02" w:rsidRDefault="00F34602" w:rsidP="001F6527">
    <w:pPr>
      <w:pStyle w:val="infosheettitle"/>
    </w:pPr>
    <w:r>
      <w:rPr>
        <w:noProof/>
      </w:rPr>
      <w:drawing>
        <wp:anchor distT="0" distB="0" distL="114300" distR="114300" simplePos="0" relativeHeight="251663360" behindDoc="1" locked="0" layoutInCell="1" allowOverlap="1" wp14:anchorId="22772B94" wp14:editId="50CF821D">
          <wp:simplePos x="0" y="0"/>
          <wp:positionH relativeFrom="page">
            <wp:posOffset>4483</wp:posOffset>
          </wp:positionH>
          <wp:positionV relativeFrom="page">
            <wp:posOffset>4483</wp:posOffset>
          </wp:positionV>
          <wp:extent cx="7560000" cy="10692000"/>
          <wp:effectExtent l="0" t="0" r="3175" b="0"/>
          <wp:wrapNone/>
          <wp:docPr id="1" name="Picture 1" descr="../Word%20Templates/Word%20Elements/Factsheet/9144%20DEDJTR%20Brand%20Vic%20factsheets%20template_Working%20fi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Templates/Word%20Elements/Factsheet/9144%20DEDJTR%20Brand%20Vic%20factsheets%20template_Working%20fil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4602" w:rsidRDefault="00F34602" w:rsidP="001F6527">
    <w:pPr>
      <w:pStyle w:val="infosheettitle"/>
    </w:pPr>
    <w:r>
      <w:t>Victorian Energy Efficiency Target (VEET) scheme</w:t>
    </w:r>
  </w:p>
  <w:p w:rsidR="00F34602" w:rsidRDefault="00F34602" w:rsidP="009E17DC">
    <w:pPr>
      <w:pStyle w:val="infosheetsubtitle"/>
    </w:pPr>
    <w:r>
      <w:t>New Project Based Activity method:</w:t>
    </w:r>
  </w:p>
  <w:p w:rsidR="00F34602" w:rsidRPr="003A3811" w:rsidRDefault="002E57AF" w:rsidP="001F6527">
    <w:pPr>
      <w:pStyle w:val="infosheetsubtitle"/>
      <w:rPr>
        <w:i/>
      </w:rPr>
    </w:pPr>
    <w:r>
      <w:rPr>
        <w:i/>
      </w:rPr>
      <w:t>Benchmark R</w:t>
    </w:r>
    <w:r w:rsidR="00F34602" w:rsidRPr="003A3811">
      <w:rPr>
        <w:i/>
      </w:rPr>
      <w:t>ating</w:t>
    </w:r>
  </w:p>
  <w:p w:rsidR="00F34602" w:rsidRDefault="00F34602" w:rsidP="001F6527">
    <w:pPr>
      <w:pStyle w:val="infosheetsub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13991"/>
    <w:multiLevelType w:val="hybridMultilevel"/>
    <w:tmpl w:val="6E4E1DBC"/>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1">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0F81331"/>
    <w:multiLevelType w:val="hybridMultilevel"/>
    <w:tmpl w:val="FC2CB4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3962436"/>
    <w:multiLevelType w:val="hybridMultilevel"/>
    <w:tmpl w:val="B5C025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la Alexiadis">
    <w15:presenceInfo w15:providerId="AD" w15:userId="S-1-5-21-4027214525-3069623560-2743527757-23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DB"/>
    <w:rsid w:val="00014C84"/>
    <w:rsid w:val="000260F9"/>
    <w:rsid w:val="000551EB"/>
    <w:rsid w:val="00055849"/>
    <w:rsid w:val="000B0008"/>
    <w:rsid w:val="000C6715"/>
    <w:rsid w:val="000D009C"/>
    <w:rsid w:val="000E5362"/>
    <w:rsid w:val="000F2780"/>
    <w:rsid w:val="000F6C1A"/>
    <w:rsid w:val="001154DB"/>
    <w:rsid w:val="00121571"/>
    <w:rsid w:val="00157090"/>
    <w:rsid w:val="001576FE"/>
    <w:rsid w:val="00171574"/>
    <w:rsid w:val="0017653B"/>
    <w:rsid w:val="00194B40"/>
    <w:rsid w:val="001A2C19"/>
    <w:rsid w:val="001A4BCA"/>
    <w:rsid w:val="001C3026"/>
    <w:rsid w:val="001D26CA"/>
    <w:rsid w:val="001D4BAD"/>
    <w:rsid w:val="001E69B6"/>
    <w:rsid w:val="001F6527"/>
    <w:rsid w:val="001F66AB"/>
    <w:rsid w:val="00245815"/>
    <w:rsid w:val="0026126A"/>
    <w:rsid w:val="002619C4"/>
    <w:rsid w:val="0026215C"/>
    <w:rsid w:val="002B01EC"/>
    <w:rsid w:val="002E52B1"/>
    <w:rsid w:val="002E57AF"/>
    <w:rsid w:val="002E677C"/>
    <w:rsid w:val="00315404"/>
    <w:rsid w:val="0031573F"/>
    <w:rsid w:val="003243C0"/>
    <w:rsid w:val="0033283A"/>
    <w:rsid w:val="003737F2"/>
    <w:rsid w:val="003743A1"/>
    <w:rsid w:val="00382B8C"/>
    <w:rsid w:val="00396393"/>
    <w:rsid w:val="003A3811"/>
    <w:rsid w:val="003A6BE0"/>
    <w:rsid w:val="003D6994"/>
    <w:rsid w:val="003F3703"/>
    <w:rsid w:val="00441A7E"/>
    <w:rsid w:val="00441AB0"/>
    <w:rsid w:val="00452284"/>
    <w:rsid w:val="00483DD9"/>
    <w:rsid w:val="00486C45"/>
    <w:rsid w:val="004C1258"/>
    <w:rsid w:val="004D3B48"/>
    <w:rsid w:val="004D497D"/>
    <w:rsid w:val="004D541D"/>
    <w:rsid w:val="004E2AC5"/>
    <w:rsid w:val="004E644A"/>
    <w:rsid w:val="005020AF"/>
    <w:rsid w:val="00505982"/>
    <w:rsid w:val="00511EEE"/>
    <w:rsid w:val="005649B9"/>
    <w:rsid w:val="005E4BE1"/>
    <w:rsid w:val="00622A86"/>
    <w:rsid w:val="00626A60"/>
    <w:rsid w:val="0063704E"/>
    <w:rsid w:val="00647F38"/>
    <w:rsid w:val="00674B7E"/>
    <w:rsid w:val="006B7428"/>
    <w:rsid w:val="006D5A6B"/>
    <w:rsid w:val="006F0B2A"/>
    <w:rsid w:val="006F3B79"/>
    <w:rsid w:val="007020F3"/>
    <w:rsid w:val="007352CB"/>
    <w:rsid w:val="00745D4D"/>
    <w:rsid w:val="00791A51"/>
    <w:rsid w:val="007A212C"/>
    <w:rsid w:val="007A43EF"/>
    <w:rsid w:val="007B69FD"/>
    <w:rsid w:val="007C070E"/>
    <w:rsid w:val="007D0CDE"/>
    <w:rsid w:val="007E3294"/>
    <w:rsid w:val="00810A65"/>
    <w:rsid w:val="0081142A"/>
    <w:rsid w:val="008149AE"/>
    <w:rsid w:val="00843188"/>
    <w:rsid w:val="00851558"/>
    <w:rsid w:val="00866704"/>
    <w:rsid w:val="00881F4D"/>
    <w:rsid w:val="008F511C"/>
    <w:rsid w:val="00904AF3"/>
    <w:rsid w:val="00914403"/>
    <w:rsid w:val="009307B4"/>
    <w:rsid w:val="00951FC4"/>
    <w:rsid w:val="0096379B"/>
    <w:rsid w:val="00964463"/>
    <w:rsid w:val="00981C79"/>
    <w:rsid w:val="009C56B0"/>
    <w:rsid w:val="009E17DC"/>
    <w:rsid w:val="009E3451"/>
    <w:rsid w:val="009F005D"/>
    <w:rsid w:val="00A15297"/>
    <w:rsid w:val="00A468BC"/>
    <w:rsid w:val="00AC2EA1"/>
    <w:rsid w:val="00AC55D5"/>
    <w:rsid w:val="00AE2735"/>
    <w:rsid w:val="00B356B9"/>
    <w:rsid w:val="00B60413"/>
    <w:rsid w:val="00B71B9F"/>
    <w:rsid w:val="00BA2949"/>
    <w:rsid w:val="00BA4252"/>
    <w:rsid w:val="00BA5FDB"/>
    <w:rsid w:val="00BB52BA"/>
    <w:rsid w:val="00BC4791"/>
    <w:rsid w:val="00BC57B4"/>
    <w:rsid w:val="00BD132B"/>
    <w:rsid w:val="00C20997"/>
    <w:rsid w:val="00C22D42"/>
    <w:rsid w:val="00C40B92"/>
    <w:rsid w:val="00C659E3"/>
    <w:rsid w:val="00C663E5"/>
    <w:rsid w:val="00C664FE"/>
    <w:rsid w:val="00C879A3"/>
    <w:rsid w:val="00CC3379"/>
    <w:rsid w:val="00CD07EF"/>
    <w:rsid w:val="00CD4E9D"/>
    <w:rsid w:val="00D00EDE"/>
    <w:rsid w:val="00D21116"/>
    <w:rsid w:val="00D227D2"/>
    <w:rsid w:val="00D41044"/>
    <w:rsid w:val="00D76005"/>
    <w:rsid w:val="00D81823"/>
    <w:rsid w:val="00DA5B3D"/>
    <w:rsid w:val="00DB0772"/>
    <w:rsid w:val="00DB32C3"/>
    <w:rsid w:val="00DB7F29"/>
    <w:rsid w:val="00DC0E0F"/>
    <w:rsid w:val="00DD4E58"/>
    <w:rsid w:val="00DE2F0E"/>
    <w:rsid w:val="00E61123"/>
    <w:rsid w:val="00E6309D"/>
    <w:rsid w:val="00E650F1"/>
    <w:rsid w:val="00E72921"/>
    <w:rsid w:val="00EC4190"/>
    <w:rsid w:val="00ED2AB2"/>
    <w:rsid w:val="00EF540C"/>
    <w:rsid w:val="00F0149C"/>
    <w:rsid w:val="00F34602"/>
    <w:rsid w:val="00F62A4A"/>
    <w:rsid w:val="00F64309"/>
    <w:rsid w:val="00F8123B"/>
    <w:rsid w:val="00F978DC"/>
    <w:rsid w:val="00FA1812"/>
    <w:rsid w:val="00FF732A"/>
    <w:rsid w:val="00FF7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D41044"/>
    <w:pPr>
      <w:spacing w:before="300" w:after="360" w:line="320" w:lineRule="atLeast"/>
    </w:pPr>
    <w:rPr>
      <w:rFonts w:cs="Arial"/>
      <w:color w:val="064EA8"/>
      <w:spacing w:val="-10"/>
      <w:sz w:val="28"/>
      <w:szCs w:val="20"/>
    </w:rPr>
  </w:style>
  <w:style w:type="paragraph" w:customStyle="1" w:styleId="bodycopy">
    <w:name w:val="# body copy"/>
    <w:basedOn w:val="Normal"/>
    <w:qFormat/>
    <w:rsid w:val="00DB0772"/>
    <w:pPr>
      <w:spacing w:after="120"/>
    </w:pPr>
    <w:rPr>
      <w:rFonts w:cs="Arial"/>
      <w:szCs w:val="20"/>
    </w:rPr>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055849"/>
    <w:rPr>
      <w:rFonts w:ascii="Tahoma" w:hAnsi="Tahoma" w:cs="Arial"/>
      <w:color w:val="000000" w:themeColor="text1"/>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heading1blue">
    <w:name w:val="# heading 1 blue"/>
    <w:basedOn w:val="Normal"/>
    <w:next w:val="bodycopy"/>
    <w:qFormat/>
    <w:rsid w:val="00C659E3"/>
    <w:pPr>
      <w:keepNext/>
      <w:spacing w:before="240" w:after="120"/>
    </w:pPr>
    <w:rPr>
      <w:rFonts w:cs="Arial"/>
      <w:color w:val="064EA8"/>
      <w:sz w:val="24"/>
      <w:szCs w:val="20"/>
    </w:rPr>
  </w:style>
  <w:style w:type="paragraph" w:customStyle="1" w:styleId="tablename">
    <w:name w:val="# table name"/>
    <w:basedOn w:val="Normal"/>
    <w:qFormat/>
    <w:rsid w:val="001F6527"/>
    <w:pPr>
      <w:keepNext/>
      <w:spacing w:before="240" w:after="120"/>
    </w:pPr>
    <w:rPr>
      <w:rFonts w:cs="Arial"/>
      <w:b/>
      <w:color w:val="064EA8"/>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table" w:styleId="LightShading">
    <w:name w:val="Light Shading"/>
    <w:basedOn w:val="TableNormal"/>
    <w:uiPriority w:val="60"/>
    <w:rsid w:val="00ED2AB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83DD9"/>
    <w:rPr>
      <w:color w:val="0000FF" w:themeColor="hyperlink"/>
      <w:u w:val="single"/>
    </w:rPr>
  </w:style>
  <w:style w:type="table" w:styleId="LightShading-Accent1">
    <w:name w:val="Light Shading Accent 1"/>
    <w:basedOn w:val="TableNormal"/>
    <w:uiPriority w:val="60"/>
    <w:rsid w:val="00CD07E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D07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34602"/>
    <w:rPr>
      <w:sz w:val="16"/>
      <w:szCs w:val="16"/>
    </w:rPr>
  </w:style>
  <w:style w:type="paragraph" w:styleId="CommentText">
    <w:name w:val="annotation text"/>
    <w:basedOn w:val="Normal"/>
    <w:link w:val="CommentTextChar"/>
    <w:uiPriority w:val="99"/>
    <w:semiHidden/>
    <w:unhideWhenUsed/>
    <w:rsid w:val="00F34602"/>
    <w:rPr>
      <w:szCs w:val="20"/>
    </w:rPr>
  </w:style>
  <w:style w:type="character" w:customStyle="1" w:styleId="CommentTextChar">
    <w:name w:val="Comment Text Char"/>
    <w:basedOn w:val="DefaultParagraphFont"/>
    <w:link w:val="CommentText"/>
    <w:uiPriority w:val="99"/>
    <w:semiHidden/>
    <w:rsid w:val="00F34602"/>
    <w:rPr>
      <w:rFonts w:ascii="Arial" w:hAnsi="Arial"/>
      <w:color w:val="53565A"/>
    </w:rPr>
  </w:style>
  <w:style w:type="paragraph" w:styleId="CommentSubject">
    <w:name w:val="annotation subject"/>
    <w:basedOn w:val="CommentText"/>
    <w:next w:val="CommentText"/>
    <w:link w:val="CommentSubjectChar"/>
    <w:uiPriority w:val="99"/>
    <w:semiHidden/>
    <w:unhideWhenUsed/>
    <w:rsid w:val="00F34602"/>
    <w:rPr>
      <w:b/>
      <w:bCs/>
    </w:rPr>
  </w:style>
  <w:style w:type="character" w:customStyle="1" w:styleId="CommentSubjectChar">
    <w:name w:val="Comment Subject Char"/>
    <w:basedOn w:val="CommentTextChar"/>
    <w:link w:val="CommentSubject"/>
    <w:uiPriority w:val="99"/>
    <w:semiHidden/>
    <w:rsid w:val="00F34602"/>
    <w:rPr>
      <w:rFonts w:ascii="Arial" w:hAnsi="Arial"/>
      <w:b/>
      <w:bCs/>
      <w:color w:val="53565A"/>
    </w:rPr>
  </w:style>
  <w:style w:type="paragraph" w:styleId="Revision">
    <w:name w:val="Revision"/>
    <w:hidden/>
    <w:uiPriority w:val="99"/>
    <w:semiHidden/>
    <w:rsid w:val="00F34602"/>
    <w:rPr>
      <w:rFonts w:ascii="Arial" w:hAnsi="Arial"/>
      <w:color w:val="53565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D41044"/>
    <w:pPr>
      <w:spacing w:before="300" w:after="360" w:line="320" w:lineRule="atLeast"/>
    </w:pPr>
    <w:rPr>
      <w:rFonts w:cs="Arial"/>
      <w:color w:val="064EA8"/>
      <w:spacing w:val="-10"/>
      <w:sz w:val="28"/>
      <w:szCs w:val="20"/>
    </w:rPr>
  </w:style>
  <w:style w:type="paragraph" w:customStyle="1" w:styleId="bodycopy">
    <w:name w:val="# body copy"/>
    <w:basedOn w:val="Normal"/>
    <w:qFormat/>
    <w:rsid w:val="00DB0772"/>
    <w:pPr>
      <w:spacing w:after="120"/>
    </w:pPr>
    <w:rPr>
      <w:rFonts w:cs="Arial"/>
      <w:szCs w:val="20"/>
    </w:rPr>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055849"/>
    <w:rPr>
      <w:rFonts w:ascii="Tahoma" w:hAnsi="Tahoma" w:cs="Arial"/>
      <w:color w:val="000000" w:themeColor="text1"/>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heading1blue">
    <w:name w:val="# heading 1 blue"/>
    <w:basedOn w:val="Normal"/>
    <w:next w:val="bodycopy"/>
    <w:qFormat/>
    <w:rsid w:val="00C659E3"/>
    <w:pPr>
      <w:keepNext/>
      <w:spacing w:before="240" w:after="120"/>
    </w:pPr>
    <w:rPr>
      <w:rFonts w:cs="Arial"/>
      <w:color w:val="064EA8"/>
      <w:sz w:val="24"/>
      <w:szCs w:val="20"/>
    </w:rPr>
  </w:style>
  <w:style w:type="paragraph" w:customStyle="1" w:styleId="tablename">
    <w:name w:val="# table name"/>
    <w:basedOn w:val="Normal"/>
    <w:qFormat/>
    <w:rsid w:val="001F6527"/>
    <w:pPr>
      <w:keepNext/>
      <w:spacing w:before="240" w:after="120"/>
    </w:pPr>
    <w:rPr>
      <w:rFonts w:cs="Arial"/>
      <w:b/>
      <w:color w:val="064EA8"/>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table" w:styleId="LightShading">
    <w:name w:val="Light Shading"/>
    <w:basedOn w:val="TableNormal"/>
    <w:uiPriority w:val="60"/>
    <w:rsid w:val="00ED2AB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83DD9"/>
    <w:rPr>
      <w:color w:val="0000FF" w:themeColor="hyperlink"/>
      <w:u w:val="single"/>
    </w:rPr>
  </w:style>
  <w:style w:type="table" w:styleId="LightShading-Accent1">
    <w:name w:val="Light Shading Accent 1"/>
    <w:basedOn w:val="TableNormal"/>
    <w:uiPriority w:val="60"/>
    <w:rsid w:val="00CD07E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D07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34602"/>
    <w:rPr>
      <w:sz w:val="16"/>
      <w:szCs w:val="16"/>
    </w:rPr>
  </w:style>
  <w:style w:type="paragraph" w:styleId="CommentText">
    <w:name w:val="annotation text"/>
    <w:basedOn w:val="Normal"/>
    <w:link w:val="CommentTextChar"/>
    <w:uiPriority w:val="99"/>
    <w:semiHidden/>
    <w:unhideWhenUsed/>
    <w:rsid w:val="00F34602"/>
    <w:rPr>
      <w:szCs w:val="20"/>
    </w:rPr>
  </w:style>
  <w:style w:type="character" w:customStyle="1" w:styleId="CommentTextChar">
    <w:name w:val="Comment Text Char"/>
    <w:basedOn w:val="DefaultParagraphFont"/>
    <w:link w:val="CommentText"/>
    <w:uiPriority w:val="99"/>
    <w:semiHidden/>
    <w:rsid w:val="00F34602"/>
    <w:rPr>
      <w:rFonts w:ascii="Arial" w:hAnsi="Arial"/>
      <w:color w:val="53565A"/>
    </w:rPr>
  </w:style>
  <w:style w:type="paragraph" w:styleId="CommentSubject">
    <w:name w:val="annotation subject"/>
    <w:basedOn w:val="CommentText"/>
    <w:next w:val="CommentText"/>
    <w:link w:val="CommentSubjectChar"/>
    <w:uiPriority w:val="99"/>
    <w:semiHidden/>
    <w:unhideWhenUsed/>
    <w:rsid w:val="00F34602"/>
    <w:rPr>
      <w:b/>
      <w:bCs/>
    </w:rPr>
  </w:style>
  <w:style w:type="character" w:customStyle="1" w:styleId="CommentSubjectChar">
    <w:name w:val="Comment Subject Char"/>
    <w:basedOn w:val="CommentTextChar"/>
    <w:link w:val="CommentSubject"/>
    <w:uiPriority w:val="99"/>
    <w:semiHidden/>
    <w:rsid w:val="00F34602"/>
    <w:rPr>
      <w:rFonts w:ascii="Arial" w:hAnsi="Arial"/>
      <w:b/>
      <w:bCs/>
      <w:color w:val="53565A"/>
    </w:rPr>
  </w:style>
  <w:style w:type="paragraph" w:styleId="Revision">
    <w:name w:val="Revision"/>
    <w:hidden/>
    <w:uiPriority w:val="99"/>
    <w:semiHidden/>
    <w:rsid w:val="00F34602"/>
    <w:rPr>
      <w:rFonts w:ascii="Arial" w:hAnsi="Arial"/>
      <w:color w:val="53565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447844983">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yandresources.vic.gov.au/esi"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conomicdevelopment.vic.gov.au" TargetMode="External"/><Relationship Id="rId2" Type="http://schemas.openxmlformats.org/officeDocument/2006/relationships/numbering" Target="numbering.xml"/><Relationship Id="rId16" Type="http://schemas.openxmlformats.org/officeDocument/2006/relationships/hyperlink" Target="http://www.energyandresources.vic.gov.au/e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energysaver.incentive@ecodev.vic.gov.a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nergyandresources.vic.gov.au/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38AE-7195-46BC-8FA3-0B2497A0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2188</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Tejopala Rawls</cp:lastModifiedBy>
  <cp:revision>4</cp:revision>
  <cp:lastPrinted>2016-05-06T00:46:00Z</cp:lastPrinted>
  <dcterms:created xsi:type="dcterms:W3CDTF">2016-06-10T05:21:00Z</dcterms:created>
  <dcterms:modified xsi:type="dcterms:W3CDTF">2016-06-13T23:39:00Z</dcterms:modified>
</cp:coreProperties>
</file>