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341b360f-c70a-404f-aa4d-5301faf3921b.png" ContentType="image/.png"/>
  <Override PartName="/customUI/images/206a7a49-c60a-4015-a494-3304f2a0fe72.png" ContentType="image/.png"/>
  <Override PartName="/customUI/images/ca16be7c-8fa1-4552-8a76-c8b299b7a34b.png" ContentType="image/.png"/>
  <Override PartName="/customUI/images/abddcf3e-a1d8-4f1d-9b58-e5e405e71512.png" ContentType="image/.png"/>
  <Override PartName="/customUI/images/3a71b959-3d04-4d2f-a9c5-4e6e4a5cd60d.png" ContentType="image/.png"/>
  <Override PartName="/customUI/images/139c8526-b336-4dd7-aae0-e71211bf814e.png" ContentType="image/.png"/>
  <Override PartName="/customUI/images/004a5552-3e44-48f8-916f-bbb1309d173f.png" ContentType="image/.png"/>
  <Override PartName="/customUI/images/b826f867-1c0c-41af-85e3-510a6b6df1de.png" ContentType="image/.png"/>
  <Override PartName="/customUI/images/e9a44bf3-3dec-4c80-b264-368ff7e7d0ee.png" ContentType="image/.png"/>
  <Override PartName="/customUI/images/5d88edff-74b1-43a3-bce2-eaf3d06e6d04.png" ContentType="image/.png"/>
  <Override PartName="/customUI/images/99a33dd0-9286-477c-9c55-7a4c48073810.png" ContentType="image/.png"/>
  <Override PartName="/customUI/images/e18f9bce-43e6-42bc-9de1-29c2cc3b2811.png" ContentType="image/.png"/>
  <Override PartName="/customUI/images/11b12a5c-a977-4ecc-9c41-eca14b09e4ae.png" ContentType="image/.png"/>
  <Override PartName="/customUI/images/0ed04185-fec7-4e95-88b3-1ca2319a2060.png" ContentType="image/.png"/>
  <Override PartName="/customUI/images/8ae6d219-3795-4a8d-bff0-6cee92830125.png" ContentType="image/.png"/>
  <Override PartName="/customUI/images/c554436f-a3e4-4fcb-8711-f34c81ef2bfb.png" ContentType="image/.png"/>
  <Override PartName="/customUI/images/127fd666-8396-425e-ba0e-b0791840a221.png" ContentType="image/.png"/>
  <Override PartName="/customUI/images/322512c1-9ef8-40d9-bfef-6043bad89751.png" ContentType="image/.png"/>
  <Override PartName="/customUI/images/59bbb3c5-f48e-4b30-bfda-e0e43ac4c511.png" ContentType="image/.png"/>
  <Override PartName="/customUI/images/4a80cd6b-2678-4a06-9ee8-3223c1a1dbfe.png" ContentType="image/.png"/>
  <Override PartName="/customUI/images/95b16ae2-d151-4c55-942b-22883d87d951.png" ContentType="image/.png"/>
  <Override PartName="/customUI/images/3a8ac9b9-6d4d-4b51-a1cd-a8a039c74a27.png" ContentType="image/.png"/>
  <Override PartName="/customUI/images/7c691337-688a-48ad-912e-00792c2f2bd1.png" ContentType="image/.png"/>
  <Override PartName="/customUI/images/8ae2e15d-9c20-478a-90a5-b0d3cccd4b37.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d7a8f85dabc243fa" Type="http://schemas.microsoft.com/office/2007/relationships/ui/extensibility" Target="customUI/customUI14.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6305998"/>
    <w:p w14:paraId="1B71647C" w14:textId="241767ED" w:rsidR="00254F12" w:rsidRPr="00862057" w:rsidRDefault="00BE1C3D" w:rsidP="00862057">
      <w:pPr>
        <w:pStyle w:val="Title"/>
      </w:pPr>
      <w:r w:rsidRPr="0007009F">
        <w:rPr>
          <w:noProof/>
        </w:rPr>
        <mc:AlternateContent>
          <mc:Choice Requires="wps">
            <w:drawing>
              <wp:anchor distT="0" distB="0" distL="114300" distR="114300" simplePos="0" relativeHeight="251694080" behindDoc="0" locked="1" layoutInCell="1" allowOverlap="1" wp14:anchorId="5879903C" wp14:editId="4A9F2B62">
                <wp:simplePos x="0" y="0"/>
                <wp:positionH relativeFrom="page">
                  <wp:posOffset>5232400</wp:posOffset>
                </wp:positionH>
                <wp:positionV relativeFrom="page">
                  <wp:posOffset>6224270</wp:posOffset>
                </wp:positionV>
                <wp:extent cx="2311200" cy="1335600"/>
                <wp:effectExtent l="0" t="0" r="0" b="0"/>
                <wp:wrapNone/>
                <wp:docPr id="101" name="CoverLS_RibbonElement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311200" cy="1335600"/>
                        </a:xfrm>
                        <a:custGeom>
                          <a:avLst/>
                          <a:gdLst>
                            <a:gd name="connsiteX0" fmla="*/ 472535 w 1732597"/>
                            <a:gd name="connsiteY0" fmla="*/ 0 h 1002410"/>
                            <a:gd name="connsiteX1" fmla="*/ 0 w 1732597"/>
                            <a:gd name="connsiteY1" fmla="*/ 1002411 h 1002410"/>
                            <a:gd name="connsiteX2" fmla="*/ 1260062 w 1732597"/>
                            <a:gd name="connsiteY2" fmla="*/ 1002411 h 1002410"/>
                            <a:gd name="connsiteX3" fmla="*/ 1732598 w 1732597"/>
                            <a:gd name="connsiteY3" fmla="*/ 0 h 1002410"/>
                            <a:gd name="connsiteX4" fmla="*/ 472535 w 1732597"/>
                            <a:gd name="connsiteY4" fmla="*/ 0 h 10024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32597" h="1002410">
                              <a:moveTo>
                                <a:pt x="472535" y="0"/>
                              </a:moveTo>
                              <a:lnTo>
                                <a:pt x="0" y="1002411"/>
                              </a:lnTo>
                              <a:lnTo>
                                <a:pt x="1260062" y="1002411"/>
                              </a:lnTo>
                              <a:lnTo>
                                <a:pt x="1732598" y="0"/>
                              </a:lnTo>
                              <a:lnTo>
                                <a:pt x="47253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EB8CE" id="CoverLS_RibbonElement5" o:spid="_x0000_s1026" alt="&quot;&quot;" style="position:absolute;margin-left:412pt;margin-top:490.1pt;width:182pt;height:105.1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1732597,100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" path="m472535,l,1002411r1260062,l1732598,,472535,xe" fillcolor="#88dbdf [3205]" stroked="f">
                <v:stroke joinstyle="miter"/>
                <v:path arrowok="t" o:connecttype="custom" o:connectlocs="630339,0;0,1335601;1680861,1335601;2311201,0;630339,0" o:connectangles="0,0,0,0,0"/>
                <o:lock v:ext="edit" aspectratio="t"/>
                <w10:wrap anchorx="page" anchory="page"/>
                <w10:anchorlock/>
              </v:shape>
            </w:pict>
          </mc:Fallback>
        </mc:AlternateContent>
      </w:r>
      <w:r w:rsidRPr="0007009F">
        <w:rPr>
          <w:noProof/>
        </w:rPr>
        <mc:AlternateContent>
          <mc:Choice Requires="wps">
            <w:drawing>
              <wp:anchor distT="0" distB="0" distL="114300" distR="114300" simplePos="0" relativeHeight="251692032" behindDoc="0" locked="1" layoutInCell="1" allowOverlap="1" wp14:anchorId="5750236B" wp14:editId="386BB163">
                <wp:simplePos x="0" y="0"/>
                <wp:positionH relativeFrom="page">
                  <wp:posOffset>7122795</wp:posOffset>
                </wp:positionH>
                <wp:positionV relativeFrom="page">
                  <wp:posOffset>6224270</wp:posOffset>
                </wp:positionV>
                <wp:extent cx="838800" cy="892800"/>
                <wp:effectExtent l="0" t="0" r="0" b="3175"/>
                <wp:wrapNone/>
                <wp:docPr id="28" name="CoverLS_RibbonElement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38800" cy="892800"/>
                        </a:xfrm>
                        <a:custGeom>
                          <a:avLst/>
                          <a:gdLst>
                            <a:gd name="connsiteX0" fmla="*/ 314992 w 629983"/>
                            <a:gd name="connsiteY0" fmla="*/ 0 h 668274"/>
                            <a:gd name="connsiteX1" fmla="*/ 0 w 629983"/>
                            <a:gd name="connsiteY1" fmla="*/ 668274 h 668274"/>
                            <a:gd name="connsiteX2" fmla="*/ 629984 w 629983"/>
                            <a:gd name="connsiteY2" fmla="*/ 668274 h 668274"/>
                            <a:gd name="connsiteX3" fmla="*/ 314992 w 629983"/>
                            <a:gd name="connsiteY3" fmla="*/ 0 h 668274"/>
                          </a:gdLst>
                          <a:ahLst/>
                          <a:cxnLst>
                            <a:cxn ang="0">
                              <a:pos x="connsiteX0" y="connsiteY0"/>
                            </a:cxn>
                            <a:cxn ang="0">
                              <a:pos x="connsiteX1" y="connsiteY1"/>
                            </a:cxn>
                            <a:cxn ang="0">
                              <a:pos x="connsiteX2" y="connsiteY2"/>
                            </a:cxn>
                            <a:cxn ang="0">
                              <a:pos x="connsiteX3" y="connsiteY3"/>
                            </a:cxn>
                          </a:cxnLst>
                          <a:rect l="l" t="t" r="r" b="b"/>
                          <a:pathLst>
                            <a:path w="629983" h="668274">
                              <a:moveTo>
                                <a:pt x="314992" y="0"/>
                              </a:moveTo>
                              <a:lnTo>
                                <a:pt x="0" y="668274"/>
                              </a:lnTo>
                              <a:lnTo>
                                <a:pt x="629984" y="668274"/>
                              </a:lnTo>
                              <a:lnTo>
                                <a:pt x="314992" y="0"/>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C9857" id="CoverLS_RibbonElement4" o:spid="_x0000_s1026" alt="&quot;&quot;" style="position:absolute;margin-left:560.85pt;margin-top:490.1pt;width:66.05pt;height:70.3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29983,66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" path="m314992,l,668274r629984,l314992,xe" fillcolor="#201547 [3215]" stroked="f">
                <v:stroke joinstyle="miter"/>
                <v:path arrowok="t" o:connecttype="custom" o:connectlocs="419401,0;0,892800;838801,892800;419401,0" o:connectangles="0,0,0,0"/>
                <o:lock v:ext="edit" aspectratio="t"/>
                <w10:wrap anchorx="page" anchory="page"/>
                <w10:anchorlock/>
              </v:shape>
            </w:pict>
          </mc:Fallback>
        </mc:AlternateContent>
      </w:r>
      <w:r w:rsidRPr="0007009F">
        <w:rPr>
          <w:noProof/>
        </w:rPr>
        <mc:AlternateContent>
          <mc:Choice Requires="wps">
            <w:drawing>
              <wp:anchor distT="0" distB="0" distL="114300" distR="114300" simplePos="0" relativeHeight="251689984" behindDoc="0" locked="1" layoutInCell="1" allowOverlap="1" wp14:anchorId="168103ED" wp14:editId="6E805038">
                <wp:simplePos x="0" y="0"/>
                <wp:positionH relativeFrom="page">
                  <wp:posOffset>6282690</wp:posOffset>
                </wp:positionH>
                <wp:positionV relativeFrom="page">
                  <wp:posOffset>5333365</wp:posOffset>
                </wp:positionV>
                <wp:extent cx="2520000" cy="1782000"/>
                <wp:effectExtent l="0" t="0" r="0" b="8890"/>
                <wp:wrapNone/>
                <wp:docPr id="26" name="CoverLS_RibbonElement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20000" cy="1782000"/>
                        </a:xfrm>
                        <a:custGeom>
                          <a:avLst/>
                          <a:gdLst>
                            <a:gd name="connsiteX0" fmla="*/ 629984 w 1890045"/>
                            <a:gd name="connsiteY0" fmla="*/ 0 h 1336548"/>
                            <a:gd name="connsiteX1" fmla="*/ 0 w 1890045"/>
                            <a:gd name="connsiteY1" fmla="*/ 1336548 h 1336548"/>
                            <a:gd name="connsiteX2" fmla="*/ 1260062 w 1890045"/>
                            <a:gd name="connsiteY2" fmla="*/ 1336548 h 1336548"/>
                            <a:gd name="connsiteX3" fmla="*/ 1890046 w 1890045"/>
                            <a:gd name="connsiteY3" fmla="*/ 0 h 1336548"/>
                            <a:gd name="connsiteX4" fmla="*/ 629984 w 1890045"/>
                            <a:gd name="connsiteY4" fmla="*/ 0 h 133654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90045" h="1336548">
                              <a:moveTo>
                                <a:pt x="629984" y="0"/>
                              </a:moveTo>
                              <a:lnTo>
                                <a:pt x="0" y="1336548"/>
                              </a:lnTo>
                              <a:lnTo>
                                <a:pt x="1260062" y="1336548"/>
                              </a:lnTo>
                              <a:lnTo>
                                <a:pt x="1890046" y="0"/>
                              </a:lnTo>
                              <a:lnTo>
                                <a:pt x="629984" y="0"/>
                              </a:lnTo>
                              <a:close/>
                            </a:path>
                          </a:pathLst>
                        </a:custGeom>
                        <a:solidFill>
                          <a:schemeClr val="accent3"/>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B79E6" id="CoverLS_RibbonElement3" o:spid="_x0000_s1026" alt="&quot;&quot;" style="position:absolute;margin-left:494.7pt;margin-top:419.95pt;width:198.45pt;height:140.3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1890045,1336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" path="m629984,l,1336548r1260062,l1890046,,629984,xe" fillcolor="#00b2a9 [3206]" stroked="f">
                <v:stroke joinstyle="miter"/>
                <v:path arrowok="t" o:connecttype="custom" o:connectlocs="839959,0;0,1782000;1680043,1782000;2520001,0;839959,0" o:connectangles="0,0,0,0,0"/>
                <o:lock v:ext="edit" aspectratio="t"/>
                <w10:wrap anchorx="page" anchory="page"/>
                <w10:anchorlock/>
              </v:shape>
            </w:pict>
          </mc:Fallback>
        </mc:AlternateContent>
      </w:r>
      <w:r w:rsidRPr="0007009F">
        <w:rPr>
          <w:noProof/>
        </w:rPr>
        <mc:AlternateContent>
          <mc:Choice Requires="wps">
            <w:drawing>
              <wp:anchor distT="0" distB="0" distL="114300" distR="114300" simplePos="0" relativeHeight="251687936" behindDoc="1" locked="1" layoutInCell="1" allowOverlap="1" wp14:anchorId="4B926C3B" wp14:editId="4B4EDEE3">
                <wp:simplePos x="0" y="0"/>
                <wp:positionH relativeFrom="page">
                  <wp:posOffset>8383270</wp:posOffset>
                </wp:positionH>
                <wp:positionV relativeFrom="page">
                  <wp:posOffset>5333365</wp:posOffset>
                </wp:positionV>
                <wp:extent cx="838800" cy="892800"/>
                <wp:effectExtent l="0" t="0" r="0" b="3175"/>
                <wp:wrapNone/>
                <wp:docPr id="102" name="CoverLS_RibbonElement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38800" cy="892800"/>
                        </a:xfrm>
                        <a:custGeom>
                          <a:avLst/>
                          <a:gdLst>
                            <a:gd name="connsiteX0" fmla="*/ 314992 w 629983"/>
                            <a:gd name="connsiteY0" fmla="*/ 0 h 668274"/>
                            <a:gd name="connsiteX1" fmla="*/ 0 w 629983"/>
                            <a:gd name="connsiteY1" fmla="*/ 668274 h 668274"/>
                            <a:gd name="connsiteX2" fmla="*/ 629984 w 629983"/>
                            <a:gd name="connsiteY2" fmla="*/ 668274 h 668274"/>
                            <a:gd name="connsiteX3" fmla="*/ 314992 w 629983"/>
                            <a:gd name="connsiteY3" fmla="*/ 0 h 668274"/>
                          </a:gdLst>
                          <a:ahLst/>
                          <a:cxnLst>
                            <a:cxn ang="0">
                              <a:pos x="connsiteX0" y="connsiteY0"/>
                            </a:cxn>
                            <a:cxn ang="0">
                              <a:pos x="connsiteX1" y="connsiteY1"/>
                            </a:cxn>
                            <a:cxn ang="0">
                              <a:pos x="connsiteX2" y="connsiteY2"/>
                            </a:cxn>
                            <a:cxn ang="0">
                              <a:pos x="connsiteX3" y="connsiteY3"/>
                            </a:cxn>
                          </a:cxnLst>
                          <a:rect l="l" t="t" r="r" b="b"/>
                          <a:pathLst>
                            <a:path w="629983" h="668274">
                              <a:moveTo>
                                <a:pt x="314992" y="0"/>
                              </a:moveTo>
                              <a:lnTo>
                                <a:pt x="0" y="668274"/>
                              </a:lnTo>
                              <a:lnTo>
                                <a:pt x="629984" y="668274"/>
                              </a:lnTo>
                              <a:lnTo>
                                <a:pt x="314992" y="0"/>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922D1" id="CoverLS_RibbonElement2" o:spid="_x0000_s1026" alt="&quot;&quot;" style="position:absolute;margin-left:660.1pt;margin-top:419.95pt;width:66.05pt;height:70.3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29983,66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" path="m314992,l,668274r629984,l314992,xe" fillcolor="#201547 [3215]" stroked="f">
                <v:stroke joinstyle="miter"/>
                <v:path arrowok="t" o:connecttype="custom" o:connectlocs="419401,0;0,892800;838801,892800;419401,0" o:connectangles="0,0,0,0"/>
                <o:lock v:ext="edit" aspectratio="t"/>
                <w10:wrap anchorx="page" anchory="page"/>
                <w10:anchorlock/>
              </v:shape>
            </w:pict>
          </mc:Fallback>
        </mc:AlternateContent>
      </w:r>
      <w:r w:rsidRPr="0007009F">
        <w:rPr>
          <w:noProof/>
        </w:rPr>
        <mc:AlternateContent>
          <mc:Choice Requires="wps">
            <w:drawing>
              <wp:anchor distT="0" distB="0" distL="114300" distR="114300" simplePos="0" relativeHeight="251685888" behindDoc="1" locked="1" layoutInCell="1" allowOverlap="1" wp14:anchorId="2BC980EF" wp14:editId="6C641BD3">
                <wp:simplePos x="0" y="0"/>
                <wp:positionH relativeFrom="page">
                  <wp:posOffset>7543800</wp:posOffset>
                </wp:positionH>
                <wp:positionV relativeFrom="page">
                  <wp:posOffset>-14605</wp:posOffset>
                </wp:positionV>
                <wp:extent cx="3150000" cy="6238800"/>
                <wp:effectExtent l="0" t="0" r="0" b="0"/>
                <wp:wrapNone/>
                <wp:docPr id="20" name="CoverLS_RibbonElement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150000" cy="6238800"/>
                        </a:xfrm>
                        <a:custGeom>
                          <a:avLst/>
                          <a:gdLst>
                            <a:gd name="connsiteX0" fmla="*/ 2205038 w 2362580"/>
                            <a:gd name="connsiteY0" fmla="*/ 0 h 4677917"/>
                            <a:gd name="connsiteX1" fmla="*/ 0 w 2362580"/>
                            <a:gd name="connsiteY1" fmla="*/ 4677918 h 4677917"/>
                            <a:gd name="connsiteX2" fmla="*/ 1259396 w 2362580"/>
                            <a:gd name="connsiteY2" fmla="*/ 4677918 h 4677917"/>
                            <a:gd name="connsiteX3" fmla="*/ 2362581 w 2362580"/>
                            <a:gd name="connsiteY3" fmla="*/ 2338959 h 4677917"/>
                            <a:gd name="connsiteX4" fmla="*/ 2362581 w 2362580"/>
                            <a:gd name="connsiteY4" fmla="*/ 10287 h 4677917"/>
                            <a:gd name="connsiteX5" fmla="*/ 2205038 w 2362580"/>
                            <a:gd name="connsiteY5" fmla="*/ 0 h 46779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362580" h="4677917">
                              <a:moveTo>
                                <a:pt x="2205038" y="0"/>
                              </a:moveTo>
                              <a:lnTo>
                                <a:pt x="0" y="4677918"/>
                              </a:lnTo>
                              <a:lnTo>
                                <a:pt x="1259396" y="4677918"/>
                              </a:lnTo>
                              <a:lnTo>
                                <a:pt x="2362581" y="2338959"/>
                              </a:lnTo>
                              <a:lnTo>
                                <a:pt x="2362581" y="10287"/>
                              </a:lnTo>
                              <a:lnTo>
                                <a:pt x="2205038"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A07E5" id="CoverLS_RibbonElement1" o:spid="_x0000_s1026" alt="&quot;&quot;" style="position:absolute;margin-left:594pt;margin-top:-1.15pt;width:248.05pt;height:491.2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362580,4677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" path="m2205038,l,4677918r1259396,l2362581,2338959r,-2328672l2205038,xe" fillcolor="#004c97 [3204]" stroked="f">
                <v:stroke joinstyle="miter"/>
                <v:path arrowok="t" o:connecttype="custom" o:connectlocs="2939951,0;0,6238801;1679138,6238801;3150001,3119401;3150001,13719;2939951,0" o:connectangles="0,0,0,0,0,0"/>
                <o:lock v:ext="edit" aspectratio="t"/>
                <w10:wrap anchorx="page" anchory="page"/>
                <w10:anchorlock/>
              </v:shape>
            </w:pict>
          </mc:Fallback>
        </mc:AlternateContent>
      </w:r>
      <w:r w:rsidRPr="0007009F">
        <w:rPr>
          <w:noProof/>
        </w:rPr>
        <mc:AlternateContent>
          <mc:Choice Requires="wps">
            <w:drawing>
              <wp:anchor distT="0" distB="0" distL="114300" distR="114300" simplePos="0" relativeHeight="251681792" behindDoc="1" locked="1" layoutInCell="1" allowOverlap="1" wp14:anchorId="4A8ED8C6" wp14:editId="5DE86945">
                <wp:simplePos x="0" y="0"/>
                <wp:positionH relativeFrom="page">
                  <wp:align>left</wp:align>
                </wp:positionH>
                <wp:positionV relativeFrom="page">
                  <wp:posOffset>1992630</wp:posOffset>
                </wp:positionV>
                <wp:extent cx="9491345" cy="3858895"/>
                <wp:effectExtent l="0" t="0" r="0" b="8255"/>
                <wp:wrapNone/>
                <wp:docPr id="21" name="Cover_Landscape Photo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491345" cy="3858895"/>
                        </a:xfrm>
                        <a:custGeom>
                          <a:avLst/>
                          <a:gdLst>
                            <a:gd name="connsiteX0" fmla="*/ 0 w 7389018"/>
                            <a:gd name="connsiteY0" fmla="*/ 0 h 3007233"/>
                            <a:gd name="connsiteX1" fmla="*/ 0 w 7389018"/>
                            <a:gd name="connsiteY1" fmla="*/ 3007233 h 3007233"/>
                            <a:gd name="connsiteX2" fmla="*/ 2191512 w 7389018"/>
                            <a:gd name="connsiteY2" fmla="*/ 3007233 h 3007233"/>
                            <a:gd name="connsiteX3" fmla="*/ 5964365 w 7389018"/>
                            <a:gd name="connsiteY3" fmla="*/ 3007233 h 3007233"/>
                            <a:gd name="connsiteX4" fmla="*/ 7389019 w 7389018"/>
                            <a:gd name="connsiteY4" fmla="*/ 0 h 3007233"/>
                            <a:gd name="connsiteX5" fmla="*/ 0 w 7389018"/>
                            <a:gd name="connsiteY5" fmla="*/ 0 h 30072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89018" h="3007233">
                              <a:moveTo>
                                <a:pt x="0" y="0"/>
                              </a:moveTo>
                              <a:lnTo>
                                <a:pt x="0" y="3007233"/>
                              </a:lnTo>
                              <a:lnTo>
                                <a:pt x="2191512" y="3007233"/>
                              </a:lnTo>
                              <a:lnTo>
                                <a:pt x="5964365" y="3007233"/>
                              </a:lnTo>
                              <a:lnTo>
                                <a:pt x="7389019" y="0"/>
                              </a:lnTo>
                              <a:lnTo>
                                <a:pt x="0"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ABADA" id="Cover_Landscape Photo 1" o:spid="_x0000_s1026" alt="&quot;&quot;" style="position:absolute;margin-left:0;margin-top:156.9pt;width:747.35pt;height:303.85pt;z-index:-25163468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coordsize="7389018,3007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" path="m,l,3007233r2191512,l5964365,3007233,7389019,,,xe" fillcolor="#88dbdf [3205]" stroked="f">
                <v:stroke joinstyle="miter"/>
                <v:path arrowok="t" o:connecttype="custom" o:connectlocs="0,0;0,3858895;2815042,3858895;7661349,3858895;9491346,0;0,0" o:connectangles="0,0,0,0,0,0"/>
                <o:lock v:ext="edit" aspectratio="t"/>
                <w10:wrap anchorx="page" anchory="page"/>
                <w10:anchorlock/>
              </v:shape>
            </w:pict>
          </mc:Fallback>
        </mc:AlternateContent>
      </w:r>
      <w:r w:rsidR="00AE70ED" w:rsidRPr="004C1F02">
        <w:rPr>
          <w:noProof/>
        </w:rPr>
        <w:drawing>
          <wp:anchor distT="0" distB="0" distL="114300" distR="114300" simplePos="0" relativeHeight="251673600" behindDoc="0" locked="1" layoutInCell="1" allowOverlap="1" wp14:anchorId="75705D71" wp14:editId="72BDA18C">
            <wp:simplePos x="0" y="0"/>
            <wp:positionH relativeFrom="page">
              <wp:posOffset>9640570</wp:posOffset>
            </wp:positionH>
            <wp:positionV relativeFrom="page">
              <wp:posOffset>3995420</wp:posOffset>
            </wp:positionV>
            <wp:extent cx="1051200" cy="2228400"/>
            <wp:effectExtent l="0" t="0" r="0" b="635"/>
            <wp:wrapNone/>
            <wp:docPr id="19"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Corporate">
                      <a:extLst>
                        <a:ext uri="{C183D7F6-B498-43B3-948B-1728B52AA6E4}">
                          <adec:decorative xmlns:adec="http://schemas.microsoft.com/office/drawing/2017/decorative" val="1"/>
                        </a:ext>
                      </a:extLst>
                    </pic:cNvPr>
                    <pic:cNvPicPr/>
                  </pic:nvPicPr>
                  <pic:blipFill>
                    <a:blip r:embed="rId8"/>
                    <a:stretch>
                      <a:fillRect/>
                    </a:stretch>
                  </pic:blipFill>
                  <pic:spPr>
                    <a:xfrm>
                      <a:off x="0" y="0"/>
                      <a:ext cx="1051200" cy="2228400"/>
                    </a:xfrm>
                    <a:prstGeom prst="rect">
                      <a:avLst/>
                    </a:prstGeom>
                  </pic:spPr>
                </pic:pic>
              </a:graphicData>
            </a:graphic>
            <wp14:sizeRelH relativeFrom="margin">
              <wp14:pctWidth>0</wp14:pctWidth>
            </wp14:sizeRelH>
            <wp14:sizeRelV relativeFrom="margin">
              <wp14:pctHeight>0</wp14:pctHeight>
            </wp14:sizeRelV>
          </wp:anchor>
        </w:drawing>
      </w:r>
      <w:r w:rsidR="00DF35B2" w:rsidRPr="00DF35B2">
        <w:t>Independent Review of Victoria’s Electricity and Gas Network Safety Framework</w:t>
      </w:r>
    </w:p>
    <w:p w14:paraId="6828B4DF" w14:textId="43A0DEC5" w:rsidR="004C1F02" w:rsidRDefault="00330C71" w:rsidP="00862057">
      <w:pPr>
        <w:pStyle w:val="Subtitle"/>
      </w:pPr>
      <w:r>
        <w:t>Implementation Update Report 2023</w:t>
      </w:r>
    </w:p>
    <w:p w14:paraId="7CAFC851" w14:textId="77777777" w:rsidR="00254F12" w:rsidRPr="004C1F02" w:rsidRDefault="00254F12" w:rsidP="004E51DB">
      <w:pPr>
        <w:pStyle w:val="xVicLogo"/>
        <w:framePr w:wrap="around"/>
      </w:pPr>
      <w:r w:rsidRPr="004C1F02">
        <w:rPr>
          <w:noProof/>
        </w:rPr>
        <w:drawing>
          <wp:inline distT="0" distB="0" distL="0" distR="0" wp14:anchorId="6FEB6E78" wp14:editId="35F9E01D">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738080" cy="444948"/>
                    </a:xfrm>
                    <a:prstGeom prst="rect">
                      <a:avLst/>
                    </a:prstGeom>
                  </pic:spPr>
                </pic:pic>
              </a:graphicData>
            </a:graphic>
          </wp:inline>
        </w:drawing>
      </w:r>
    </w:p>
    <w:p w14:paraId="7EA4CE8C" w14:textId="30FAACC4" w:rsidR="00254F12" w:rsidRPr="004C1F02" w:rsidRDefault="00254F12" w:rsidP="004C1F02"/>
    <w:p w14:paraId="1394CC45" w14:textId="77777777" w:rsidR="00254F12" w:rsidRPr="004C1F02" w:rsidRDefault="00254F12" w:rsidP="004C1F02">
      <w:pPr>
        <w:sectPr w:rsidR="00254F12" w:rsidRPr="004C1F02" w:rsidSect="00BE1C3D">
          <w:footerReference w:type="even" r:id="rId11"/>
          <w:footerReference w:type="default" r:id="rId12"/>
          <w:footerReference w:type="first" r:id="rId13"/>
          <w:type w:val="continuous"/>
          <w:pgSz w:w="16839" w:h="11907" w:orient="landscape" w:code="9"/>
          <w:pgMar w:top="737" w:right="850" w:bottom="850" w:left="850" w:header="283" w:footer="283" w:gutter="0"/>
          <w:cols w:space="454"/>
          <w:noEndnote/>
          <w:titlePg/>
          <w:docGrid w:linePitch="360"/>
        </w:sectPr>
      </w:pPr>
    </w:p>
    <w:bookmarkStart w:id="1" w:name="_Hlk131848832"/>
    <w:bookmarkEnd w:id="0"/>
    <w:p w14:paraId="5174AD4B" w14:textId="77777777" w:rsidR="00BE1C3D" w:rsidRDefault="00BE1C3D" w:rsidP="00A1582B">
      <w:pPr>
        <w:pStyle w:val="DisclaimerText"/>
        <w:framePr w:wrap="around"/>
        <w:spacing w:before="120"/>
      </w:pPr>
      <w:r w:rsidRPr="00D22FA4">
        <w:rPr>
          <w:noProof/>
        </w:rPr>
        <w:lastRenderedPageBreak/>
        <mc:AlternateContent>
          <mc:Choice Requires="wps">
            <w:drawing>
              <wp:inline distT="0" distB="0" distL="0" distR="0" wp14:anchorId="6BA6ED88" wp14:editId="7DF36E77">
                <wp:extent cx="8312400" cy="1112400"/>
                <wp:effectExtent l="0" t="0" r="0" b="0"/>
                <wp:docPr id="25" name="Acknowledgement" descr="We acknowledge and respect Victorian Traditional Owners as the original custodians of Victoria’s land and waters, their unique ability to care for Country and deep spiritual connection to it.&#10;We honour Elders past and present whose knowledge and wisdom has ensured the continuation of culture and traditional practices.&#10;The Department of Energy, Environment and Climate Action is committed to genuinely partnering with Victorian Traditional Owners and Victoria’s Aboriginal community to progress their aspiratio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312400" cy="1112400"/>
                        </a:xfrm>
                        <a:custGeom>
                          <a:avLst/>
                          <a:gdLst>
                            <a:gd name="connsiteX0" fmla="*/ 0 w 6233160"/>
                            <a:gd name="connsiteY0" fmla="*/ 0 h 835342"/>
                            <a:gd name="connsiteX1" fmla="*/ 0 w 6233160"/>
                            <a:gd name="connsiteY1" fmla="*/ 835343 h 835342"/>
                            <a:gd name="connsiteX2" fmla="*/ 5839397 w 6233160"/>
                            <a:gd name="connsiteY2" fmla="*/ 835343 h 835342"/>
                            <a:gd name="connsiteX3" fmla="*/ 6233160 w 6233160"/>
                            <a:gd name="connsiteY3" fmla="*/ 0 h 835342"/>
                            <a:gd name="connsiteX4" fmla="*/ 0 w 6233160"/>
                            <a:gd name="connsiteY4" fmla="*/ 0 h 8353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233160" h="835342">
                              <a:moveTo>
                                <a:pt x="0" y="0"/>
                              </a:moveTo>
                              <a:lnTo>
                                <a:pt x="0" y="835343"/>
                              </a:lnTo>
                              <a:lnTo>
                                <a:pt x="5839397" y="835343"/>
                              </a:lnTo>
                              <a:lnTo>
                                <a:pt x="6233160" y="0"/>
                              </a:lnTo>
                              <a:lnTo>
                                <a:pt x="0" y="0"/>
                              </a:lnTo>
                              <a:close/>
                            </a:path>
                          </a:pathLst>
                        </a:custGeom>
                        <a:solidFill>
                          <a:schemeClr val="tx2"/>
                        </a:solidFill>
                        <a:ln w="9525" cap="flat">
                          <a:noFill/>
                          <a:prstDash val="solid"/>
                          <a:miter/>
                        </a:ln>
                      </wps:spPr>
                      <wps:txbx>
                        <w:txbxContent>
                          <w:p w14:paraId="20622FFE" w14:textId="77777777" w:rsidR="00BE1C3D" w:rsidRPr="00D22FA4" w:rsidRDefault="00BE1C3D" w:rsidP="001E3BCB">
                            <w:pPr>
                              <w:pStyle w:val="SmallBodyText"/>
                            </w:pPr>
                            <w:r w:rsidRPr="00D22FA4">
                              <w:t>We acknowledge and respect Victorian Traditional Owners as the original custodians of Victoria’s land and waters, their unique ability to care for Country and deep spiritual connection to it.</w:t>
                            </w:r>
                          </w:p>
                          <w:p w14:paraId="71D7DF70" w14:textId="77777777" w:rsidR="00BE1C3D" w:rsidRPr="00D22FA4" w:rsidRDefault="00BE1C3D" w:rsidP="001E3BCB">
                            <w:pPr>
                              <w:pStyle w:val="SmallBodyText"/>
                            </w:pPr>
                            <w:r w:rsidRPr="00D22FA4">
                              <w:t>We honour Elders past and present whose knowledge and wisdom has ensured the continuation of culture and traditional practices.</w:t>
                            </w:r>
                          </w:p>
                          <w:p w14:paraId="01A3C66D" w14:textId="77777777" w:rsidR="00BE1C3D" w:rsidRPr="00D22FA4" w:rsidRDefault="00BE1C3D" w:rsidP="001E3BCB">
                            <w:pPr>
                              <w:pStyle w:val="SmallBodyText"/>
                            </w:pPr>
                            <w:r w:rsidRPr="00D22FA4">
                              <w:t>DEECA is committed to genuinely partnering with Victorian Traditional Owners and Victoria’s Aboriginal community to progress their aspirations.</w:t>
                            </w:r>
                          </w:p>
                        </w:txbxContent>
                      </wps:txbx>
                      <wps:bodyPr rot="0" spcFirstLastPara="0" vertOverflow="overflow" horzOverflow="overflow" vert="horz" wrap="square" lIns="180000" tIns="180000" rIns="504000" bIns="45720" numCol="1" spcCol="0" rtlCol="0" fromWordArt="0" anchor="t" anchorCtr="0" forceAA="0" compatLnSpc="1">
                        <a:prstTxWarp prst="textNoShape">
                          <a:avLst/>
                        </a:prstTxWarp>
                        <a:noAutofit/>
                      </wps:bodyPr>
                    </wps:wsp>
                  </a:graphicData>
                </a:graphic>
              </wp:inline>
            </w:drawing>
          </mc:Choice>
          <mc:Fallback>
            <w:pict>
              <v:shape w14:anchorId="6BA6ED88" id="Acknowledgement" o:spid="_x0000_s1029" alt="We acknowledge and respect Victorian Traditional Owners as the original custodians of Victoria’s land and waters, their unique ability to care for Country and deep spiritual connection to it.&#10;We honour Elders past and present whose knowledge and wisdom has ensured the continuation of culture and traditional practices.&#10;The Department of Energy, Environment and Climate Action is committed to genuinely partnering with Victorian Traditional Owners and Victoria’s Aboriginal community to progress their aspirations." style="width:654.5pt;height:87.6pt;visibility:visible;mso-wrap-style:square;mso-left-percent:-10001;mso-top-percent:-10001;mso-position-horizontal:absolute;mso-position-horizontal-relative:char;mso-position-vertical:absolute;mso-position-vertical-relative:line;mso-left-percent:-10001;mso-top-percent:-10001;v-text-anchor:top" coordsize="6233160,8353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" adj="-11796480,,5400" path="m,l,835343r5839397,l6233160,,,xe" fillcolor="#201547 [3215]" stroked="f">
                <v:stroke joinstyle="miter"/>
                <v:formulas/>
                <v:path arrowok="t" o:connecttype="custom" o:connectlocs="0,0;0,1112401;7787287,1112401;8312400,0;0,0" o:connectangles="0,0,0,0,0" textboxrect="0,0,6233160,835342"/>
                <o:lock v:ext="edit" aspectratio="t"/>
                <v:textbox inset="5mm,5mm,14mm">
                  <w:txbxContent>
                    <w:p w14:paraId="20622FFE" w14:textId="77777777" w:rsidR="00BE1C3D" w:rsidRPr="00D22FA4" w:rsidRDefault="00BE1C3D" w:rsidP="001E3BCB">
                      <w:pPr>
                        <w:pStyle w:val="SmallBodyText"/>
                      </w:pPr>
                      <w:r w:rsidRPr="00D22FA4">
                        <w:t>We acknowledge and respect Victorian Traditional Owners as the original custodians of Victoria’s land and waters, their unique ability to care for Country and deep spiritual connection to it.</w:t>
                      </w:r>
                    </w:p>
                    <w:p w14:paraId="71D7DF70" w14:textId="77777777" w:rsidR="00BE1C3D" w:rsidRPr="00D22FA4" w:rsidRDefault="00BE1C3D" w:rsidP="001E3BCB">
                      <w:pPr>
                        <w:pStyle w:val="SmallBodyText"/>
                      </w:pPr>
                      <w:r w:rsidRPr="00D22FA4">
                        <w:t>We honour Elders past and present whose knowledge and wisdom has ensured the continuation of culture and traditional practices.</w:t>
                      </w:r>
                    </w:p>
                    <w:p w14:paraId="01A3C66D" w14:textId="77777777" w:rsidR="00BE1C3D" w:rsidRPr="00D22FA4" w:rsidRDefault="00BE1C3D" w:rsidP="001E3BCB">
                      <w:pPr>
                        <w:pStyle w:val="SmallBodyText"/>
                      </w:pPr>
                      <w:r w:rsidRPr="00D22FA4">
                        <w:t>DEECA is committed to genuinely partnering with Victorian Traditional Owners and Victoria’s Aboriginal community to progress their aspirations.</w:t>
                      </w:r>
                    </w:p>
                  </w:txbxContent>
                </v:textbox>
                <w10:anchorlock/>
              </v:shape>
            </w:pict>
          </mc:Fallback>
        </mc:AlternateContent>
      </w:r>
      <w:r>
        <w:rPr>
          <w:noProof/>
        </w:rPr>
        <w:drawing>
          <wp:anchor distT="0" distB="0" distL="114300" distR="114300" simplePos="0" relativeHeight="251675648" behindDoc="1" locked="1" layoutInCell="1" allowOverlap="1" wp14:anchorId="7EE1D95E" wp14:editId="395CDB04">
            <wp:simplePos x="0" y="0"/>
            <wp:positionH relativeFrom="page">
              <wp:posOffset>7795260</wp:posOffset>
            </wp:positionH>
            <wp:positionV relativeFrom="paragraph">
              <wp:posOffset>82550</wp:posOffset>
            </wp:positionV>
            <wp:extent cx="1825200" cy="1112400"/>
            <wp:effectExtent l="0" t="0" r="3810" b="0"/>
            <wp:wrapNone/>
            <wp:docPr id="74" name="Picture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Acknowledgement Artwork">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1825200" cy="1112400"/>
                    </a:xfrm>
                    <a:prstGeom prst="rect">
                      <a:avLst/>
                    </a:prstGeom>
                  </pic:spPr>
                </pic:pic>
              </a:graphicData>
            </a:graphic>
            <wp14:sizeRelH relativeFrom="page">
              <wp14:pctWidth>0</wp14:pctWidth>
            </wp14:sizeRelH>
            <wp14:sizeRelV relativeFrom="page">
              <wp14:pctHeight>0</wp14:pctHeight>
            </wp14:sizeRelV>
          </wp:anchor>
        </w:drawing>
      </w:r>
      <w:r>
        <w:tab/>
      </w:r>
    </w:p>
    <w:p w14:paraId="0428F4BC" w14:textId="205C8CC5" w:rsidR="006614E4" w:rsidRPr="006614E4" w:rsidRDefault="006614E4" w:rsidP="00A52913">
      <w:pPr>
        <w:pStyle w:val="DisclaimerTextLeft"/>
        <w:framePr w:wrap="around"/>
      </w:pPr>
      <w:r w:rsidRPr="00576720">
        <w:t>©</w:t>
      </w:r>
      <w:bookmarkStart w:id="2" w:name="_Copyright"/>
      <w:bookmarkEnd w:id="2"/>
      <w:r w:rsidRPr="00576720">
        <w:t xml:space="preserve"> The State </w:t>
      </w:r>
      <w:r w:rsidRPr="006614E4">
        <w:t xml:space="preserve">of Victoria Department of </w:t>
      </w:r>
      <w:r w:rsidR="002A4F2A">
        <w:t xml:space="preserve">Energy, </w:t>
      </w:r>
      <w:r w:rsidRPr="006614E4">
        <w:t>Environment</w:t>
      </w:r>
      <w:r w:rsidR="002A4F2A">
        <w:t xml:space="preserve"> a</w:t>
      </w:r>
      <w:r w:rsidRPr="006614E4">
        <w:t xml:space="preserve">nd </w:t>
      </w:r>
      <w:r w:rsidR="002A4F2A">
        <w:t>Climate Action</w:t>
      </w:r>
      <w:r w:rsidRPr="006614E4">
        <w:t xml:space="preserve"> </w:t>
      </w:r>
      <w:r w:rsidR="00277125">
        <w:t>December 2023</w:t>
      </w:r>
    </w:p>
    <w:p w14:paraId="324185A6" w14:textId="77777777" w:rsidR="00740ECE" w:rsidRPr="00C87F39" w:rsidRDefault="00740ECE" w:rsidP="00740ECE">
      <w:pPr>
        <w:pStyle w:val="DisclaimerTextLeftBold"/>
        <w:framePr w:wrap="around"/>
      </w:pPr>
      <w:bookmarkStart w:id="3" w:name="_CreativeCommonsMarker"/>
      <w:bookmarkStart w:id="4" w:name="_CreativeCommonsContent"/>
      <w:bookmarkEnd w:id="1"/>
      <w:bookmarkEnd w:id="3"/>
      <w:r w:rsidRPr="00C87F39">
        <w:t>Creative Commons</w:t>
      </w:r>
    </w:p>
    <w:p w14:paraId="16B0F15F" w14:textId="77777777" w:rsidR="00740ECE" w:rsidRPr="00973D7E" w:rsidRDefault="00740ECE" w:rsidP="00740ECE">
      <w:pPr>
        <w:pStyle w:val="DisclaimerTextLeft"/>
        <w:framePr w:wrap="around"/>
        <w:rPr>
          <w:rFonts w:ascii="Arial Bold" w:hAnsi="Arial Bold"/>
        </w:rPr>
      </w:pPr>
      <w:r w:rsidRPr="00973D7E">
        <w:t xml:space="preserve">This work is licensed under a Creative Commons Attribution 4.0 International licence, visit the </w:t>
      </w:r>
      <w:hyperlink r:id="rId15" w:tooltip="Creative Commons website" w:history="1">
        <w:r w:rsidRPr="00973D7E">
          <w:rPr>
            <w:rStyle w:val="Hyperlink"/>
            <w:color w:val="232222" w:themeColor="text1"/>
          </w:rPr>
          <w:t>Creative Commons website</w:t>
        </w:r>
      </w:hyperlink>
      <w:r w:rsidRPr="00973D7E">
        <w:t xml:space="preserve"> (</w:t>
      </w:r>
      <w:hyperlink r:id="rId16" w:history="1">
        <w:r w:rsidRPr="00973D7E">
          <w:rPr>
            <w:rStyle w:val="Hyperlink"/>
            <w:color w:val="232222" w:themeColor="text1"/>
            <w:u w:val="none"/>
          </w:rPr>
          <w:t>http://creativecommons.org/licenses/by/4.0/</w:t>
        </w:r>
      </w:hyperlink>
      <w:r w:rsidRPr="00973D7E">
        <w:t>).</w:t>
      </w:r>
    </w:p>
    <w:p w14:paraId="1D28889B" w14:textId="77777777" w:rsidR="00740ECE" w:rsidRPr="00973D7E" w:rsidRDefault="00740ECE" w:rsidP="00740ECE">
      <w:pPr>
        <w:pStyle w:val="DisclaimerTextLeft"/>
        <w:framePr w:wrap="around"/>
        <w:rPr>
          <w:strike/>
        </w:rPr>
      </w:pPr>
      <w:r w:rsidRPr="00973D7E">
        <w:t xml:space="preserve">You are free to re-use the work under that licence, on the condition that you credit the State of Victoria as author. The licence does not apply to any images, </w:t>
      </w:r>
      <w:proofErr w:type="gramStart"/>
      <w:r w:rsidRPr="00973D7E">
        <w:t>photographs</w:t>
      </w:r>
      <w:proofErr w:type="gramEnd"/>
      <w:r w:rsidRPr="00973D7E">
        <w:t xml:space="preserve"> or branding, including the Victorian Coat of Arms, and the Victorian Government and Department logos.</w:t>
      </w:r>
    </w:p>
    <w:p w14:paraId="370D538A" w14:textId="771C4208" w:rsidR="00740ECE" w:rsidRPr="006614E4" w:rsidRDefault="00740ECE" w:rsidP="00740ECE">
      <w:pPr>
        <w:pStyle w:val="DisclaimerTextLeft"/>
        <w:framePr w:wrap="around"/>
      </w:pPr>
      <w:r w:rsidRPr="00F15EE0">
        <w:t>ISBN</w:t>
      </w:r>
      <w:r w:rsidRPr="006614E4">
        <w:t xml:space="preserve"> </w:t>
      </w:r>
      <w:r w:rsidR="0072298E">
        <w:rPr>
          <w:rFonts w:ascii="Arial" w:hAnsi="Arial"/>
          <w:color w:val="000000"/>
        </w:rPr>
        <w:t>978-1-76136-536-2</w:t>
      </w:r>
      <w:r w:rsidRPr="006614E4">
        <w:t xml:space="preserve"> (pdf)</w:t>
      </w:r>
      <w:r w:rsidR="00D30593">
        <w:t xml:space="preserve"> </w:t>
      </w:r>
    </w:p>
    <w:p w14:paraId="154A9593" w14:textId="77777777" w:rsidR="00740ECE" w:rsidRPr="00C87F39" w:rsidRDefault="00740ECE" w:rsidP="00740ECE">
      <w:pPr>
        <w:pStyle w:val="DisclaimerTextRightBold"/>
        <w:framePr w:wrap="around"/>
      </w:pPr>
      <w:r w:rsidRPr="00C87F39">
        <w:t>Disclaimer</w:t>
      </w:r>
    </w:p>
    <w:p w14:paraId="6958E3F8" w14:textId="77777777" w:rsidR="00740ECE" w:rsidRPr="006614E4" w:rsidRDefault="00740ECE" w:rsidP="000957C3">
      <w:pPr>
        <w:pStyle w:val="DisclaimerTextRight"/>
        <w:framePr w:wrap="around"/>
      </w:pPr>
      <w:r w:rsidRPr="006614E4">
        <w:t xml:space="preserve">This </w:t>
      </w:r>
      <w:r w:rsidRPr="00CB1C0B">
        <w:t xml:space="preserve">publication may be of assistance to </w:t>
      </w:r>
      <w:proofErr w:type="gramStart"/>
      <w:r w:rsidRPr="00CB1C0B">
        <w:t>you</w:t>
      </w:r>
      <w:proofErr w:type="gramEnd"/>
      <w:r w:rsidRPr="00CB1C0B">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r w:rsidRPr="006614E4">
        <w:t>.</w:t>
      </w:r>
    </w:p>
    <w:p w14:paraId="122E8A72" w14:textId="77777777" w:rsidR="00740ECE" w:rsidRPr="00F15EE0" w:rsidRDefault="00740ECE" w:rsidP="00E4201F">
      <w:pPr>
        <w:pStyle w:val="DisclaimerTextRightBold12pt"/>
        <w:framePr w:wrap="around"/>
      </w:pPr>
      <w:r w:rsidRPr="00F15EE0">
        <w:t>Accessibility</w:t>
      </w:r>
    </w:p>
    <w:p w14:paraId="1E81F9BA" w14:textId="0D8D25D2" w:rsidR="00740ECE" w:rsidRPr="000B497E" w:rsidRDefault="00740ECE" w:rsidP="00740ECE">
      <w:pPr>
        <w:pStyle w:val="DisclaimerTextRight12pt"/>
        <w:framePr w:wrap="around"/>
      </w:pPr>
      <w:r w:rsidRPr="00CB1C0B">
        <w:t xml:space="preserve">To receive this document in an alternative format, phone the Customer Service Centre on 136 186, email </w:t>
      </w:r>
      <w:hyperlink r:id="rId17" w:history="1">
        <w:r w:rsidRPr="00CB1C0B">
          <w:rPr>
            <w:rStyle w:val="Hyperlink"/>
            <w:color w:val="232222" w:themeColor="text1"/>
            <w:szCs w:val="24"/>
          </w:rPr>
          <w:t>customer.service@delwp.vic.gov.au</w:t>
        </w:r>
      </w:hyperlink>
      <w:r w:rsidRPr="00CB1C0B">
        <w:t xml:space="preserve">, or contact National Relay Service on 133 677. Available at </w:t>
      </w:r>
      <w:hyperlink r:id="rId18" w:tooltip="Department of Energy, Environment and Climate Action website" w:history="1">
        <w:r w:rsidRPr="00CB1C0B">
          <w:rPr>
            <w:rStyle w:val="Hyperlink"/>
            <w:color w:val="232222" w:themeColor="text1"/>
            <w:szCs w:val="24"/>
          </w:rPr>
          <w:t>DEECA website</w:t>
        </w:r>
      </w:hyperlink>
      <w:r w:rsidRPr="00CB1C0B">
        <w:t xml:space="preserve"> (www.deeca.vic.gov.au)</w:t>
      </w:r>
      <w:r w:rsidRPr="000B497E">
        <w:t>.</w:t>
      </w:r>
      <w:r>
        <w:t xml:space="preserve"> </w:t>
      </w:r>
      <w:bookmarkEnd w:id="4"/>
    </w:p>
    <w:p w14:paraId="7B5624E4" w14:textId="77777777" w:rsidR="00233D6B" w:rsidRDefault="00233D6B">
      <w:pPr>
        <w:sectPr w:rsidR="00233D6B" w:rsidSect="00BE1C3D">
          <w:pgSz w:w="16839" w:h="11907" w:orient="landscape" w:code="9"/>
          <w:pgMar w:top="737" w:right="850" w:bottom="850" w:left="850" w:header="283" w:footer="283" w:gutter="0"/>
          <w:cols w:space="454"/>
          <w:noEndnote/>
          <w:titlePg/>
          <w:docGrid w:linePitch="360"/>
        </w:sectPr>
      </w:pPr>
    </w:p>
    <w:p w14:paraId="4B89FFA8" w14:textId="77777777" w:rsidR="009774BA" w:rsidRPr="0013641B" w:rsidRDefault="009774BA" w:rsidP="009569CB">
      <w:pPr>
        <w:pStyle w:val="Heading2"/>
        <w:rPr>
          <w:rFonts w:ascii="Calibri" w:hAnsi="Calibri" w:cs="Calibri"/>
          <w:bCs w:val="0"/>
          <w:spacing w:val="-4"/>
          <w:sz w:val="40"/>
          <w:szCs w:val="40"/>
        </w:rPr>
      </w:pPr>
      <w:bookmarkStart w:id="5" w:name="_Toc480840153"/>
      <w:bookmarkStart w:id="6" w:name="_Toc480840216"/>
      <w:bookmarkStart w:id="7" w:name="_Toc4060450"/>
      <w:bookmarkStart w:id="8" w:name="_Toc132706727"/>
      <w:bookmarkStart w:id="9" w:name="_Toc132706772"/>
      <w:bookmarkStart w:id="10" w:name="_Toc132706782"/>
      <w:bookmarkStart w:id="11" w:name="_Toc132706790"/>
      <w:bookmarkStart w:id="12" w:name="_Toc132706797"/>
      <w:bookmarkStart w:id="13" w:name="_Toc132706836"/>
      <w:bookmarkStart w:id="14" w:name="_Toc132707235"/>
      <w:bookmarkStart w:id="15" w:name="_Toc132707326"/>
      <w:bookmarkStart w:id="16" w:name="_Toc132707346"/>
      <w:bookmarkStart w:id="17" w:name="_Toc132707430"/>
      <w:bookmarkStart w:id="18" w:name="_Toc132707471"/>
      <w:bookmarkStart w:id="19" w:name="_Toc132707653"/>
      <w:bookmarkStart w:id="20" w:name="_Toc132707672"/>
      <w:bookmarkStart w:id="21" w:name="_Toc132815936"/>
      <w:bookmarkStart w:id="22" w:name="_Toc134709146"/>
      <w:r w:rsidRPr="0013641B">
        <w:rPr>
          <w:rFonts w:ascii="Calibri" w:hAnsi="Calibri" w:cs="Calibri"/>
          <w:bCs w:val="0"/>
          <w:spacing w:val="-4"/>
          <w:sz w:val="40"/>
          <w:szCs w:val="40"/>
        </w:rPr>
        <w:lastRenderedPageBreak/>
        <w:t>Safer Electricity and Gas Networks in Victoria</w:t>
      </w:r>
    </w:p>
    <w:p w14:paraId="02AB0070" w14:textId="77777777" w:rsidR="006A777D" w:rsidRDefault="006A777D" w:rsidP="006B6637">
      <w:pPr>
        <w:keepNext/>
        <w:keepLines/>
        <w:tabs>
          <w:tab w:val="left" w:pos="1418"/>
          <w:tab w:val="left" w:pos="1701"/>
          <w:tab w:val="left" w:pos="1985"/>
        </w:tabs>
        <w:spacing w:before="240" w:after="100" w:line="260" w:lineRule="exact"/>
        <w:outlineLvl w:val="1"/>
        <w:rPr>
          <w:rFonts w:ascii="Calibri" w:hAnsi="Calibri"/>
          <w:color w:val="000000"/>
          <w:lang w:eastAsia="en-US"/>
        </w:rPr>
        <w:sectPr w:rsidR="006A777D" w:rsidSect="00BE1C3D">
          <w:headerReference w:type="default" r:id="rId19"/>
          <w:footerReference w:type="even" r:id="rId20"/>
          <w:footerReference w:type="default" r:id="rId21"/>
          <w:footerReference w:type="first" r:id="rId22"/>
          <w:pgSz w:w="16839" w:h="11907" w:orient="landscape" w:code="9"/>
          <w:pgMar w:top="1134" w:right="1134" w:bottom="1134" w:left="1134" w:header="283" w:footer="283" w:gutter="0"/>
          <w:cols w:space="720"/>
          <w:noEndnote/>
          <w:docGrid w:linePitch="360"/>
        </w:sectPr>
      </w:pPr>
      <w:bookmarkStart w:id="23" w:name="_Toc132706728"/>
      <w:bookmarkStart w:id="24" w:name="_Toc132706773"/>
      <w:bookmarkStart w:id="25" w:name="_Toc132706783"/>
      <w:bookmarkStart w:id="26" w:name="_Toc132706791"/>
      <w:bookmarkStart w:id="27" w:name="_Toc132706798"/>
      <w:bookmarkStart w:id="28" w:name="_Toc132706837"/>
      <w:bookmarkStart w:id="29" w:name="_Toc132707236"/>
      <w:bookmarkStart w:id="30" w:name="_Toc132707347"/>
      <w:bookmarkStart w:id="31" w:name="_Toc132707654"/>
      <w:bookmarkStart w:id="32" w:name="_Toc132707673"/>
      <w:bookmarkStart w:id="33" w:name="_Toc132815937"/>
      <w:bookmarkStart w:id="34" w:name="_Toc134709147"/>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C6CD606" w14:textId="77777777" w:rsidR="006B6637" w:rsidRPr="006B6637" w:rsidRDefault="006B6637" w:rsidP="006B6637">
      <w:pPr>
        <w:keepNext/>
        <w:keepLines/>
        <w:tabs>
          <w:tab w:val="left" w:pos="1418"/>
          <w:tab w:val="left" w:pos="1701"/>
          <w:tab w:val="left" w:pos="1985"/>
        </w:tabs>
        <w:spacing w:before="240" w:after="100" w:line="260" w:lineRule="exact"/>
        <w:outlineLvl w:val="1"/>
        <w:rPr>
          <w:rFonts w:ascii="Calibri" w:hAnsi="Calibri" w:cs="Calibri"/>
          <w:color w:val="000000"/>
          <w:lang w:eastAsia="en-US"/>
        </w:rPr>
      </w:pPr>
      <w:r w:rsidRPr="006B6637">
        <w:rPr>
          <w:rFonts w:ascii="Calibri" w:hAnsi="Calibri" w:cs="Calibri"/>
          <w:color w:val="000000"/>
          <w:lang w:eastAsia="en-US"/>
        </w:rPr>
        <w:t>In 2017, the then Minister for Energy, Environment and Climate Change announced an independent Review of Victoria’s Electricity Network Safety Framework (the Review), to be chaired by Dr Paul Grimes. The Review was subsequently expanded to include Victoria’s gas network safety framework.</w:t>
      </w:r>
    </w:p>
    <w:p w14:paraId="565B8ED7" w14:textId="77777777" w:rsidR="006B6637" w:rsidRPr="006B6637" w:rsidRDefault="006B6637" w:rsidP="006B6637">
      <w:pPr>
        <w:keepNext/>
        <w:keepLines/>
        <w:tabs>
          <w:tab w:val="left" w:pos="1418"/>
          <w:tab w:val="left" w:pos="1701"/>
          <w:tab w:val="left" w:pos="1985"/>
        </w:tabs>
        <w:spacing w:before="240" w:after="100" w:line="260" w:lineRule="exact"/>
        <w:outlineLvl w:val="1"/>
        <w:rPr>
          <w:rFonts w:ascii="Calibri" w:hAnsi="Calibri" w:cs="Calibri"/>
          <w:color w:val="000000"/>
          <w:lang w:eastAsia="en-US"/>
        </w:rPr>
      </w:pPr>
      <w:r w:rsidRPr="006B6637">
        <w:rPr>
          <w:rFonts w:ascii="Calibri" w:hAnsi="Calibri" w:cs="Calibri"/>
          <w:color w:val="000000"/>
          <w:lang w:eastAsia="en-US"/>
        </w:rPr>
        <w:t>The Review made 43 recommendations representing a significant reform agenda. Several major recommendations focused on strengthening the regulatory approach of Energy Safe Victoria (ESV), Victoria’s technical and safety regulator for electricity, gas, and pipelines. The Government Response to the Review, released in August 2018, supported 42 of the 43 recommendations (either in full or in principle).</w:t>
      </w:r>
    </w:p>
    <w:p w14:paraId="1183AA6C" w14:textId="4A9A9219" w:rsidR="006B6637" w:rsidRPr="006B6637" w:rsidRDefault="006B6637" w:rsidP="006B6637">
      <w:pPr>
        <w:spacing w:before="60"/>
        <w:rPr>
          <w:rFonts w:ascii="Calibri" w:hAnsi="Calibri" w:cs="Calibri"/>
          <w:color w:val="000000"/>
          <w:lang w:eastAsia="en-US"/>
        </w:rPr>
      </w:pPr>
      <w:r w:rsidRPr="006B6637">
        <w:rPr>
          <w:rFonts w:ascii="Calibri" w:hAnsi="Calibri" w:cs="Calibri"/>
          <w:color w:val="000000"/>
          <w:lang w:eastAsia="en-US"/>
        </w:rPr>
        <w:t xml:space="preserve">This report provides a final update on the implementation of the 2018 reform agenda. </w:t>
      </w:r>
      <w:r w:rsidRPr="006B6637" w:rsidDel="00165089">
        <w:rPr>
          <w:rFonts w:ascii="Calibri" w:hAnsi="Calibri" w:cs="Calibri"/>
          <w:color w:val="000000"/>
          <w:lang w:eastAsia="en-US"/>
        </w:rPr>
        <w:t>Detail</w:t>
      </w:r>
      <w:r w:rsidRPr="006B6637">
        <w:rPr>
          <w:rFonts w:ascii="Calibri" w:hAnsi="Calibri" w:cs="Calibri"/>
          <w:color w:val="000000"/>
          <w:lang w:eastAsia="en-US"/>
        </w:rPr>
        <w:t>s</w:t>
      </w:r>
      <w:r w:rsidRPr="006B6637" w:rsidDel="00165089">
        <w:rPr>
          <w:rFonts w:ascii="Calibri" w:hAnsi="Calibri" w:cs="Calibri"/>
          <w:color w:val="000000"/>
          <w:lang w:eastAsia="en-US"/>
        </w:rPr>
        <w:t xml:space="preserve"> on activities can be found in the pages that follow.</w:t>
      </w:r>
      <w:r w:rsidRPr="006B6637">
        <w:rPr>
          <w:rFonts w:ascii="Calibri" w:hAnsi="Calibri" w:cs="Calibri"/>
          <w:color w:val="000000"/>
          <w:lang w:eastAsia="en-US"/>
        </w:rPr>
        <w:t xml:space="preserve"> </w:t>
      </w:r>
      <w:r w:rsidR="00114A03" w:rsidRPr="000517A4">
        <w:rPr>
          <w:rFonts w:ascii="Calibri" w:hAnsi="Calibri" w:cs="Calibri"/>
          <w:color w:val="000000"/>
          <w:lang w:eastAsia="en-US"/>
        </w:rPr>
        <w:t xml:space="preserve"> Recommendation 2</w:t>
      </w:r>
      <w:r w:rsidRPr="006B6637">
        <w:rPr>
          <w:rFonts w:ascii="Calibri" w:hAnsi="Calibri" w:cs="Calibri"/>
          <w:color w:val="000000"/>
          <w:lang w:eastAsia="en-US"/>
        </w:rPr>
        <w:t xml:space="preserve"> was not supported; </w:t>
      </w:r>
      <w:r w:rsidR="00114A03" w:rsidRPr="000517A4">
        <w:rPr>
          <w:rFonts w:ascii="Calibri" w:hAnsi="Calibri" w:cs="Calibri"/>
          <w:color w:val="000000"/>
          <w:lang w:eastAsia="en-US"/>
        </w:rPr>
        <w:t>therefore,</w:t>
      </w:r>
      <w:r w:rsidRPr="006B6637">
        <w:rPr>
          <w:rFonts w:ascii="Calibri" w:hAnsi="Calibri" w:cs="Calibri"/>
          <w:color w:val="000000"/>
          <w:lang w:eastAsia="en-US"/>
        </w:rPr>
        <w:t xml:space="preserve"> it is not addressed in this update. </w:t>
      </w:r>
    </w:p>
    <w:p w14:paraId="032D9C52" w14:textId="77777777" w:rsidR="006B6637" w:rsidRPr="006B6637" w:rsidRDefault="006B6637" w:rsidP="006B6637">
      <w:pPr>
        <w:spacing w:before="60"/>
        <w:rPr>
          <w:rFonts w:ascii="Calibri" w:hAnsi="Calibri" w:cs="Calibri"/>
          <w:color w:val="000000"/>
        </w:rPr>
      </w:pPr>
      <w:r w:rsidRPr="006B6637">
        <w:rPr>
          <w:rFonts w:ascii="Calibri" w:hAnsi="Calibri" w:cs="Calibri"/>
          <w:color w:val="000000"/>
          <w:lang w:eastAsia="en-US"/>
        </w:rPr>
        <w:t xml:space="preserve">In 2022, the Victorian Government announced that it would undertake an Energy Safety Review to ensure safety settings are keeping pace with emerging technologies, to protect worker and community safety. The Energy Safety Review will build on the foundations of the Grimes review and the 2018 reform agenda. </w:t>
      </w:r>
    </w:p>
    <w:bookmarkEnd w:id="23"/>
    <w:bookmarkEnd w:id="24"/>
    <w:bookmarkEnd w:id="25"/>
    <w:bookmarkEnd w:id="26"/>
    <w:bookmarkEnd w:id="27"/>
    <w:bookmarkEnd w:id="28"/>
    <w:bookmarkEnd w:id="29"/>
    <w:bookmarkEnd w:id="30"/>
    <w:bookmarkEnd w:id="31"/>
    <w:bookmarkEnd w:id="32"/>
    <w:bookmarkEnd w:id="33"/>
    <w:bookmarkEnd w:id="34"/>
    <w:p w14:paraId="7FB37944" w14:textId="77777777" w:rsidR="001109F2" w:rsidRPr="000517A4" w:rsidRDefault="001109F2" w:rsidP="007D4891">
      <w:pPr>
        <w:rPr>
          <w:rFonts w:ascii="Calibri" w:eastAsiaTheme="majorEastAsia" w:hAnsi="Calibri" w:cs="Calibri"/>
          <w:b/>
          <w:bCs/>
          <w:color w:val="201547" w:themeColor="text2"/>
          <w:spacing w:val="-2"/>
          <w:sz w:val="24"/>
          <w:szCs w:val="24"/>
        </w:rPr>
      </w:pPr>
      <w:r w:rsidRPr="000517A4">
        <w:rPr>
          <w:rFonts w:ascii="Calibri" w:eastAsiaTheme="majorEastAsia" w:hAnsi="Calibri" w:cs="Calibri"/>
          <w:b/>
          <w:bCs/>
          <w:color w:val="201547" w:themeColor="text2"/>
          <w:spacing w:val="-2"/>
          <w:sz w:val="24"/>
          <w:szCs w:val="24"/>
        </w:rPr>
        <w:t>Implementation Update</w:t>
      </w:r>
    </w:p>
    <w:p w14:paraId="07A60FFE" w14:textId="77777777" w:rsidR="00993B2B" w:rsidRPr="00993B2B" w:rsidRDefault="00993B2B" w:rsidP="00993B2B">
      <w:pPr>
        <w:spacing w:before="60"/>
        <w:rPr>
          <w:rFonts w:ascii="Calibri" w:hAnsi="Calibri" w:cs="Calibri"/>
          <w:color w:val="000000"/>
          <w:lang w:eastAsia="en-US"/>
        </w:rPr>
      </w:pPr>
      <w:r w:rsidRPr="00993B2B">
        <w:rPr>
          <w:rFonts w:ascii="Calibri" w:hAnsi="Calibri" w:cs="Calibri"/>
          <w:color w:val="000000"/>
          <w:lang w:eastAsia="en-US"/>
        </w:rPr>
        <w:t xml:space="preserve">Implementation of the </w:t>
      </w:r>
      <w:r w:rsidRPr="00993B2B" w:rsidDel="00165089">
        <w:rPr>
          <w:rFonts w:ascii="Calibri" w:hAnsi="Calibri" w:cs="Calibri"/>
          <w:color w:val="000000"/>
          <w:lang w:eastAsia="en-US"/>
        </w:rPr>
        <w:t xml:space="preserve">reform agenda </w:t>
      </w:r>
      <w:r w:rsidRPr="00993B2B">
        <w:rPr>
          <w:rFonts w:ascii="Calibri" w:hAnsi="Calibri" w:cs="Calibri"/>
          <w:color w:val="000000"/>
          <w:lang w:eastAsia="en-US"/>
        </w:rPr>
        <w:t>has significantly progressed</w:t>
      </w:r>
      <w:r w:rsidRPr="00993B2B" w:rsidDel="00165089">
        <w:rPr>
          <w:rFonts w:ascii="Calibri" w:hAnsi="Calibri" w:cs="Calibri"/>
          <w:color w:val="000000"/>
          <w:lang w:eastAsia="en-US"/>
        </w:rPr>
        <w:t xml:space="preserve">. </w:t>
      </w:r>
    </w:p>
    <w:p w14:paraId="08C04211" w14:textId="77777777" w:rsidR="00993B2B" w:rsidRPr="00993B2B" w:rsidRDefault="00993B2B" w:rsidP="00993B2B">
      <w:pPr>
        <w:spacing w:before="60"/>
        <w:rPr>
          <w:rFonts w:ascii="Calibri" w:hAnsi="Calibri" w:cs="Calibri"/>
          <w:color w:val="000000"/>
          <w:lang w:eastAsia="en-US"/>
        </w:rPr>
      </w:pPr>
      <w:r w:rsidRPr="00993B2B">
        <w:rPr>
          <w:rFonts w:ascii="Calibri" w:hAnsi="Calibri" w:cs="Calibri"/>
          <w:color w:val="000000"/>
          <w:lang w:eastAsia="en-US"/>
        </w:rPr>
        <w:t xml:space="preserve">Of the 42 recommendations supported by government: </w:t>
      </w:r>
    </w:p>
    <w:p w14:paraId="52B341E5" w14:textId="77777777" w:rsidR="00993B2B" w:rsidRPr="00993B2B" w:rsidRDefault="00993B2B" w:rsidP="00993B2B">
      <w:pPr>
        <w:numPr>
          <w:ilvl w:val="0"/>
          <w:numId w:val="40"/>
        </w:numPr>
        <w:spacing w:before="60" w:after="0"/>
        <w:rPr>
          <w:rFonts w:ascii="Calibri" w:hAnsi="Calibri" w:cs="Calibri"/>
          <w:color w:val="000000"/>
          <w:lang w:eastAsia="en-US"/>
        </w:rPr>
      </w:pPr>
      <w:r w:rsidRPr="00993B2B">
        <w:rPr>
          <w:rFonts w:ascii="Calibri" w:hAnsi="Calibri" w:cs="Calibri"/>
          <w:color w:val="000000"/>
          <w:lang w:eastAsia="en-US"/>
        </w:rPr>
        <w:t>32 are complete (30 completed since the 2019 update)</w:t>
      </w:r>
    </w:p>
    <w:p w14:paraId="41F3BF1D" w14:textId="77777777" w:rsidR="00993B2B" w:rsidRPr="00993B2B" w:rsidRDefault="00993B2B" w:rsidP="00993B2B">
      <w:pPr>
        <w:numPr>
          <w:ilvl w:val="0"/>
          <w:numId w:val="40"/>
        </w:numPr>
        <w:spacing w:before="60" w:after="0"/>
        <w:rPr>
          <w:rFonts w:ascii="Calibri" w:hAnsi="Calibri" w:cs="Calibri"/>
          <w:color w:val="000000"/>
          <w:lang w:eastAsia="en-US"/>
        </w:rPr>
      </w:pPr>
      <w:r w:rsidRPr="00993B2B">
        <w:rPr>
          <w:rFonts w:ascii="Calibri" w:hAnsi="Calibri" w:cs="Calibri"/>
          <w:color w:val="000000"/>
          <w:lang w:eastAsia="en-US"/>
        </w:rPr>
        <w:t>10 are on track for completion (during 2023 to 2026)</w:t>
      </w:r>
    </w:p>
    <w:p w14:paraId="3EF79BF8" w14:textId="77777777" w:rsidR="00993B2B" w:rsidRPr="00993B2B" w:rsidRDefault="00993B2B" w:rsidP="00993B2B">
      <w:pPr>
        <w:spacing w:before="60"/>
        <w:rPr>
          <w:rFonts w:ascii="Calibri" w:hAnsi="Calibri" w:cs="Calibri"/>
          <w:color w:val="000000"/>
          <w:lang w:eastAsia="en-US"/>
        </w:rPr>
      </w:pPr>
      <w:r w:rsidRPr="00993B2B">
        <w:rPr>
          <w:rFonts w:ascii="Calibri" w:hAnsi="Calibri" w:cs="Calibri"/>
          <w:color w:val="000000"/>
          <w:lang w:eastAsia="en-US"/>
        </w:rPr>
        <w:t xml:space="preserve">The key achievement since the last update is the passage of legislation through the Victorian Parliament, to reform the governance structure of ESV from a single director-led model to a three-person Commission (recommendation 1). This change, via the </w:t>
      </w:r>
      <w:r w:rsidRPr="00993B2B">
        <w:rPr>
          <w:rFonts w:ascii="Calibri" w:hAnsi="Calibri" w:cs="Calibri"/>
          <w:i/>
          <w:iCs/>
          <w:color w:val="000000"/>
          <w:lang w:eastAsia="en-US"/>
        </w:rPr>
        <w:t xml:space="preserve">Energy Safety Legislation Amendment (Victorian Energy Safety Commission and Other Matters) Act 2020 </w:t>
      </w:r>
      <w:r w:rsidRPr="00993B2B">
        <w:rPr>
          <w:rFonts w:ascii="Calibri" w:hAnsi="Calibri" w:cs="Calibri"/>
          <w:color w:val="000000"/>
          <w:lang w:eastAsia="en-US"/>
        </w:rPr>
        <w:t>(the Act), was a recommendation that the Victorian Government Response to the Review supported in-principle.</w:t>
      </w:r>
    </w:p>
    <w:p w14:paraId="3C274A2B" w14:textId="77777777" w:rsidR="00993B2B" w:rsidRPr="00993B2B" w:rsidRDefault="00993B2B" w:rsidP="00993B2B">
      <w:pPr>
        <w:spacing w:before="60"/>
        <w:rPr>
          <w:rFonts w:ascii="Calibri" w:hAnsi="Calibri" w:cs="Calibri"/>
          <w:color w:val="000000"/>
          <w:lang w:eastAsia="en-US"/>
        </w:rPr>
      </w:pPr>
      <w:r w:rsidRPr="00993B2B">
        <w:rPr>
          <w:rFonts w:ascii="Calibri" w:hAnsi="Calibri" w:cs="Calibri"/>
          <w:color w:val="000000"/>
          <w:lang w:eastAsia="en-US"/>
        </w:rPr>
        <w:t>The Commission commenced on 1 January 2021 with all powers previously held by the Director of Energy Safety, transferred to the three Commissioners who are supported by a Chief Executive Officer (CEO), and a Technical Advisory Committee.</w:t>
      </w:r>
    </w:p>
    <w:p w14:paraId="327235A1" w14:textId="77777777" w:rsidR="006A777D" w:rsidRPr="006A777D" w:rsidRDefault="006A777D" w:rsidP="006A777D">
      <w:pPr>
        <w:spacing w:before="60"/>
        <w:rPr>
          <w:rFonts w:ascii="Calibri" w:hAnsi="Calibri" w:cs="Calibri"/>
          <w:color w:val="000000"/>
          <w:lang w:eastAsia="en-US"/>
        </w:rPr>
      </w:pPr>
      <w:r w:rsidRPr="006A777D">
        <w:rPr>
          <w:rFonts w:ascii="Calibri" w:hAnsi="Calibri" w:cs="Calibri"/>
          <w:color w:val="000000"/>
          <w:lang w:eastAsia="en-US"/>
        </w:rPr>
        <w:t xml:space="preserve">Collectively, the three commissioners have skills, qualifications, knowledge, and experience, in the fields of regulation, economics, law and community safety (as prescribed in the Act). The move to a three-person Commission strengthens ESV’s regulatory approach and decision-making by ensuring consideration of a wider range of perspectives and experience. </w:t>
      </w:r>
    </w:p>
    <w:p w14:paraId="62802898" w14:textId="77777777" w:rsidR="006A777D" w:rsidRPr="006A777D" w:rsidRDefault="006A777D" w:rsidP="006A777D">
      <w:pPr>
        <w:rPr>
          <w:rFonts w:ascii="Calibri" w:hAnsi="Calibri" w:cs="Calibri"/>
        </w:rPr>
      </w:pPr>
      <w:r w:rsidRPr="006A777D">
        <w:rPr>
          <w:rFonts w:ascii="Calibri" w:hAnsi="Calibri" w:cs="Calibri"/>
          <w:color w:val="000000"/>
        </w:rPr>
        <w:t>The Commission has taken a leadership role in ensuring implementation of the Review’s other recommendations within ESV’s responsibility</w:t>
      </w:r>
      <w:r w:rsidRPr="006A777D">
        <w:rPr>
          <w:rFonts w:ascii="Calibri" w:hAnsi="Calibri" w:cs="Calibri"/>
        </w:rPr>
        <w:t>; specifically, those relating to</w:t>
      </w:r>
      <w:r w:rsidRPr="006A777D">
        <w:rPr>
          <w:rFonts w:ascii="Calibri" w:hAnsi="Calibri" w:cs="Calibri"/>
          <w:color w:val="000000"/>
        </w:rPr>
        <w:t xml:space="preserve"> audits and inspections, enforcement, experience, and organisational reforms.</w:t>
      </w:r>
      <w:r w:rsidRPr="006A777D">
        <w:rPr>
          <w:rFonts w:ascii="Calibri" w:hAnsi="Calibri" w:cs="Calibri"/>
        </w:rPr>
        <w:t xml:space="preserve"> </w:t>
      </w:r>
    </w:p>
    <w:p w14:paraId="69A23784" w14:textId="77777777" w:rsidR="006A777D" w:rsidRPr="006A777D" w:rsidRDefault="006A777D" w:rsidP="006A777D">
      <w:pPr>
        <w:rPr>
          <w:rFonts w:ascii="Calibri" w:hAnsi="Calibri" w:cs="Calibri"/>
          <w:color w:val="000000"/>
        </w:rPr>
      </w:pPr>
      <w:r w:rsidRPr="006A777D">
        <w:rPr>
          <w:rFonts w:ascii="Calibri" w:hAnsi="Calibri" w:cs="Calibri"/>
          <w:color w:val="000000"/>
        </w:rPr>
        <w:t xml:space="preserve">The Department of Energy, Environment and Climate Action (DEECA) and ESV have worked closely together to implement the recommendations. This includes work to bolster the capability of ESV’s advisory bodies by the establishment of the Workforce Engagement Consultative Committee (recommendation 25), and the Future Trends Advisory Committee (recommendation 32). </w:t>
      </w:r>
    </w:p>
    <w:p w14:paraId="0F38BD2A" w14:textId="77777777" w:rsidR="006A777D" w:rsidRPr="006A777D" w:rsidRDefault="006A777D" w:rsidP="006A777D">
      <w:pPr>
        <w:rPr>
          <w:rFonts w:ascii="Calibri" w:hAnsi="Calibri" w:cs="Calibri"/>
          <w:color w:val="000000"/>
        </w:rPr>
      </w:pPr>
      <w:r w:rsidRPr="006A777D">
        <w:rPr>
          <w:rFonts w:ascii="Calibri" w:hAnsi="Calibri" w:cs="Calibri"/>
          <w:color w:val="000000"/>
        </w:rPr>
        <w:t>Additionally, ESV has strengthened its data and analytics capabilities and capacity, as well as its governance and reporting, and increased inspections of gas and electricity infrastructure (recommendations 6, 7, 8, 14, and 15). </w:t>
      </w:r>
    </w:p>
    <w:p w14:paraId="0EBDB18D" w14:textId="77777777" w:rsidR="006A777D" w:rsidRPr="006A777D" w:rsidRDefault="006A777D" w:rsidP="006A777D">
      <w:pPr>
        <w:spacing w:before="60"/>
        <w:rPr>
          <w:rFonts w:ascii="Calibri" w:hAnsi="Calibri" w:cs="Calibri"/>
          <w:color w:val="000000"/>
          <w:lang w:eastAsia="en-US"/>
        </w:rPr>
      </w:pPr>
      <w:r w:rsidRPr="006A777D">
        <w:rPr>
          <w:rFonts w:ascii="Calibri" w:hAnsi="Calibri" w:cs="Calibri"/>
          <w:color w:val="000000"/>
          <w:lang w:eastAsia="en-US"/>
        </w:rPr>
        <w:t xml:space="preserve">Other key achievements include the delivery of research and development to manage bushfire risk from electrical assets (recommendations 27 and 29), and the </w:t>
      </w:r>
      <w:r w:rsidRPr="006A777D">
        <w:rPr>
          <w:rFonts w:ascii="Calibri" w:hAnsi="Calibri" w:cs="Calibri"/>
          <w:lang w:eastAsia="en-US"/>
        </w:rPr>
        <w:t xml:space="preserve">Royal Assent </w:t>
      </w:r>
      <w:r w:rsidRPr="006A777D">
        <w:rPr>
          <w:rFonts w:ascii="Calibri" w:hAnsi="Calibri" w:cs="Calibri"/>
          <w:color w:val="000000"/>
          <w:lang w:eastAsia="en-US"/>
        </w:rPr>
        <w:t xml:space="preserve">of the </w:t>
      </w:r>
      <w:r w:rsidRPr="006A777D">
        <w:rPr>
          <w:rFonts w:ascii="Calibri" w:hAnsi="Calibri" w:cs="Calibri"/>
          <w:i/>
          <w:iCs/>
          <w:lang w:eastAsia="en-US"/>
        </w:rPr>
        <w:t>Energy Legislation Amendment (Energy Safety) Act 2023</w:t>
      </w:r>
      <w:r w:rsidRPr="006A777D">
        <w:rPr>
          <w:rFonts w:ascii="Calibri" w:hAnsi="Calibri" w:cs="Calibri"/>
          <w:lang w:eastAsia="en-US"/>
        </w:rPr>
        <w:t>,</w:t>
      </w:r>
      <w:r w:rsidRPr="006A777D">
        <w:rPr>
          <w:rFonts w:ascii="Calibri" w:hAnsi="Calibri" w:cs="Calibri"/>
          <w:i/>
          <w:iCs/>
          <w:lang w:eastAsia="en-US"/>
        </w:rPr>
        <w:t xml:space="preserve"> </w:t>
      </w:r>
      <w:r w:rsidRPr="006A777D">
        <w:rPr>
          <w:rFonts w:ascii="Calibri" w:hAnsi="Calibri" w:cs="Calibri"/>
          <w:lang w:eastAsia="en-US"/>
        </w:rPr>
        <w:t>which expands the range of compliance and enforcement tools provided in legislation, increases civil penalties, and strengthens and aligns general safety duties for various entities (recommendations 12, 13, 35, and 36).</w:t>
      </w:r>
    </w:p>
    <w:p w14:paraId="1E513808" w14:textId="77777777" w:rsidR="006A777D" w:rsidRPr="006A777D" w:rsidRDefault="006A777D" w:rsidP="006A777D">
      <w:pPr>
        <w:spacing w:before="60"/>
        <w:rPr>
          <w:rFonts w:ascii="Calibri" w:hAnsi="Calibri" w:cs="Calibri"/>
          <w:color w:val="000000"/>
          <w:lang w:eastAsia="en-US"/>
        </w:rPr>
      </w:pPr>
      <w:r w:rsidRPr="006A777D">
        <w:rPr>
          <w:rFonts w:ascii="Calibri" w:hAnsi="Calibri" w:cs="Calibri"/>
          <w:color w:val="000000"/>
          <w:lang w:eastAsia="en-US"/>
        </w:rPr>
        <w:t>As the government moves into a post-Grimes phase, many of the recommendations have been incorporated into the government’s and ESV’s business-as-usual workstreams. ESV’s Commission model, compliance and enforcement enhancements, and integration with other agencies, will continue to transform and be strengthened as the government’s remaining legislative and operational program, such as the Energy Safety Review 2023-24 State budget initiative, and technology resulting from the Powerline Bushfire Safety Program, are delivered, and maintained.</w:t>
      </w:r>
    </w:p>
    <w:p w14:paraId="4420088D" w14:textId="3AADCA93" w:rsidR="007D4891" w:rsidRPr="000517A4" w:rsidRDefault="007D4891" w:rsidP="007D4891">
      <w:pPr>
        <w:rPr>
          <w:rFonts w:ascii="Calibri" w:hAnsi="Calibri" w:cs="Calibri"/>
        </w:rPr>
      </w:pPr>
    </w:p>
    <w:p w14:paraId="753C739E" w14:textId="77777777" w:rsidR="006A777D" w:rsidRPr="000517A4" w:rsidRDefault="006A777D" w:rsidP="007D4891">
      <w:pPr>
        <w:pStyle w:val="Heading3"/>
        <w:rPr>
          <w:rFonts w:ascii="Calibri" w:hAnsi="Calibri" w:cs="Calibri"/>
        </w:rPr>
        <w:sectPr w:rsidR="006A777D" w:rsidRPr="000517A4" w:rsidSect="006A777D">
          <w:type w:val="continuous"/>
          <w:pgSz w:w="16839" w:h="11907" w:orient="landscape" w:code="9"/>
          <w:pgMar w:top="1134" w:right="1134" w:bottom="1134" w:left="1134" w:header="283" w:footer="283" w:gutter="0"/>
          <w:cols w:num="2" w:space="720"/>
          <w:noEndnote/>
          <w:docGrid w:linePitch="360"/>
        </w:sectPr>
      </w:pPr>
      <w:bookmarkStart w:id="35" w:name="_Toc132706730"/>
      <w:bookmarkStart w:id="36" w:name="_Toc132706775"/>
      <w:bookmarkStart w:id="37" w:name="_Toc132706785"/>
      <w:bookmarkStart w:id="38" w:name="_Toc132706793"/>
      <w:bookmarkStart w:id="39" w:name="_Toc132706800"/>
      <w:bookmarkStart w:id="40" w:name="_Toc132706839"/>
      <w:bookmarkStart w:id="41" w:name="_Toc132707238"/>
      <w:bookmarkStart w:id="42" w:name="_Toc132707328"/>
      <w:bookmarkStart w:id="43" w:name="_Toc132707349"/>
      <w:bookmarkStart w:id="44" w:name="_Toc132707432"/>
      <w:bookmarkStart w:id="45" w:name="_Toc132707473"/>
      <w:bookmarkStart w:id="46" w:name="_Toc132707656"/>
      <w:bookmarkStart w:id="47" w:name="_Toc132707675"/>
      <w:bookmarkStart w:id="48" w:name="_Toc132815939"/>
      <w:bookmarkStart w:id="49" w:name="_Toc134709149"/>
    </w:p>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14:paraId="70ECCBB4" w14:textId="31EDB0D6" w:rsidR="00AC4139" w:rsidRPr="00BA2E18" w:rsidRDefault="008C513D" w:rsidP="00BA2E18">
      <w:pPr>
        <w:rPr>
          <w:rFonts w:ascii="Calibri" w:eastAsiaTheme="majorEastAsia" w:hAnsi="Calibri" w:cs="Calibri"/>
          <w:b/>
          <w:bCs/>
          <w:color w:val="201547" w:themeColor="text2"/>
          <w:spacing w:val="-2"/>
          <w:sz w:val="24"/>
          <w:szCs w:val="24"/>
        </w:rPr>
      </w:pPr>
      <w:r w:rsidRPr="000517A4">
        <w:rPr>
          <w:rFonts w:ascii="Calibri" w:eastAsiaTheme="majorEastAsia" w:hAnsi="Calibri" w:cs="Calibri"/>
          <w:b/>
          <w:bCs/>
          <w:color w:val="201547" w:themeColor="text2"/>
          <w:spacing w:val="-2"/>
          <w:sz w:val="24"/>
          <w:szCs w:val="24"/>
        </w:rPr>
        <w:lastRenderedPageBreak/>
        <w:t>Strengthening ESV’s internal corporate management systems and processes</w:t>
      </w:r>
    </w:p>
    <w:tbl>
      <w:tblPr>
        <w:tblStyle w:val="TableGrid"/>
        <w:tblW w:w="5000" w:type="pct"/>
        <w:tblLook w:val="02A0" w:firstRow="1" w:lastRow="0" w:firstColumn="1" w:lastColumn="0" w:noHBand="1" w:noVBand="0"/>
      </w:tblPr>
      <w:tblGrid>
        <w:gridCol w:w="604"/>
        <w:gridCol w:w="6201"/>
        <w:gridCol w:w="5385"/>
        <w:gridCol w:w="2381"/>
      </w:tblGrid>
      <w:tr w:rsidR="00662283" w:rsidRPr="000517A4" w14:paraId="28EFA3E0" w14:textId="77777777" w:rsidTr="006622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 w:type="pct"/>
          </w:tcPr>
          <w:p w14:paraId="474FBD3D" w14:textId="220372FF" w:rsidR="00662283" w:rsidRPr="000517A4" w:rsidRDefault="00662283" w:rsidP="00662283">
            <w:pPr>
              <w:pStyle w:val="TableHeadingLeft"/>
              <w:rPr>
                <w:rFonts w:ascii="Calibri" w:hAnsi="Calibri" w:cs="Calibri"/>
              </w:rPr>
            </w:pPr>
            <w:r w:rsidRPr="000517A4">
              <w:rPr>
                <w:rFonts w:ascii="Calibri" w:hAnsi="Calibri" w:cs="Calibri"/>
              </w:rPr>
              <w:t>Ref.</w:t>
            </w:r>
          </w:p>
        </w:tc>
        <w:tc>
          <w:tcPr>
            <w:cnfStyle w:val="000010000000" w:firstRow="0" w:lastRow="0" w:firstColumn="0" w:lastColumn="0" w:oddVBand="1" w:evenVBand="0" w:oddHBand="0" w:evenHBand="0" w:firstRowFirstColumn="0" w:firstRowLastColumn="0" w:lastRowFirstColumn="0" w:lastRowLastColumn="0"/>
            <w:tcW w:w="2128" w:type="pct"/>
          </w:tcPr>
          <w:p w14:paraId="591BA8F2" w14:textId="5B1ED7B4" w:rsidR="00662283" w:rsidRPr="000517A4" w:rsidRDefault="00662283" w:rsidP="00662283">
            <w:pPr>
              <w:pStyle w:val="TableHeadingLeft"/>
              <w:rPr>
                <w:rFonts w:ascii="Calibri" w:hAnsi="Calibri" w:cs="Calibri"/>
              </w:rPr>
            </w:pPr>
            <w:r w:rsidRPr="000517A4">
              <w:rPr>
                <w:rFonts w:ascii="Calibri" w:hAnsi="Calibri" w:cs="Calibri"/>
              </w:rPr>
              <w:t>Recommendation</w:t>
            </w:r>
          </w:p>
        </w:tc>
        <w:tc>
          <w:tcPr>
            <w:tcW w:w="1848" w:type="pct"/>
          </w:tcPr>
          <w:p w14:paraId="152D3950" w14:textId="1C860B73" w:rsidR="00662283" w:rsidRPr="000517A4" w:rsidRDefault="00662283" w:rsidP="00662283">
            <w:pPr>
              <w:pStyle w:val="TableHeadingLeft"/>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Actions completed and in progress</w:t>
            </w:r>
          </w:p>
        </w:tc>
        <w:tc>
          <w:tcPr>
            <w:cnfStyle w:val="000010000000" w:firstRow="0" w:lastRow="0" w:firstColumn="0" w:lastColumn="0" w:oddVBand="1" w:evenVBand="0" w:oddHBand="0" w:evenHBand="0" w:firstRowFirstColumn="0" w:firstRowLastColumn="0" w:lastRowFirstColumn="0" w:lastRowLastColumn="0"/>
            <w:tcW w:w="817" w:type="pct"/>
          </w:tcPr>
          <w:p w14:paraId="02FC6D09" w14:textId="7A999992" w:rsidR="00662283" w:rsidRPr="000517A4" w:rsidRDefault="00662283" w:rsidP="00662283">
            <w:pPr>
              <w:pStyle w:val="TableHeadingLeft"/>
              <w:rPr>
                <w:rFonts w:ascii="Calibri" w:hAnsi="Calibri" w:cs="Calibri"/>
              </w:rPr>
            </w:pPr>
            <w:r w:rsidRPr="000517A4">
              <w:rPr>
                <w:rFonts w:ascii="Calibri" w:hAnsi="Calibri" w:cs="Calibri"/>
              </w:rPr>
              <w:t>Status</w:t>
            </w:r>
          </w:p>
        </w:tc>
      </w:tr>
      <w:tr w:rsidR="00662283" w:rsidRPr="000517A4" w14:paraId="4A4A506B" w14:textId="77777777" w:rsidTr="00662283">
        <w:tc>
          <w:tcPr>
            <w:cnfStyle w:val="001000000000" w:firstRow="0" w:lastRow="0" w:firstColumn="1" w:lastColumn="0" w:oddVBand="0" w:evenVBand="0" w:oddHBand="0" w:evenHBand="0" w:firstRowFirstColumn="0" w:firstRowLastColumn="0" w:lastRowFirstColumn="0" w:lastRowLastColumn="0"/>
            <w:tcW w:w="207" w:type="pct"/>
          </w:tcPr>
          <w:p w14:paraId="0C6E854C" w14:textId="71DE8F7A" w:rsidR="00662283" w:rsidRPr="000517A4" w:rsidRDefault="00662283" w:rsidP="00662283">
            <w:pPr>
              <w:pStyle w:val="TableTextLeft"/>
              <w:rPr>
                <w:rFonts w:ascii="Calibri" w:hAnsi="Calibri" w:cs="Calibri"/>
              </w:rPr>
            </w:pPr>
            <w:r w:rsidRPr="000517A4">
              <w:rPr>
                <w:rFonts w:ascii="Calibri" w:hAnsi="Calibri" w:cs="Calibri"/>
              </w:rPr>
              <w:t>1</w:t>
            </w:r>
          </w:p>
        </w:tc>
        <w:tc>
          <w:tcPr>
            <w:cnfStyle w:val="000010000000" w:firstRow="0" w:lastRow="0" w:firstColumn="0" w:lastColumn="0" w:oddVBand="1" w:evenVBand="0" w:oddHBand="0" w:evenHBand="0" w:firstRowFirstColumn="0" w:firstRowLastColumn="0" w:lastRowFirstColumn="0" w:lastRowLastColumn="0"/>
            <w:tcW w:w="2128" w:type="pct"/>
          </w:tcPr>
          <w:p w14:paraId="0148E366" w14:textId="77777777" w:rsidR="00662283" w:rsidRPr="000517A4" w:rsidRDefault="00662283" w:rsidP="00662283">
            <w:pPr>
              <w:pStyle w:val="ListBullet"/>
              <w:numPr>
                <w:ilvl w:val="0"/>
                <w:numId w:val="0"/>
              </w:numPr>
              <w:spacing w:before="20"/>
              <w:rPr>
                <w:rFonts w:ascii="Calibri" w:hAnsi="Calibri" w:cs="Calibri"/>
                <w:i/>
                <w:iCs/>
                <w:szCs w:val="18"/>
              </w:rPr>
            </w:pPr>
            <w:r w:rsidRPr="000517A4">
              <w:rPr>
                <w:rFonts w:ascii="Calibri" w:hAnsi="Calibri" w:cs="Calibri"/>
                <w:i/>
                <w:iCs/>
                <w:szCs w:val="18"/>
              </w:rPr>
              <w:t>Supported-in-</w:t>
            </w:r>
            <w:proofErr w:type="gramStart"/>
            <w:r w:rsidRPr="000517A4">
              <w:rPr>
                <w:rFonts w:ascii="Calibri" w:hAnsi="Calibri" w:cs="Calibri"/>
                <w:i/>
                <w:iCs/>
                <w:szCs w:val="18"/>
              </w:rPr>
              <w:t>principle</w:t>
            </w:r>
            <w:proofErr w:type="gramEnd"/>
          </w:p>
          <w:p w14:paraId="06FC7294" w14:textId="64486AC4" w:rsidR="00662283" w:rsidRPr="000517A4" w:rsidRDefault="00662283" w:rsidP="00662283">
            <w:pPr>
              <w:pStyle w:val="TableTextLeft"/>
              <w:rPr>
                <w:rFonts w:ascii="Calibri" w:hAnsi="Calibri" w:cs="Calibri"/>
              </w:rPr>
            </w:pPr>
            <w:r w:rsidRPr="000517A4">
              <w:rPr>
                <w:rFonts w:ascii="Calibri" w:hAnsi="Calibri" w:cs="Calibri"/>
                <w:szCs w:val="18"/>
              </w:rPr>
              <w:t xml:space="preserve">Energy Safe Victoria should be established as a commission with three commissioners. One commissioner should serve as a full-time chair, with reserve powers in the event of emergencies. The remaining two commissioners should be appointed on a part-time basis. The commissioners should each have equal voting rights, with decisions being made by consensus, or by a simple majority if a consensus cannot be achieved. Commissioners should be appointed for </w:t>
            </w:r>
            <w:proofErr w:type="gramStart"/>
            <w:r w:rsidRPr="000517A4">
              <w:rPr>
                <w:rFonts w:ascii="Calibri" w:hAnsi="Calibri" w:cs="Calibri"/>
                <w:szCs w:val="18"/>
              </w:rPr>
              <w:t>five year</w:t>
            </w:r>
            <w:proofErr w:type="gramEnd"/>
            <w:r w:rsidRPr="000517A4">
              <w:rPr>
                <w:rFonts w:ascii="Calibri" w:hAnsi="Calibri" w:cs="Calibri"/>
                <w:szCs w:val="18"/>
              </w:rPr>
              <w:t xml:space="preserve"> terms, with the ability for these terms to be renewed once only.</w:t>
            </w:r>
          </w:p>
        </w:tc>
        <w:tc>
          <w:tcPr>
            <w:tcW w:w="1848" w:type="pct"/>
          </w:tcPr>
          <w:p w14:paraId="07BE8447" w14:textId="77777777" w:rsidR="00662283" w:rsidRPr="000517A4" w:rsidRDefault="00662283" w:rsidP="00662283">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sidRPr="000517A4">
              <w:rPr>
                <w:rFonts w:ascii="Calibri" w:hAnsi="Calibri" w:cs="Calibri"/>
              </w:rPr>
              <w:t xml:space="preserve">The </w:t>
            </w:r>
            <w:r w:rsidRPr="000517A4">
              <w:rPr>
                <w:rFonts w:ascii="Calibri" w:hAnsi="Calibri" w:cs="Calibri"/>
                <w:i/>
                <w:iCs/>
              </w:rPr>
              <w:t>Energy Safety Legislation Amendment (Victorian Energy Safety Commission and Other Matters) Act 2020</w:t>
            </w:r>
            <w:r w:rsidRPr="000517A4">
              <w:rPr>
                <w:rFonts w:ascii="Calibri" w:hAnsi="Calibri" w:cs="Calibri"/>
              </w:rPr>
              <w:t xml:space="preserve"> (the Act), which establishes ESV as a three-person commission, received Royal Assent in February 2020 and commenced on 1 January 2021.</w:t>
            </w:r>
            <w:r w:rsidRPr="000517A4">
              <w:rPr>
                <w:rFonts w:ascii="Calibri" w:hAnsi="Calibri" w:cs="Calibri"/>
                <w:i/>
                <w:iCs/>
              </w:rPr>
              <w:t xml:space="preserve"> </w:t>
            </w:r>
          </w:p>
          <w:p w14:paraId="32E55529" w14:textId="77777777" w:rsidR="00662283" w:rsidRPr="000517A4" w:rsidRDefault="00662283" w:rsidP="00662283">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The Commission provides ESV with a greater breadth of skills and experience in the areas of law, regulation, economics, and community safety, as it continues to further develop best practice regulation. The Act outlines procedures for decision making powers given to the Commission.</w:t>
            </w:r>
          </w:p>
          <w:p w14:paraId="2300D6AB" w14:textId="77777777" w:rsidR="00662283" w:rsidRPr="000517A4" w:rsidRDefault="00662283" w:rsidP="00662283">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The three Commissioners were appointed in late 2020, with the Commission commencing on 1 January 2021. The terms of each appointment are outlined in the relevant instrument of appointment, consistent with the Act. Commissioners are not eligible to be appointed for more than two terms.</w:t>
            </w:r>
          </w:p>
          <w:p w14:paraId="25135C90" w14:textId="77777777" w:rsidR="00662283" w:rsidRPr="000517A4" w:rsidRDefault="00662283" w:rsidP="00662283">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0517A4">
              <w:rPr>
                <w:rFonts w:ascii="Calibri" w:hAnsi="Calibri" w:cs="Calibri"/>
              </w:rPr>
              <w:t xml:space="preserve">The Commission comprises a Chairperson, Deputy Chairperson, and a Commissioner. </w:t>
            </w:r>
            <w:r w:rsidRPr="000517A4">
              <w:rPr>
                <w:rFonts w:ascii="Calibri" w:hAnsi="Calibri" w:cs="Calibri"/>
                <w:szCs w:val="18"/>
              </w:rPr>
              <w:t xml:space="preserve">In accordance with the Government Response to the Review, the Act also provides for the establishment of a Technical Advisory Committee to support the Commission, which provides advice to ESV, and includes those who can represent the interests of the electricity and gas industries, employees in those industries, and members of the Victorian community. The Technical Advisory Committee commenced in March 2022. </w:t>
            </w:r>
          </w:p>
          <w:p w14:paraId="1DC45390" w14:textId="619ED30C" w:rsidR="00662283" w:rsidRPr="000517A4" w:rsidRDefault="00662283" w:rsidP="00662283">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0517A4">
              <w:rPr>
                <w:rFonts w:ascii="Calibri" w:hAnsi="Calibri" w:cs="Calibri"/>
              </w:rPr>
              <w:t>ESV has also recruited a Chief Executive Officer (CEO), who started in April 2021. The CEO is responsible for day-to-day management and administration of ESV.</w:t>
            </w:r>
          </w:p>
        </w:tc>
        <w:tc>
          <w:tcPr>
            <w:cnfStyle w:val="000010000000" w:firstRow="0" w:lastRow="0" w:firstColumn="0" w:lastColumn="0" w:oddVBand="1" w:evenVBand="0" w:oddHBand="0" w:evenHBand="0" w:firstRowFirstColumn="0" w:firstRowLastColumn="0" w:lastRowFirstColumn="0" w:lastRowLastColumn="0"/>
            <w:tcW w:w="817" w:type="pct"/>
          </w:tcPr>
          <w:p w14:paraId="6189CF9B" w14:textId="77777777" w:rsidR="00662283" w:rsidRPr="000517A4" w:rsidRDefault="00662283" w:rsidP="00662283">
            <w:pPr>
              <w:pStyle w:val="ListBullet"/>
              <w:numPr>
                <w:ilvl w:val="0"/>
                <w:numId w:val="0"/>
              </w:numPr>
              <w:spacing w:before="20"/>
              <w:rPr>
                <w:rFonts w:ascii="Calibri" w:hAnsi="Calibri" w:cs="Calibri"/>
                <w:szCs w:val="18"/>
              </w:rPr>
            </w:pPr>
            <w:r w:rsidRPr="000517A4">
              <w:rPr>
                <w:rFonts w:ascii="Calibri" w:hAnsi="Calibri" w:cs="Calibri"/>
                <w:b/>
                <w:bCs/>
                <w:szCs w:val="18"/>
              </w:rPr>
              <w:t xml:space="preserve">Complete </w:t>
            </w:r>
          </w:p>
          <w:p w14:paraId="0FC66CD8" w14:textId="5CDE91BC" w:rsidR="00662283" w:rsidRPr="000517A4" w:rsidRDefault="00662283" w:rsidP="00662283">
            <w:pPr>
              <w:pStyle w:val="TableTextLeft"/>
              <w:rPr>
                <w:rFonts w:ascii="Calibri" w:hAnsi="Calibri" w:cs="Calibri"/>
              </w:rPr>
            </w:pPr>
          </w:p>
        </w:tc>
      </w:tr>
      <w:tr w:rsidR="00662283" w:rsidRPr="000517A4" w14:paraId="770E75F4" w14:textId="77777777" w:rsidTr="00662283">
        <w:tc>
          <w:tcPr>
            <w:cnfStyle w:val="001000000000" w:firstRow="0" w:lastRow="0" w:firstColumn="1" w:lastColumn="0" w:oddVBand="0" w:evenVBand="0" w:oddHBand="0" w:evenHBand="0" w:firstRowFirstColumn="0" w:firstRowLastColumn="0" w:lastRowFirstColumn="0" w:lastRowLastColumn="0"/>
            <w:tcW w:w="207" w:type="pct"/>
          </w:tcPr>
          <w:p w14:paraId="1AD538CF" w14:textId="77777777" w:rsidR="00662283" w:rsidRPr="000517A4" w:rsidRDefault="00662283" w:rsidP="00662283">
            <w:pPr>
              <w:pStyle w:val="ListBullet"/>
              <w:numPr>
                <w:ilvl w:val="0"/>
                <w:numId w:val="0"/>
              </w:numPr>
              <w:spacing w:before="20"/>
              <w:jc w:val="both"/>
              <w:rPr>
                <w:rFonts w:ascii="Calibri" w:hAnsi="Calibri" w:cs="Calibri"/>
              </w:rPr>
            </w:pPr>
            <w:r w:rsidRPr="000517A4">
              <w:rPr>
                <w:rFonts w:ascii="Calibri" w:hAnsi="Calibri" w:cs="Calibri"/>
              </w:rPr>
              <w:t xml:space="preserve">3 </w:t>
            </w:r>
          </w:p>
          <w:p w14:paraId="1FFBEA52" w14:textId="7EEE663D" w:rsidR="00662283" w:rsidRPr="000517A4" w:rsidRDefault="00662283" w:rsidP="00662283">
            <w:pPr>
              <w:pStyle w:val="TableTextLeft"/>
              <w:rPr>
                <w:rFonts w:ascii="Calibri" w:hAnsi="Calibri" w:cs="Calibri"/>
              </w:rPr>
            </w:pPr>
          </w:p>
        </w:tc>
        <w:tc>
          <w:tcPr>
            <w:cnfStyle w:val="000010000000" w:firstRow="0" w:lastRow="0" w:firstColumn="0" w:lastColumn="0" w:oddVBand="1" w:evenVBand="0" w:oddHBand="0" w:evenHBand="0" w:firstRowFirstColumn="0" w:firstRowLastColumn="0" w:lastRowFirstColumn="0" w:lastRowLastColumn="0"/>
            <w:tcW w:w="2128" w:type="pct"/>
          </w:tcPr>
          <w:p w14:paraId="3D75335D" w14:textId="77777777" w:rsidR="00662283" w:rsidRPr="000517A4" w:rsidRDefault="00662283" w:rsidP="00662283">
            <w:pPr>
              <w:pStyle w:val="ListBullet"/>
              <w:numPr>
                <w:ilvl w:val="0"/>
                <w:numId w:val="0"/>
              </w:numPr>
              <w:spacing w:before="20"/>
              <w:rPr>
                <w:rFonts w:ascii="Calibri" w:hAnsi="Calibri" w:cs="Calibri"/>
                <w:i/>
                <w:iCs/>
              </w:rPr>
            </w:pPr>
            <w:r w:rsidRPr="000517A4">
              <w:rPr>
                <w:rFonts w:ascii="Calibri" w:hAnsi="Calibri" w:cs="Calibri"/>
                <w:i/>
                <w:iCs/>
              </w:rPr>
              <w:t>Supported</w:t>
            </w:r>
          </w:p>
          <w:p w14:paraId="1E591047" w14:textId="54403ABF" w:rsidR="00662283" w:rsidRPr="000517A4" w:rsidRDefault="00662283" w:rsidP="00662283">
            <w:pPr>
              <w:pStyle w:val="TableTextLeft"/>
              <w:rPr>
                <w:rFonts w:ascii="Calibri" w:hAnsi="Calibri" w:cs="Calibri"/>
              </w:rPr>
            </w:pPr>
            <w:r w:rsidRPr="000517A4">
              <w:rPr>
                <w:rFonts w:ascii="Calibri" w:hAnsi="Calibri" w:cs="Calibri"/>
              </w:rPr>
              <w:t xml:space="preserve">Building on its existing Conflict of Interest Policy, ESV should develop documented protocols and additional guidance to ensure that perceived and or actual potential conflicts of interest are addressed in its regulatory decision making, particularly in cases where regulatory staff have </w:t>
            </w:r>
            <w:r w:rsidRPr="000517A4">
              <w:rPr>
                <w:rFonts w:ascii="Calibri" w:hAnsi="Calibri" w:cs="Calibri"/>
              </w:rPr>
              <w:lastRenderedPageBreak/>
              <w:t xml:space="preserve">previously been employed by network businesses or undertaken previous consulting engagements with network businesses. </w:t>
            </w:r>
          </w:p>
        </w:tc>
        <w:tc>
          <w:tcPr>
            <w:tcW w:w="1848" w:type="pct"/>
          </w:tcPr>
          <w:p w14:paraId="1F0648D3" w14:textId="77777777" w:rsidR="00662283" w:rsidRPr="000517A4" w:rsidRDefault="00662283" w:rsidP="00662283">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lastRenderedPageBreak/>
              <w:t xml:space="preserve">ESV has updated its </w:t>
            </w:r>
            <w:proofErr w:type="gramStart"/>
            <w:r w:rsidRPr="000517A4">
              <w:rPr>
                <w:rFonts w:ascii="Calibri" w:hAnsi="Calibri" w:cs="Calibri"/>
              </w:rPr>
              <w:t>Conflict of Interest</w:t>
            </w:r>
            <w:proofErr w:type="gramEnd"/>
            <w:r w:rsidRPr="000517A4">
              <w:rPr>
                <w:rFonts w:ascii="Calibri" w:hAnsi="Calibri" w:cs="Calibri"/>
              </w:rPr>
              <w:t xml:space="preserve"> policy and has completed the process of developing accompanying guidance material for staff to safeguard the integrity of regulatory decision making.</w:t>
            </w:r>
          </w:p>
          <w:p w14:paraId="59D22804" w14:textId="7FD810B7" w:rsidR="00662283" w:rsidRPr="000517A4" w:rsidRDefault="00662283" w:rsidP="00662283">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lastRenderedPageBreak/>
              <w:t>All employees have undertaken internal training on the new policy, and over 40 leadership staff have attended training provided by the Victorian Ombudsman.</w:t>
            </w:r>
          </w:p>
        </w:tc>
        <w:tc>
          <w:tcPr>
            <w:cnfStyle w:val="000010000000" w:firstRow="0" w:lastRow="0" w:firstColumn="0" w:lastColumn="0" w:oddVBand="1" w:evenVBand="0" w:oddHBand="0" w:evenHBand="0" w:firstRowFirstColumn="0" w:firstRowLastColumn="0" w:lastRowFirstColumn="0" w:lastRowLastColumn="0"/>
            <w:tcW w:w="817" w:type="pct"/>
          </w:tcPr>
          <w:p w14:paraId="665B5FC6" w14:textId="77777777" w:rsidR="00662283" w:rsidRPr="000517A4" w:rsidRDefault="00662283" w:rsidP="00662283">
            <w:pPr>
              <w:pStyle w:val="TableTextNumbered"/>
              <w:tabs>
                <w:tab w:val="clear" w:pos="369"/>
              </w:tabs>
              <w:ind w:left="0" w:firstLine="0"/>
              <w:rPr>
                <w:rFonts w:ascii="Calibri" w:hAnsi="Calibri" w:cs="Calibri"/>
              </w:rPr>
            </w:pPr>
            <w:r w:rsidRPr="000517A4">
              <w:rPr>
                <w:rFonts w:ascii="Calibri" w:hAnsi="Calibri" w:cs="Calibri"/>
                <w:b/>
                <w:bCs/>
                <w:sz w:val="20"/>
              </w:rPr>
              <w:lastRenderedPageBreak/>
              <w:t>Complete</w:t>
            </w:r>
            <w:r w:rsidRPr="000517A4">
              <w:rPr>
                <w:rFonts w:ascii="Calibri" w:hAnsi="Calibri" w:cs="Calibri"/>
              </w:rPr>
              <w:t xml:space="preserve"> </w:t>
            </w:r>
          </w:p>
          <w:p w14:paraId="6E561271" w14:textId="166CC8AD" w:rsidR="00662283" w:rsidRPr="000517A4" w:rsidRDefault="00662283" w:rsidP="00662283">
            <w:pPr>
              <w:pStyle w:val="TableTextLeft"/>
              <w:rPr>
                <w:rFonts w:ascii="Calibri" w:hAnsi="Calibri" w:cs="Calibri"/>
              </w:rPr>
            </w:pPr>
          </w:p>
        </w:tc>
      </w:tr>
      <w:tr w:rsidR="00662283" w:rsidRPr="000517A4" w14:paraId="23157549" w14:textId="77777777" w:rsidTr="00662283">
        <w:tc>
          <w:tcPr>
            <w:cnfStyle w:val="001000000000" w:firstRow="0" w:lastRow="0" w:firstColumn="1" w:lastColumn="0" w:oddVBand="0" w:evenVBand="0" w:oddHBand="0" w:evenHBand="0" w:firstRowFirstColumn="0" w:firstRowLastColumn="0" w:lastRowFirstColumn="0" w:lastRowLastColumn="0"/>
            <w:tcW w:w="207" w:type="pct"/>
          </w:tcPr>
          <w:p w14:paraId="00EA14D3" w14:textId="77777777" w:rsidR="00662283" w:rsidRPr="000517A4" w:rsidRDefault="00662283" w:rsidP="00662283">
            <w:pPr>
              <w:pStyle w:val="ListBullet"/>
              <w:numPr>
                <w:ilvl w:val="0"/>
                <w:numId w:val="0"/>
              </w:numPr>
              <w:spacing w:before="20"/>
              <w:jc w:val="both"/>
              <w:rPr>
                <w:rFonts w:ascii="Calibri" w:hAnsi="Calibri" w:cs="Calibri"/>
              </w:rPr>
            </w:pPr>
            <w:r w:rsidRPr="000517A4">
              <w:rPr>
                <w:rFonts w:ascii="Calibri" w:hAnsi="Calibri" w:cs="Calibri"/>
              </w:rPr>
              <w:t xml:space="preserve">4 </w:t>
            </w:r>
          </w:p>
          <w:p w14:paraId="00D00A0E" w14:textId="5A762158" w:rsidR="00662283" w:rsidRPr="000517A4" w:rsidRDefault="00662283" w:rsidP="00662283">
            <w:pPr>
              <w:pStyle w:val="TableTextLeft"/>
              <w:rPr>
                <w:rFonts w:ascii="Calibri" w:hAnsi="Calibri" w:cs="Calibri"/>
              </w:rPr>
            </w:pPr>
          </w:p>
        </w:tc>
        <w:tc>
          <w:tcPr>
            <w:cnfStyle w:val="000010000000" w:firstRow="0" w:lastRow="0" w:firstColumn="0" w:lastColumn="0" w:oddVBand="1" w:evenVBand="0" w:oddHBand="0" w:evenHBand="0" w:firstRowFirstColumn="0" w:firstRowLastColumn="0" w:lastRowFirstColumn="0" w:lastRowLastColumn="0"/>
            <w:tcW w:w="2128" w:type="pct"/>
          </w:tcPr>
          <w:p w14:paraId="017B11F6" w14:textId="77777777" w:rsidR="00662283" w:rsidRPr="000517A4" w:rsidRDefault="00662283" w:rsidP="00662283">
            <w:pPr>
              <w:pStyle w:val="ListBullet"/>
              <w:numPr>
                <w:ilvl w:val="0"/>
                <w:numId w:val="0"/>
              </w:numPr>
              <w:spacing w:before="20"/>
              <w:rPr>
                <w:rFonts w:ascii="Calibri" w:hAnsi="Calibri" w:cs="Calibri"/>
                <w:i/>
                <w:iCs/>
              </w:rPr>
            </w:pPr>
            <w:r w:rsidRPr="000517A4">
              <w:rPr>
                <w:rFonts w:ascii="Calibri" w:hAnsi="Calibri" w:cs="Calibri"/>
                <w:i/>
                <w:iCs/>
              </w:rPr>
              <w:t>Supported</w:t>
            </w:r>
          </w:p>
          <w:p w14:paraId="696CB70F" w14:textId="77777777" w:rsidR="00662283" w:rsidRPr="000517A4" w:rsidRDefault="00662283" w:rsidP="00662283">
            <w:pPr>
              <w:pStyle w:val="ListBullet"/>
              <w:numPr>
                <w:ilvl w:val="0"/>
                <w:numId w:val="0"/>
              </w:numPr>
              <w:spacing w:before="20"/>
              <w:rPr>
                <w:rFonts w:ascii="Calibri" w:hAnsi="Calibri" w:cs="Calibri"/>
              </w:rPr>
            </w:pPr>
            <w:r w:rsidRPr="000517A4">
              <w:rPr>
                <w:rFonts w:ascii="Calibri" w:hAnsi="Calibri" w:cs="Calibri"/>
              </w:rPr>
              <w:t>The Executive Management Board of ESV should develop an overarching organisational reform roadmap that details key actions that have already been taken to strengthen ESV’s corporate governance and management structures and processes, and the actions that have yet to be completed.</w:t>
            </w:r>
          </w:p>
          <w:p w14:paraId="3C0D6615" w14:textId="0AB7B4D9" w:rsidR="00662283" w:rsidRPr="000517A4" w:rsidRDefault="00662283" w:rsidP="00954FDC">
            <w:pPr>
              <w:pStyle w:val="ListBullet"/>
              <w:numPr>
                <w:ilvl w:val="0"/>
                <w:numId w:val="0"/>
              </w:numPr>
              <w:spacing w:before="20"/>
              <w:rPr>
                <w:rFonts w:ascii="Calibri" w:hAnsi="Calibri" w:cs="Calibri"/>
              </w:rPr>
            </w:pPr>
            <w:r w:rsidRPr="000517A4">
              <w:rPr>
                <w:rFonts w:ascii="Calibri" w:hAnsi="Calibri" w:cs="Calibri"/>
              </w:rPr>
              <w:t>This roadmap should take account of actions in response to the recommendations of this Review of Victoria’s Electricity and Gas Network Safety Framework and in response to the findings of previous reviews commissioned by the Director of Energy Safety. The roadmap should be reported publicly on ESV’s website and updated quarterly until all key actions have been completed.</w:t>
            </w:r>
          </w:p>
        </w:tc>
        <w:tc>
          <w:tcPr>
            <w:tcW w:w="1848" w:type="pct"/>
          </w:tcPr>
          <w:p w14:paraId="09E4929F" w14:textId="77777777" w:rsidR="00662283" w:rsidRPr="000517A4" w:rsidRDefault="00662283" w:rsidP="00662283">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ESV developed its roadmap to track performance against the recommendations and has shared it with DEECA and the Minister for Energy and Resources.</w:t>
            </w:r>
          </w:p>
          <w:p w14:paraId="20D98F5E" w14:textId="77777777" w:rsidR="00662283" w:rsidRPr="000517A4" w:rsidRDefault="00662283" w:rsidP="00662283">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 xml:space="preserve">ESV has commissioned various reviews and implemented changes to improve formal corporate governance and regulatory decision making. Two key documents that describe ESV’s achievement of its objectives and implementation of the Review, and other priorities, are ESV’s Corporate Plan and Annual Report. </w:t>
            </w:r>
          </w:p>
          <w:p w14:paraId="067C8C0E" w14:textId="555DC610" w:rsidR="00662283" w:rsidRPr="000517A4" w:rsidRDefault="00662283" w:rsidP="00CB627A">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These documents are prepared annually and submitted to the Minister for Energy and Resources and Parliament, respectively, for public release on the ESV website.</w:t>
            </w:r>
          </w:p>
        </w:tc>
        <w:tc>
          <w:tcPr>
            <w:cnfStyle w:val="000010000000" w:firstRow="0" w:lastRow="0" w:firstColumn="0" w:lastColumn="0" w:oddVBand="1" w:evenVBand="0" w:oddHBand="0" w:evenHBand="0" w:firstRowFirstColumn="0" w:firstRowLastColumn="0" w:lastRowFirstColumn="0" w:lastRowLastColumn="0"/>
            <w:tcW w:w="817" w:type="pct"/>
          </w:tcPr>
          <w:p w14:paraId="32B7E4B9" w14:textId="77777777" w:rsidR="00662283" w:rsidRPr="000517A4" w:rsidRDefault="00662283" w:rsidP="00662283">
            <w:pPr>
              <w:pStyle w:val="ListBullet"/>
              <w:numPr>
                <w:ilvl w:val="0"/>
                <w:numId w:val="0"/>
              </w:numPr>
              <w:spacing w:before="20"/>
              <w:rPr>
                <w:rFonts w:ascii="Calibri" w:hAnsi="Calibri" w:cs="Calibri"/>
              </w:rPr>
            </w:pPr>
            <w:r w:rsidRPr="000517A4">
              <w:rPr>
                <w:rFonts w:ascii="Calibri" w:hAnsi="Calibri" w:cs="Calibri"/>
                <w:b/>
                <w:bCs/>
              </w:rPr>
              <w:t>Complete</w:t>
            </w:r>
          </w:p>
          <w:p w14:paraId="7315B6DF" w14:textId="09844781" w:rsidR="00662283" w:rsidRPr="000517A4" w:rsidRDefault="00662283" w:rsidP="00662283">
            <w:pPr>
              <w:rPr>
                <w:rFonts w:ascii="Calibri" w:hAnsi="Calibri" w:cs="Calibri"/>
              </w:rPr>
            </w:pPr>
          </w:p>
        </w:tc>
      </w:tr>
      <w:tr w:rsidR="00902851" w:rsidRPr="000517A4" w14:paraId="47C12AD7" w14:textId="77777777" w:rsidTr="00902851">
        <w:trPr>
          <w:trHeight w:val="620"/>
        </w:trPr>
        <w:tc>
          <w:tcPr>
            <w:cnfStyle w:val="001000000000" w:firstRow="0" w:lastRow="0" w:firstColumn="1" w:lastColumn="0" w:oddVBand="0" w:evenVBand="0" w:oddHBand="0" w:evenHBand="0" w:firstRowFirstColumn="0" w:firstRowLastColumn="0" w:lastRowFirstColumn="0" w:lastRowLastColumn="0"/>
            <w:tcW w:w="207" w:type="pct"/>
            <w:vMerge w:val="restart"/>
          </w:tcPr>
          <w:p w14:paraId="7197EC46" w14:textId="77777777" w:rsidR="00902851" w:rsidRPr="000517A4" w:rsidRDefault="00902851" w:rsidP="00863D69">
            <w:pPr>
              <w:pStyle w:val="ListBullet"/>
              <w:numPr>
                <w:ilvl w:val="0"/>
                <w:numId w:val="0"/>
              </w:numPr>
              <w:spacing w:before="20"/>
              <w:jc w:val="both"/>
              <w:rPr>
                <w:rFonts w:ascii="Calibri" w:hAnsi="Calibri" w:cs="Calibri"/>
              </w:rPr>
            </w:pPr>
            <w:r w:rsidRPr="000517A4">
              <w:rPr>
                <w:rFonts w:ascii="Calibri" w:hAnsi="Calibri" w:cs="Calibri"/>
              </w:rPr>
              <w:t xml:space="preserve">5 </w:t>
            </w:r>
          </w:p>
          <w:p w14:paraId="5BCC4A50" w14:textId="77777777" w:rsidR="00902851" w:rsidRPr="000517A4" w:rsidRDefault="00902851" w:rsidP="00863D69">
            <w:pPr>
              <w:pStyle w:val="ListBullet"/>
              <w:numPr>
                <w:ilvl w:val="0"/>
                <w:numId w:val="0"/>
              </w:numPr>
              <w:spacing w:before="20"/>
              <w:jc w:val="both"/>
              <w:rPr>
                <w:rFonts w:ascii="Calibri" w:hAnsi="Calibri" w:cs="Calibri"/>
              </w:rPr>
            </w:pPr>
          </w:p>
        </w:tc>
        <w:tc>
          <w:tcPr>
            <w:cnfStyle w:val="000010000000" w:firstRow="0" w:lastRow="0" w:firstColumn="0" w:lastColumn="0" w:oddVBand="1" w:evenVBand="0" w:oddHBand="0" w:evenHBand="0" w:firstRowFirstColumn="0" w:firstRowLastColumn="0" w:lastRowFirstColumn="0" w:lastRowLastColumn="0"/>
            <w:tcW w:w="2128" w:type="pct"/>
            <w:vMerge w:val="restart"/>
          </w:tcPr>
          <w:p w14:paraId="6C50349C" w14:textId="77777777" w:rsidR="00902851" w:rsidRPr="000517A4" w:rsidRDefault="00902851" w:rsidP="00863D69">
            <w:pPr>
              <w:pStyle w:val="ListBullet"/>
              <w:numPr>
                <w:ilvl w:val="0"/>
                <w:numId w:val="0"/>
              </w:numPr>
              <w:spacing w:before="20"/>
              <w:rPr>
                <w:rFonts w:ascii="Calibri" w:hAnsi="Calibri" w:cs="Calibri"/>
                <w:i/>
                <w:iCs/>
              </w:rPr>
            </w:pPr>
            <w:r w:rsidRPr="000517A4">
              <w:rPr>
                <w:rFonts w:ascii="Calibri" w:hAnsi="Calibri" w:cs="Calibri"/>
                <w:i/>
                <w:iCs/>
              </w:rPr>
              <w:t>Supported</w:t>
            </w:r>
          </w:p>
          <w:p w14:paraId="474BB6F4" w14:textId="5BFF3630" w:rsidR="00902851" w:rsidRPr="000517A4" w:rsidRDefault="00902851" w:rsidP="00863D69">
            <w:pPr>
              <w:pStyle w:val="ListBullet"/>
              <w:numPr>
                <w:ilvl w:val="0"/>
                <w:numId w:val="0"/>
              </w:numPr>
              <w:spacing w:before="20"/>
              <w:rPr>
                <w:rFonts w:ascii="Calibri" w:hAnsi="Calibri" w:cs="Calibri"/>
                <w:i/>
                <w:iCs/>
              </w:rPr>
            </w:pPr>
            <w:r w:rsidRPr="000517A4">
              <w:rPr>
                <w:rFonts w:ascii="Calibri" w:hAnsi="Calibri" w:cs="Calibri"/>
              </w:rPr>
              <w:t>ESV should develop and implement a formal workforce strategy to support the attraction and retention of high performing staff. This strategy should include a specific focus on broadening the diversity of ESV’s workforce over time, including gender diversity.</w:t>
            </w:r>
          </w:p>
        </w:tc>
        <w:tc>
          <w:tcPr>
            <w:tcW w:w="1848" w:type="pct"/>
          </w:tcPr>
          <w:p w14:paraId="3EB68AF4" w14:textId="68CEB078" w:rsidR="00902851" w:rsidRPr="000517A4" w:rsidRDefault="00902851" w:rsidP="00863D69">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ESV has reviewed employee roles and competencies against a new staff progression framework to ensure there is in place a capable and motivated workforce.</w:t>
            </w:r>
          </w:p>
        </w:tc>
        <w:tc>
          <w:tcPr>
            <w:cnfStyle w:val="000010000000" w:firstRow="0" w:lastRow="0" w:firstColumn="0" w:lastColumn="0" w:oddVBand="1" w:evenVBand="0" w:oddHBand="0" w:evenHBand="0" w:firstRowFirstColumn="0" w:firstRowLastColumn="0" w:lastRowFirstColumn="0" w:lastRowLastColumn="0"/>
            <w:tcW w:w="817" w:type="pct"/>
            <w:vMerge w:val="restart"/>
          </w:tcPr>
          <w:p w14:paraId="7BFD8416" w14:textId="5C54CE0C" w:rsidR="00902851" w:rsidRPr="000517A4" w:rsidRDefault="00902851" w:rsidP="00863D69">
            <w:pPr>
              <w:pStyle w:val="ListBullet"/>
              <w:numPr>
                <w:ilvl w:val="0"/>
                <w:numId w:val="0"/>
              </w:numPr>
              <w:spacing w:before="20"/>
              <w:rPr>
                <w:rFonts w:ascii="Calibri" w:hAnsi="Calibri" w:cs="Calibri"/>
                <w:b/>
                <w:bCs/>
              </w:rPr>
            </w:pPr>
            <w:r w:rsidRPr="000517A4">
              <w:rPr>
                <w:rFonts w:ascii="Calibri" w:hAnsi="Calibri" w:cs="Calibri"/>
                <w:b/>
                <w:bCs/>
              </w:rPr>
              <w:t>Complete</w:t>
            </w:r>
          </w:p>
        </w:tc>
      </w:tr>
      <w:tr w:rsidR="00902851" w:rsidRPr="000517A4" w14:paraId="63C0700B" w14:textId="77777777" w:rsidTr="00662283">
        <w:trPr>
          <w:trHeight w:val="619"/>
        </w:trPr>
        <w:tc>
          <w:tcPr>
            <w:cnfStyle w:val="001000000000" w:firstRow="0" w:lastRow="0" w:firstColumn="1" w:lastColumn="0" w:oddVBand="0" w:evenVBand="0" w:oddHBand="0" w:evenHBand="0" w:firstRowFirstColumn="0" w:firstRowLastColumn="0" w:lastRowFirstColumn="0" w:lastRowLastColumn="0"/>
            <w:tcW w:w="207" w:type="pct"/>
            <w:vMerge/>
          </w:tcPr>
          <w:p w14:paraId="08F494B3" w14:textId="77777777" w:rsidR="00902851" w:rsidRPr="000517A4" w:rsidRDefault="00902851" w:rsidP="00863D69">
            <w:pPr>
              <w:pStyle w:val="ListBullet"/>
              <w:numPr>
                <w:ilvl w:val="0"/>
                <w:numId w:val="0"/>
              </w:numPr>
              <w:spacing w:before="20"/>
              <w:jc w:val="both"/>
              <w:rPr>
                <w:rFonts w:ascii="Calibri" w:hAnsi="Calibri" w:cs="Calibri"/>
              </w:rPr>
            </w:pPr>
          </w:p>
        </w:tc>
        <w:tc>
          <w:tcPr>
            <w:cnfStyle w:val="000010000000" w:firstRow="0" w:lastRow="0" w:firstColumn="0" w:lastColumn="0" w:oddVBand="1" w:evenVBand="0" w:oddHBand="0" w:evenHBand="0" w:firstRowFirstColumn="0" w:firstRowLastColumn="0" w:lastRowFirstColumn="0" w:lastRowLastColumn="0"/>
            <w:tcW w:w="2128" w:type="pct"/>
            <w:vMerge/>
          </w:tcPr>
          <w:p w14:paraId="29F95359" w14:textId="77777777" w:rsidR="00902851" w:rsidRPr="000517A4" w:rsidRDefault="00902851" w:rsidP="00863D69">
            <w:pPr>
              <w:pStyle w:val="ListBullet"/>
              <w:numPr>
                <w:ilvl w:val="0"/>
                <w:numId w:val="0"/>
              </w:numPr>
              <w:spacing w:before="20"/>
              <w:rPr>
                <w:rFonts w:ascii="Calibri" w:hAnsi="Calibri" w:cs="Calibri"/>
                <w:i/>
                <w:iCs/>
              </w:rPr>
            </w:pPr>
          </w:p>
        </w:tc>
        <w:tc>
          <w:tcPr>
            <w:tcW w:w="1848" w:type="pct"/>
          </w:tcPr>
          <w:p w14:paraId="50DBF95E" w14:textId="77777777" w:rsidR="001C3607" w:rsidRPr="000517A4" w:rsidRDefault="001C3607" w:rsidP="001C3607">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ESV completed the development of a future workforce strategy to ensure it can attract and retain high performing staff and maintain appropriately skilled and diverse teams.</w:t>
            </w:r>
          </w:p>
          <w:p w14:paraId="21FA5913" w14:textId="77777777" w:rsidR="001C3607" w:rsidRPr="000517A4" w:rsidRDefault="001C3607" w:rsidP="001C3607">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ESV has developed its People Strategy and consulted and engaged with all employees on its implementation.</w:t>
            </w:r>
          </w:p>
          <w:p w14:paraId="1C380426" w14:textId="77777777" w:rsidR="001C3607" w:rsidRPr="000517A4" w:rsidRDefault="001C3607" w:rsidP="001C3607">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ESV’s Diversity &amp; Inclusion Framework was launched in 2020, and its Gender Equality Action Plan was published and implemented in 2022.</w:t>
            </w:r>
          </w:p>
          <w:p w14:paraId="5CFF3946" w14:textId="2C03DBE8" w:rsidR="00902851" w:rsidRPr="000517A4" w:rsidRDefault="001C3607" w:rsidP="001C3607">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ESV has commenced its leadership development program for team leaders and the extended leadership group to continue to facilitate ESV’s maturity as a Commission.</w:t>
            </w:r>
          </w:p>
        </w:tc>
        <w:tc>
          <w:tcPr>
            <w:cnfStyle w:val="000010000000" w:firstRow="0" w:lastRow="0" w:firstColumn="0" w:lastColumn="0" w:oddVBand="1" w:evenVBand="0" w:oddHBand="0" w:evenHBand="0" w:firstRowFirstColumn="0" w:firstRowLastColumn="0" w:lastRowFirstColumn="0" w:lastRowLastColumn="0"/>
            <w:tcW w:w="817" w:type="pct"/>
            <w:vMerge/>
          </w:tcPr>
          <w:p w14:paraId="46451842" w14:textId="77777777" w:rsidR="00902851" w:rsidRPr="000517A4" w:rsidRDefault="00902851" w:rsidP="00863D69">
            <w:pPr>
              <w:pStyle w:val="ListBullet"/>
              <w:numPr>
                <w:ilvl w:val="0"/>
                <w:numId w:val="0"/>
              </w:numPr>
              <w:spacing w:before="20"/>
              <w:rPr>
                <w:rFonts w:ascii="Calibri" w:hAnsi="Calibri" w:cs="Calibri"/>
                <w:b/>
                <w:bCs/>
              </w:rPr>
            </w:pPr>
          </w:p>
        </w:tc>
      </w:tr>
    </w:tbl>
    <w:p w14:paraId="115BE4DF" w14:textId="77777777" w:rsidR="00646A36" w:rsidRPr="000517A4" w:rsidRDefault="00646A36">
      <w:pPr>
        <w:rPr>
          <w:rFonts w:ascii="Calibri" w:hAnsi="Calibri" w:cs="Calibri"/>
        </w:rPr>
      </w:pPr>
    </w:p>
    <w:p w14:paraId="12DA1545" w14:textId="06A5C7BB" w:rsidR="0092721D" w:rsidRDefault="0092721D" w:rsidP="00646A36">
      <w:pPr>
        <w:rPr>
          <w:rFonts w:ascii="Calibri" w:eastAsiaTheme="majorEastAsia" w:hAnsi="Calibri" w:cs="Calibri"/>
          <w:b/>
          <w:bCs/>
          <w:color w:val="201547" w:themeColor="text2"/>
          <w:spacing w:val="-2"/>
          <w:sz w:val="24"/>
          <w:szCs w:val="24"/>
        </w:rPr>
      </w:pPr>
    </w:p>
    <w:p w14:paraId="20EBF713" w14:textId="77777777" w:rsidR="00BA2E18" w:rsidRDefault="00BA2E18" w:rsidP="00646A36">
      <w:pPr>
        <w:rPr>
          <w:rFonts w:ascii="Calibri" w:eastAsiaTheme="majorEastAsia" w:hAnsi="Calibri" w:cs="Calibri"/>
          <w:b/>
          <w:bCs/>
          <w:color w:val="201547" w:themeColor="text2"/>
          <w:spacing w:val="-2"/>
          <w:sz w:val="24"/>
          <w:szCs w:val="24"/>
        </w:rPr>
      </w:pPr>
    </w:p>
    <w:p w14:paraId="58391F59" w14:textId="77777777" w:rsidR="0092721D" w:rsidRDefault="0092721D" w:rsidP="00646A36">
      <w:pPr>
        <w:rPr>
          <w:rFonts w:ascii="Calibri" w:eastAsiaTheme="majorEastAsia" w:hAnsi="Calibri" w:cs="Calibri"/>
          <w:b/>
          <w:bCs/>
          <w:color w:val="201547" w:themeColor="text2"/>
          <w:spacing w:val="-2"/>
          <w:sz w:val="24"/>
          <w:szCs w:val="24"/>
        </w:rPr>
      </w:pPr>
    </w:p>
    <w:p w14:paraId="00364292" w14:textId="177258D7" w:rsidR="00A853E0" w:rsidRPr="000517A4" w:rsidRDefault="00646A36" w:rsidP="00646A36">
      <w:pPr>
        <w:rPr>
          <w:rFonts w:ascii="Calibri" w:eastAsiaTheme="majorEastAsia" w:hAnsi="Calibri" w:cs="Calibri"/>
          <w:b/>
          <w:bCs/>
          <w:color w:val="201547" w:themeColor="text2"/>
          <w:spacing w:val="-2"/>
          <w:sz w:val="24"/>
          <w:szCs w:val="24"/>
        </w:rPr>
      </w:pPr>
      <w:r w:rsidRPr="000517A4">
        <w:rPr>
          <w:rFonts w:ascii="Calibri" w:eastAsiaTheme="majorEastAsia" w:hAnsi="Calibri" w:cs="Calibri"/>
          <w:b/>
          <w:bCs/>
          <w:color w:val="201547" w:themeColor="text2"/>
          <w:spacing w:val="-2"/>
          <w:sz w:val="24"/>
          <w:szCs w:val="24"/>
        </w:rPr>
        <w:lastRenderedPageBreak/>
        <w:t xml:space="preserve">Strengthening </w:t>
      </w:r>
      <w:r w:rsidR="00A853E0" w:rsidRPr="000517A4">
        <w:rPr>
          <w:rFonts w:ascii="Calibri" w:eastAsiaTheme="majorEastAsia" w:hAnsi="Calibri" w:cs="Calibri"/>
          <w:b/>
          <w:bCs/>
          <w:color w:val="201547" w:themeColor="text2"/>
          <w:spacing w:val="-2"/>
          <w:sz w:val="24"/>
          <w:szCs w:val="24"/>
        </w:rPr>
        <w:t xml:space="preserve">ESV’s capability and preparedness to take strong regulatory </w:t>
      </w:r>
      <w:proofErr w:type="gramStart"/>
      <w:r w:rsidR="00A853E0" w:rsidRPr="000517A4">
        <w:rPr>
          <w:rFonts w:ascii="Calibri" w:eastAsiaTheme="majorEastAsia" w:hAnsi="Calibri" w:cs="Calibri"/>
          <w:b/>
          <w:bCs/>
          <w:color w:val="201547" w:themeColor="text2"/>
          <w:spacing w:val="-2"/>
          <w:sz w:val="24"/>
          <w:szCs w:val="24"/>
        </w:rPr>
        <w:t>action</w:t>
      </w:r>
      <w:proofErr w:type="gramEnd"/>
    </w:p>
    <w:tbl>
      <w:tblPr>
        <w:tblStyle w:val="TableGrid"/>
        <w:tblW w:w="5000" w:type="pct"/>
        <w:tblLook w:val="02A0" w:firstRow="1" w:lastRow="0" w:firstColumn="1" w:lastColumn="0" w:noHBand="1" w:noVBand="0"/>
      </w:tblPr>
      <w:tblGrid>
        <w:gridCol w:w="604"/>
        <w:gridCol w:w="6201"/>
        <w:gridCol w:w="5385"/>
        <w:gridCol w:w="2381"/>
      </w:tblGrid>
      <w:tr w:rsidR="00A853E0" w:rsidRPr="000517A4" w14:paraId="3E32FEF0" w14:textId="77777777" w:rsidTr="000A59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 w:type="pct"/>
          </w:tcPr>
          <w:p w14:paraId="79E1E94C" w14:textId="77777777" w:rsidR="00A853E0" w:rsidRPr="000517A4" w:rsidRDefault="00A853E0" w:rsidP="000A59A8">
            <w:pPr>
              <w:pStyle w:val="TableHeadingLeft"/>
              <w:rPr>
                <w:rFonts w:ascii="Calibri" w:hAnsi="Calibri" w:cs="Calibri"/>
              </w:rPr>
            </w:pPr>
            <w:r w:rsidRPr="000517A4">
              <w:rPr>
                <w:rFonts w:ascii="Calibri" w:hAnsi="Calibri" w:cs="Calibri"/>
              </w:rPr>
              <w:t>Ref.</w:t>
            </w:r>
          </w:p>
        </w:tc>
        <w:tc>
          <w:tcPr>
            <w:cnfStyle w:val="000010000000" w:firstRow="0" w:lastRow="0" w:firstColumn="0" w:lastColumn="0" w:oddVBand="1" w:evenVBand="0" w:oddHBand="0" w:evenHBand="0" w:firstRowFirstColumn="0" w:firstRowLastColumn="0" w:lastRowFirstColumn="0" w:lastRowLastColumn="0"/>
            <w:tcW w:w="2128" w:type="pct"/>
          </w:tcPr>
          <w:p w14:paraId="6AC00DC1" w14:textId="77777777" w:rsidR="00A853E0" w:rsidRPr="000517A4" w:rsidRDefault="00A853E0" w:rsidP="000A59A8">
            <w:pPr>
              <w:pStyle w:val="TableHeadingLeft"/>
              <w:rPr>
                <w:rFonts w:ascii="Calibri" w:hAnsi="Calibri" w:cs="Calibri"/>
              </w:rPr>
            </w:pPr>
            <w:r w:rsidRPr="000517A4">
              <w:rPr>
                <w:rFonts w:ascii="Calibri" w:hAnsi="Calibri" w:cs="Calibri"/>
              </w:rPr>
              <w:t>Recommendation</w:t>
            </w:r>
          </w:p>
        </w:tc>
        <w:tc>
          <w:tcPr>
            <w:tcW w:w="1848" w:type="pct"/>
          </w:tcPr>
          <w:p w14:paraId="64DC9CC6" w14:textId="77777777" w:rsidR="00A853E0" w:rsidRPr="000517A4" w:rsidRDefault="00A853E0" w:rsidP="000A59A8">
            <w:pPr>
              <w:pStyle w:val="TableHeadingLeft"/>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Actions completed and in progress</w:t>
            </w:r>
          </w:p>
        </w:tc>
        <w:tc>
          <w:tcPr>
            <w:cnfStyle w:val="000010000000" w:firstRow="0" w:lastRow="0" w:firstColumn="0" w:lastColumn="0" w:oddVBand="1" w:evenVBand="0" w:oddHBand="0" w:evenHBand="0" w:firstRowFirstColumn="0" w:firstRowLastColumn="0" w:lastRowFirstColumn="0" w:lastRowLastColumn="0"/>
            <w:tcW w:w="817" w:type="pct"/>
          </w:tcPr>
          <w:p w14:paraId="7E7734D6" w14:textId="77777777" w:rsidR="00A853E0" w:rsidRPr="000517A4" w:rsidRDefault="00A853E0" w:rsidP="000A59A8">
            <w:pPr>
              <w:pStyle w:val="TableHeadingLeft"/>
              <w:rPr>
                <w:rFonts w:ascii="Calibri" w:hAnsi="Calibri" w:cs="Calibri"/>
              </w:rPr>
            </w:pPr>
            <w:r w:rsidRPr="000517A4">
              <w:rPr>
                <w:rFonts w:ascii="Calibri" w:hAnsi="Calibri" w:cs="Calibri"/>
              </w:rPr>
              <w:t>Status</w:t>
            </w:r>
          </w:p>
        </w:tc>
      </w:tr>
      <w:tr w:rsidR="00256BD0" w:rsidRPr="000517A4" w14:paraId="0217A68E" w14:textId="77777777" w:rsidTr="000A59A8">
        <w:tc>
          <w:tcPr>
            <w:cnfStyle w:val="001000000000" w:firstRow="0" w:lastRow="0" w:firstColumn="1" w:lastColumn="0" w:oddVBand="0" w:evenVBand="0" w:oddHBand="0" w:evenHBand="0" w:firstRowFirstColumn="0" w:firstRowLastColumn="0" w:lastRowFirstColumn="0" w:lastRowLastColumn="0"/>
            <w:tcW w:w="207" w:type="pct"/>
            <w:vMerge w:val="restart"/>
          </w:tcPr>
          <w:p w14:paraId="456B0724" w14:textId="3F736AE3" w:rsidR="00256BD0" w:rsidRPr="000517A4" w:rsidRDefault="00256BD0" w:rsidP="00031736">
            <w:pPr>
              <w:pStyle w:val="TableTextLeft"/>
              <w:rPr>
                <w:rFonts w:ascii="Calibri" w:hAnsi="Calibri" w:cs="Calibri"/>
              </w:rPr>
            </w:pPr>
            <w:r w:rsidRPr="000517A4">
              <w:rPr>
                <w:rFonts w:ascii="Calibri" w:hAnsi="Calibri" w:cs="Calibri"/>
              </w:rPr>
              <w:t>6</w:t>
            </w:r>
          </w:p>
        </w:tc>
        <w:tc>
          <w:tcPr>
            <w:cnfStyle w:val="000010000000" w:firstRow="0" w:lastRow="0" w:firstColumn="0" w:lastColumn="0" w:oddVBand="1" w:evenVBand="0" w:oddHBand="0" w:evenHBand="0" w:firstRowFirstColumn="0" w:firstRowLastColumn="0" w:lastRowFirstColumn="0" w:lastRowLastColumn="0"/>
            <w:tcW w:w="2128" w:type="pct"/>
            <w:vMerge w:val="restart"/>
          </w:tcPr>
          <w:p w14:paraId="49D85C08" w14:textId="77777777" w:rsidR="00256BD0" w:rsidRPr="000517A4" w:rsidRDefault="00256BD0" w:rsidP="00031736">
            <w:pPr>
              <w:pStyle w:val="ListBullet"/>
              <w:numPr>
                <w:ilvl w:val="0"/>
                <w:numId w:val="0"/>
              </w:numPr>
              <w:spacing w:before="20"/>
              <w:rPr>
                <w:rFonts w:ascii="Calibri" w:hAnsi="Calibri" w:cs="Calibri"/>
                <w:i/>
                <w:iCs/>
              </w:rPr>
            </w:pPr>
            <w:r w:rsidRPr="000517A4">
              <w:rPr>
                <w:rFonts w:ascii="Calibri" w:hAnsi="Calibri" w:cs="Calibri"/>
                <w:i/>
                <w:iCs/>
              </w:rPr>
              <w:t xml:space="preserve">Supported </w:t>
            </w:r>
          </w:p>
          <w:p w14:paraId="65D31B8C" w14:textId="0C4F8962" w:rsidR="00256BD0" w:rsidRPr="000517A4" w:rsidRDefault="00256BD0" w:rsidP="00031736">
            <w:pPr>
              <w:pStyle w:val="TableTextLeft"/>
              <w:rPr>
                <w:rFonts w:ascii="Calibri" w:hAnsi="Calibri" w:cs="Calibri"/>
              </w:rPr>
            </w:pPr>
            <w:r w:rsidRPr="000517A4">
              <w:rPr>
                <w:rFonts w:ascii="Calibri" w:hAnsi="Calibri" w:cs="Calibri"/>
              </w:rPr>
              <w:t xml:space="preserve">ESV should substantially increase its audit and inspection resources and activity compared to recent years, in accordance with the directions set out in its Corporate Plan 2017-2020. Performance against this plan should be reported publicly, including summary information that clearly explains, at a “plain English” level, what ESV has achieved and what more remains to be done to fully deliver its more intensive audit program. This should be supported by detailed information on the audits conducted each year, including: the number of audits, the sites and distribution businesses covered, the focus of the audits and the results of those audits. This should build on and extend existing safety performance reporting by ESV. </w:t>
            </w:r>
          </w:p>
        </w:tc>
        <w:tc>
          <w:tcPr>
            <w:tcW w:w="1848" w:type="pct"/>
          </w:tcPr>
          <w:p w14:paraId="62562C59" w14:textId="77777777" w:rsidR="00256BD0" w:rsidRPr="000517A4" w:rsidRDefault="00256BD0" w:rsidP="00031736">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In response to the Review, ESV has substantially enhanced its auditing and inspection resources in both the gas and electricity sectors, to increase the numbers of inspections and audits undertaken on gas pipelines and electrical assets.</w:t>
            </w:r>
          </w:p>
          <w:p w14:paraId="1EF03191" w14:textId="77777777" w:rsidR="00256BD0" w:rsidRPr="000517A4" w:rsidRDefault="00256BD0" w:rsidP="00031736">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bookmarkStart w:id="50" w:name="_Hlk15652918"/>
            <w:r w:rsidRPr="000517A4">
              <w:rPr>
                <w:rFonts w:ascii="Calibri" w:hAnsi="Calibri" w:cs="Calibri"/>
              </w:rPr>
              <w:t>ESV has doubled its gas pipeline inspectors, thereby doubling inspections completed.</w:t>
            </w:r>
          </w:p>
          <w:bookmarkEnd w:id="50"/>
          <w:p w14:paraId="7FAA5C57" w14:textId="77777777" w:rsidR="00256BD0" w:rsidRPr="000517A4" w:rsidRDefault="00256BD0" w:rsidP="00031736">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 xml:space="preserve">ESV has significantly increased its electrical infrastructure inspectors, allowing a tripling in inspections completed on both electrical line clearance and electrical assets.  </w:t>
            </w:r>
          </w:p>
          <w:p w14:paraId="7FA2500A" w14:textId="45A57F8C" w:rsidR="00256BD0" w:rsidRPr="000517A4" w:rsidRDefault="00256BD0" w:rsidP="00031736">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0517A4">
              <w:rPr>
                <w:rFonts w:ascii="Calibri" w:hAnsi="Calibri" w:cs="Calibri"/>
              </w:rPr>
              <w:t>There have been further staff increases to fully deliver the more intensive audit and inspection program. Relevant updates are provided in the Corporate Plan that is published annually.</w:t>
            </w:r>
          </w:p>
        </w:tc>
        <w:tc>
          <w:tcPr>
            <w:cnfStyle w:val="000010000000" w:firstRow="0" w:lastRow="0" w:firstColumn="0" w:lastColumn="0" w:oddVBand="1" w:evenVBand="0" w:oddHBand="0" w:evenHBand="0" w:firstRowFirstColumn="0" w:firstRowLastColumn="0" w:lastRowFirstColumn="0" w:lastRowLastColumn="0"/>
            <w:tcW w:w="817" w:type="pct"/>
          </w:tcPr>
          <w:p w14:paraId="791B0721" w14:textId="77777777" w:rsidR="00256BD0" w:rsidRPr="000517A4" w:rsidRDefault="00256BD0" w:rsidP="00031736">
            <w:pPr>
              <w:pStyle w:val="ListBullet"/>
              <w:numPr>
                <w:ilvl w:val="0"/>
                <w:numId w:val="0"/>
              </w:numPr>
              <w:spacing w:before="20"/>
              <w:rPr>
                <w:rFonts w:ascii="Calibri" w:hAnsi="Calibri" w:cs="Calibri"/>
                <w:b/>
                <w:bCs/>
              </w:rPr>
            </w:pPr>
            <w:r w:rsidRPr="000517A4">
              <w:rPr>
                <w:rFonts w:ascii="Calibri" w:hAnsi="Calibri" w:cs="Calibri"/>
                <w:b/>
                <w:bCs/>
              </w:rPr>
              <w:t>Complete</w:t>
            </w:r>
          </w:p>
          <w:p w14:paraId="1CED850F" w14:textId="77777777" w:rsidR="00256BD0" w:rsidRPr="000517A4" w:rsidRDefault="00256BD0" w:rsidP="00031736">
            <w:pPr>
              <w:pStyle w:val="ListBullet"/>
              <w:numPr>
                <w:ilvl w:val="0"/>
                <w:numId w:val="0"/>
              </w:numPr>
              <w:spacing w:before="20"/>
              <w:rPr>
                <w:rFonts w:ascii="Calibri" w:hAnsi="Calibri" w:cs="Calibri"/>
              </w:rPr>
            </w:pPr>
          </w:p>
          <w:p w14:paraId="52898DF4" w14:textId="77777777" w:rsidR="00256BD0" w:rsidRPr="000517A4" w:rsidRDefault="00256BD0" w:rsidP="00031736">
            <w:pPr>
              <w:pStyle w:val="TableTextLeft"/>
              <w:rPr>
                <w:rFonts w:ascii="Calibri" w:hAnsi="Calibri" w:cs="Calibri"/>
              </w:rPr>
            </w:pPr>
          </w:p>
        </w:tc>
      </w:tr>
      <w:tr w:rsidR="00256BD0" w:rsidRPr="000517A4" w14:paraId="1A595EA6" w14:textId="77777777" w:rsidTr="000A59A8">
        <w:tc>
          <w:tcPr>
            <w:cnfStyle w:val="001000000000" w:firstRow="0" w:lastRow="0" w:firstColumn="1" w:lastColumn="0" w:oddVBand="0" w:evenVBand="0" w:oddHBand="0" w:evenHBand="0" w:firstRowFirstColumn="0" w:firstRowLastColumn="0" w:lastRowFirstColumn="0" w:lastRowLastColumn="0"/>
            <w:tcW w:w="207" w:type="pct"/>
            <w:vMerge/>
          </w:tcPr>
          <w:p w14:paraId="7721ACF7" w14:textId="77777777" w:rsidR="00256BD0" w:rsidRPr="000517A4" w:rsidRDefault="00256BD0" w:rsidP="00031736">
            <w:pPr>
              <w:pStyle w:val="TableTextLeft"/>
              <w:rPr>
                <w:rFonts w:ascii="Calibri" w:hAnsi="Calibri" w:cs="Calibri"/>
              </w:rPr>
            </w:pPr>
          </w:p>
        </w:tc>
        <w:tc>
          <w:tcPr>
            <w:cnfStyle w:val="000010000000" w:firstRow="0" w:lastRow="0" w:firstColumn="0" w:lastColumn="0" w:oddVBand="1" w:evenVBand="0" w:oddHBand="0" w:evenHBand="0" w:firstRowFirstColumn="0" w:firstRowLastColumn="0" w:lastRowFirstColumn="0" w:lastRowLastColumn="0"/>
            <w:tcW w:w="2128" w:type="pct"/>
            <w:vMerge/>
          </w:tcPr>
          <w:p w14:paraId="207C398B" w14:textId="3A31682B" w:rsidR="00256BD0" w:rsidRPr="000517A4" w:rsidRDefault="00256BD0" w:rsidP="00031736">
            <w:pPr>
              <w:pStyle w:val="TableTextLeft"/>
              <w:rPr>
                <w:rFonts w:ascii="Calibri" w:hAnsi="Calibri" w:cs="Calibri"/>
              </w:rPr>
            </w:pPr>
          </w:p>
        </w:tc>
        <w:tc>
          <w:tcPr>
            <w:tcW w:w="1848" w:type="pct"/>
          </w:tcPr>
          <w:p w14:paraId="5F1664E4" w14:textId="77777777" w:rsidR="00256BD0" w:rsidRPr="000517A4" w:rsidRDefault="00256BD0" w:rsidP="00031736">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 xml:space="preserve">ESV committed to publish enhanced annual safety performance reports detailing its audit program, including the number of audits undertaken, the areas and distribution businesses covered, and the focus and results of those audits. </w:t>
            </w:r>
          </w:p>
          <w:p w14:paraId="792973DD" w14:textId="77777777" w:rsidR="00256BD0" w:rsidRPr="000517A4" w:rsidRDefault="00256BD0" w:rsidP="00031736">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ESV has now publicly released four enhanced safety performance reports for the electricity network (2019-2022):</w:t>
            </w:r>
          </w:p>
          <w:p w14:paraId="464EDAD9" w14:textId="77777777" w:rsidR="00256BD0" w:rsidRPr="000517A4" w:rsidRDefault="00000000" w:rsidP="00031736">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color w:val="0070C0"/>
              </w:rPr>
            </w:pPr>
            <w:hyperlink r:id="rId23" w:history="1">
              <w:r w:rsidR="00256BD0" w:rsidRPr="000517A4">
                <w:rPr>
                  <w:rStyle w:val="Hyperlink"/>
                  <w:rFonts w:ascii="Calibri" w:eastAsiaTheme="majorEastAsia" w:hAnsi="Calibri" w:cs="Calibri"/>
                  <w:color w:val="0070C0"/>
                </w:rPr>
                <w:t>https://www.esv.vic.gov.au/about-us/our-organisation/reports/electrical-safety-performance-reports</w:t>
              </w:r>
            </w:hyperlink>
            <w:r w:rsidR="00256BD0" w:rsidRPr="000517A4">
              <w:rPr>
                <w:rFonts w:ascii="Calibri" w:hAnsi="Calibri" w:cs="Calibri"/>
                <w:color w:val="0070C0"/>
              </w:rPr>
              <w:t xml:space="preserve"> </w:t>
            </w:r>
          </w:p>
          <w:p w14:paraId="5A2E9085" w14:textId="77777777" w:rsidR="00256BD0" w:rsidRPr="000517A4" w:rsidRDefault="00256BD0" w:rsidP="00031736">
            <w:pPr>
              <w:pStyle w:val="ListBullet"/>
              <w:numPr>
                <w:ilvl w:val="0"/>
                <w:numId w:val="0"/>
              </w:numPr>
              <w:spacing w:before="20" w:line="220" w:lineRule="atLeast"/>
              <w:ind w:left="3148" w:hanging="17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 xml:space="preserve"> </w:t>
            </w:r>
          </w:p>
          <w:p w14:paraId="476B286A" w14:textId="77777777" w:rsidR="00256BD0" w:rsidRPr="000517A4" w:rsidRDefault="00256BD0" w:rsidP="00031736">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 xml:space="preserve">ESV has released two enhanced safety performance reports for the gas and pipeline network:  </w:t>
            </w:r>
          </w:p>
          <w:p w14:paraId="74FA4C23" w14:textId="77777777" w:rsidR="00256BD0" w:rsidRPr="000517A4" w:rsidRDefault="00000000" w:rsidP="00031736">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Style w:val="Hyperlink"/>
                <w:rFonts w:ascii="Calibri" w:eastAsiaTheme="majorEastAsia" w:hAnsi="Calibri" w:cs="Calibri"/>
                <w:color w:val="0070C0"/>
              </w:rPr>
            </w:pPr>
            <w:hyperlink r:id="rId24" w:history="1">
              <w:r w:rsidR="00256BD0" w:rsidRPr="000517A4">
                <w:rPr>
                  <w:rStyle w:val="Hyperlink"/>
                  <w:rFonts w:ascii="Calibri" w:eastAsiaTheme="majorEastAsia" w:hAnsi="Calibri" w:cs="Calibri"/>
                  <w:color w:val="0070C0"/>
                </w:rPr>
                <w:t>https://www.esv.vic.gov.au/about-us/our-organisation/reports/gas-and-pipeline-infrastructure-safety-performance-reports</w:t>
              </w:r>
            </w:hyperlink>
            <w:r w:rsidR="00256BD0" w:rsidRPr="000517A4">
              <w:rPr>
                <w:rStyle w:val="Hyperlink"/>
                <w:rFonts w:ascii="Calibri" w:eastAsiaTheme="majorEastAsia" w:hAnsi="Calibri" w:cs="Calibri"/>
                <w:color w:val="0070C0"/>
              </w:rPr>
              <w:t xml:space="preserve"> </w:t>
            </w:r>
          </w:p>
          <w:p w14:paraId="32B3E3D7" w14:textId="5B355B06" w:rsidR="00256BD0" w:rsidRPr="000517A4" w:rsidRDefault="00256BD0" w:rsidP="00031736">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cnfStyle w:val="000010000000" w:firstRow="0" w:lastRow="0" w:firstColumn="0" w:lastColumn="0" w:oddVBand="1" w:evenVBand="0" w:oddHBand="0" w:evenHBand="0" w:firstRowFirstColumn="0" w:firstRowLastColumn="0" w:lastRowFirstColumn="0" w:lastRowLastColumn="0"/>
            <w:tcW w:w="817" w:type="pct"/>
          </w:tcPr>
          <w:p w14:paraId="4147CE8E" w14:textId="77777777" w:rsidR="00256BD0" w:rsidRPr="000517A4" w:rsidRDefault="00256BD0" w:rsidP="00031736">
            <w:pPr>
              <w:pStyle w:val="ListBullet"/>
              <w:numPr>
                <w:ilvl w:val="0"/>
                <w:numId w:val="0"/>
              </w:numPr>
              <w:spacing w:before="20"/>
              <w:rPr>
                <w:rFonts w:ascii="Calibri" w:hAnsi="Calibri" w:cs="Calibri"/>
                <w:b/>
                <w:bCs/>
              </w:rPr>
            </w:pPr>
            <w:r w:rsidRPr="000517A4">
              <w:rPr>
                <w:rFonts w:ascii="Calibri" w:hAnsi="Calibri" w:cs="Calibri"/>
                <w:b/>
                <w:bCs/>
              </w:rPr>
              <w:t xml:space="preserve">Complete </w:t>
            </w:r>
            <w:r w:rsidRPr="000517A4">
              <w:rPr>
                <w:rFonts w:ascii="Calibri" w:hAnsi="Calibri" w:cs="Calibri"/>
              </w:rPr>
              <w:t xml:space="preserve">– annual safety performance reports </w:t>
            </w:r>
          </w:p>
          <w:p w14:paraId="251E66C5" w14:textId="77777777" w:rsidR="00256BD0" w:rsidRPr="000517A4" w:rsidRDefault="00256BD0" w:rsidP="00031736">
            <w:pPr>
              <w:pStyle w:val="TableTextLeft"/>
              <w:rPr>
                <w:rFonts w:ascii="Calibri" w:hAnsi="Calibri" w:cs="Calibri"/>
              </w:rPr>
            </w:pPr>
          </w:p>
        </w:tc>
      </w:tr>
      <w:tr w:rsidR="00031736" w:rsidRPr="000517A4" w14:paraId="667F07E1" w14:textId="77777777" w:rsidTr="000A59A8">
        <w:tc>
          <w:tcPr>
            <w:cnfStyle w:val="001000000000" w:firstRow="0" w:lastRow="0" w:firstColumn="1" w:lastColumn="0" w:oddVBand="0" w:evenVBand="0" w:oddHBand="0" w:evenHBand="0" w:firstRowFirstColumn="0" w:firstRowLastColumn="0" w:lastRowFirstColumn="0" w:lastRowLastColumn="0"/>
            <w:tcW w:w="207" w:type="pct"/>
          </w:tcPr>
          <w:p w14:paraId="5839BF11" w14:textId="7ACBF087" w:rsidR="00031736" w:rsidRPr="000517A4" w:rsidRDefault="00031736" w:rsidP="00031736">
            <w:pPr>
              <w:pStyle w:val="TableTextLeft"/>
              <w:rPr>
                <w:rFonts w:ascii="Calibri" w:hAnsi="Calibri" w:cs="Calibri"/>
              </w:rPr>
            </w:pPr>
            <w:r w:rsidRPr="000517A4">
              <w:rPr>
                <w:rFonts w:ascii="Calibri" w:hAnsi="Calibri" w:cs="Calibri"/>
              </w:rPr>
              <w:lastRenderedPageBreak/>
              <w:t>7</w:t>
            </w:r>
          </w:p>
        </w:tc>
        <w:tc>
          <w:tcPr>
            <w:cnfStyle w:val="000010000000" w:firstRow="0" w:lastRow="0" w:firstColumn="0" w:lastColumn="0" w:oddVBand="1" w:evenVBand="0" w:oddHBand="0" w:evenHBand="0" w:firstRowFirstColumn="0" w:firstRowLastColumn="0" w:lastRowFirstColumn="0" w:lastRowLastColumn="0"/>
            <w:tcW w:w="2128" w:type="pct"/>
          </w:tcPr>
          <w:p w14:paraId="7CD76E2A" w14:textId="77777777" w:rsidR="00031736" w:rsidRPr="000517A4" w:rsidRDefault="00031736" w:rsidP="00031736">
            <w:pPr>
              <w:pStyle w:val="ListBullet"/>
              <w:numPr>
                <w:ilvl w:val="0"/>
                <w:numId w:val="0"/>
              </w:numPr>
              <w:spacing w:before="20"/>
              <w:jc w:val="both"/>
              <w:rPr>
                <w:rFonts w:ascii="Calibri" w:hAnsi="Calibri" w:cs="Calibri"/>
                <w:i/>
                <w:iCs/>
              </w:rPr>
            </w:pPr>
            <w:r w:rsidRPr="000517A4">
              <w:rPr>
                <w:rFonts w:ascii="Calibri" w:hAnsi="Calibri" w:cs="Calibri"/>
                <w:i/>
                <w:iCs/>
              </w:rPr>
              <w:t>Supported</w:t>
            </w:r>
          </w:p>
          <w:p w14:paraId="7C7D21B7" w14:textId="6FAA3CAA" w:rsidR="00031736" w:rsidRPr="000517A4" w:rsidRDefault="00031736" w:rsidP="00031736">
            <w:pPr>
              <w:pStyle w:val="ListBullet"/>
              <w:numPr>
                <w:ilvl w:val="0"/>
                <w:numId w:val="0"/>
              </w:numPr>
              <w:spacing w:before="20"/>
              <w:rPr>
                <w:rFonts w:ascii="Calibri" w:hAnsi="Calibri" w:cs="Calibri"/>
              </w:rPr>
            </w:pPr>
            <w:r w:rsidRPr="000517A4">
              <w:rPr>
                <w:rFonts w:ascii="Calibri" w:hAnsi="Calibri" w:cs="Calibri"/>
              </w:rPr>
              <w:t xml:space="preserve">ESV should conduct an internal review of its expanded audit and inspections program in 2020 to determine whether a further change in the resourcing of these functions is required. </w:t>
            </w:r>
          </w:p>
        </w:tc>
        <w:tc>
          <w:tcPr>
            <w:tcW w:w="1848" w:type="pct"/>
          </w:tcPr>
          <w:p w14:paraId="70E625E3" w14:textId="77777777" w:rsidR="00031736" w:rsidRPr="000517A4" w:rsidRDefault="00031736" w:rsidP="00031736">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bookmarkStart w:id="51" w:name="_Hlk62734157"/>
            <w:r w:rsidRPr="000517A4">
              <w:rPr>
                <w:rFonts w:ascii="Calibri" w:hAnsi="Calibri" w:cs="Calibri"/>
              </w:rPr>
              <w:t>In 2021, ESV completed an internal review of its expanded audit and inspection program. This included a performance evaluation of the program against the previous year’s audit plan outlining what ESV achieved, what still needed to be done, and what further increases in resourcing are required.</w:t>
            </w:r>
          </w:p>
          <w:p w14:paraId="56437CA8" w14:textId="48487777" w:rsidR="00031736" w:rsidRPr="000517A4" w:rsidRDefault="00031736" w:rsidP="00031736">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 xml:space="preserve">Audit results were tabled with ESV’s Executive Management Board and Audit and Risk Committee in November 2020. </w:t>
            </w:r>
            <w:bookmarkEnd w:id="51"/>
            <w:r w:rsidRPr="000517A4">
              <w:rPr>
                <w:rFonts w:ascii="Calibri" w:hAnsi="Calibri" w:cs="Calibri"/>
              </w:rPr>
              <w:t>Ongoing corrective actions are included in the internal audit program of work.</w:t>
            </w:r>
          </w:p>
        </w:tc>
        <w:tc>
          <w:tcPr>
            <w:cnfStyle w:val="000010000000" w:firstRow="0" w:lastRow="0" w:firstColumn="0" w:lastColumn="0" w:oddVBand="1" w:evenVBand="0" w:oddHBand="0" w:evenHBand="0" w:firstRowFirstColumn="0" w:firstRowLastColumn="0" w:lastRowFirstColumn="0" w:lastRowLastColumn="0"/>
            <w:tcW w:w="817" w:type="pct"/>
          </w:tcPr>
          <w:p w14:paraId="31676449" w14:textId="1F1BEFC4" w:rsidR="00031736" w:rsidRPr="000517A4" w:rsidRDefault="00031736" w:rsidP="00031736">
            <w:pPr>
              <w:rPr>
                <w:rFonts w:ascii="Calibri" w:hAnsi="Calibri" w:cs="Calibri"/>
              </w:rPr>
            </w:pPr>
            <w:bookmarkStart w:id="52" w:name="_Hlk62734196"/>
            <w:r w:rsidRPr="000517A4">
              <w:rPr>
                <w:rFonts w:ascii="Calibri" w:hAnsi="Calibri" w:cs="Calibri"/>
                <w:b/>
                <w:bCs/>
              </w:rPr>
              <w:t>Complete</w:t>
            </w:r>
            <w:r w:rsidRPr="000517A4">
              <w:rPr>
                <w:rFonts w:ascii="Calibri" w:hAnsi="Calibri" w:cs="Calibri"/>
              </w:rPr>
              <w:t xml:space="preserve"> </w:t>
            </w:r>
            <w:bookmarkEnd w:id="52"/>
          </w:p>
        </w:tc>
      </w:tr>
      <w:tr w:rsidR="00031736" w:rsidRPr="000517A4" w14:paraId="18AA55CF" w14:textId="77777777" w:rsidTr="000A59A8">
        <w:tc>
          <w:tcPr>
            <w:cnfStyle w:val="001000000000" w:firstRow="0" w:lastRow="0" w:firstColumn="1" w:lastColumn="0" w:oddVBand="0" w:evenVBand="0" w:oddHBand="0" w:evenHBand="0" w:firstRowFirstColumn="0" w:firstRowLastColumn="0" w:lastRowFirstColumn="0" w:lastRowLastColumn="0"/>
            <w:tcW w:w="207" w:type="pct"/>
          </w:tcPr>
          <w:p w14:paraId="5E0A116B" w14:textId="0DC9FC63" w:rsidR="00031736" w:rsidRPr="000517A4" w:rsidRDefault="00031736" w:rsidP="00031736">
            <w:pPr>
              <w:pStyle w:val="TableTextLeft"/>
              <w:rPr>
                <w:rFonts w:ascii="Calibri" w:hAnsi="Calibri" w:cs="Calibri"/>
              </w:rPr>
            </w:pPr>
            <w:r w:rsidRPr="000517A4">
              <w:rPr>
                <w:rFonts w:ascii="Calibri" w:hAnsi="Calibri" w:cs="Calibri"/>
              </w:rPr>
              <w:t>8</w:t>
            </w:r>
          </w:p>
        </w:tc>
        <w:tc>
          <w:tcPr>
            <w:cnfStyle w:val="000010000000" w:firstRow="0" w:lastRow="0" w:firstColumn="0" w:lastColumn="0" w:oddVBand="1" w:evenVBand="0" w:oddHBand="0" w:evenHBand="0" w:firstRowFirstColumn="0" w:firstRowLastColumn="0" w:lastRowFirstColumn="0" w:lastRowLastColumn="0"/>
            <w:tcW w:w="2128" w:type="pct"/>
          </w:tcPr>
          <w:p w14:paraId="18E40EB3" w14:textId="77777777" w:rsidR="00031736" w:rsidRPr="000517A4" w:rsidRDefault="00031736" w:rsidP="00031736">
            <w:pPr>
              <w:pStyle w:val="ListBullet"/>
              <w:numPr>
                <w:ilvl w:val="0"/>
                <w:numId w:val="0"/>
              </w:numPr>
              <w:spacing w:before="20"/>
              <w:jc w:val="both"/>
              <w:rPr>
                <w:rFonts w:ascii="Calibri" w:hAnsi="Calibri" w:cs="Calibri"/>
                <w:i/>
                <w:iCs/>
              </w:rPr>
            </w:pPr>
            <w:r w:rsidRPr="000517A4">
              <w:rPr>
                <w:rFonts w:ascii="Calibri" w:hAnsi="Calibri" w:cs="Calibri"/>
                <w:i/>
                <w:iCs/>
              </w:rPr>
              <w:t>Supported</w:t>
            </w:r>
          </w:p>
          <w:p w14:paraId="0014AD5E" w14:textId="77777777" w:rsidR="00031736" w:rsidRPr="000517A4" w:rsidRDefault="00031736" w:rsidP="00031736">
            <w:pPr>
              <w:pStyle w:val="ListBullet"/>
              <w:numPr>
                <w:ilvl w:val="0"/>
                <w:numId w:val="0"/>
              </w:numPr>
              <w:spacing w:before="20"/>
              <w:rPr>
                <w:rFonts w:ascii="Calibri" w:hAnsi="Calibri" w:cs="Calibri"/>
              </w:rPr>
            </w:pPr>
            <w:r w:rsidRPr="000517A4">
              <w:rPr>
                <w:rFonts w:ascii="Calibri" w:hAnsi="Calibri" w:cs="Calibri"/>
              </w:rPr>
              <w:t xml:space="preserve">ESV should develop an integrated plan of action to strengthen its analytical capabilities and processes to support effective risk-based regulation. This action plan should build on the initiatives outlined in ESV’s Corporate Plan 2017-2020. To promote accountability, it should include clear actionable milestones. Progress against the action plan should be reported annually until all planned milestones have been completed. </w:t>
            </w:r>
          </w:p>
          <w:p w14:paraId="434B3194" w14:textId="77777777" w:rsidR="00031736" w:rsidRPr="000517A4" w:rsidRDefault="00031736" w:rsidP="00031736">
            <w:pPr>
              <w:pStyle w:val="ListBullet"/>
              <w:numPr>
                <w:ilvl w:val="0"/>
                <w:numId w:val="0"/>
              </w:numPr>
              <w:spacing w:before="20"/>
              <w:rPr>
                <w:rFonts w:ascii="Calibri" w:hAnsi="Calibri" w:cs="Calibri"/>
              </w:rPr>
            </w:pPr>
          </w:p>
        </w:tc>
        <w:tc>
          <w:tcPr>
            <w:tcW w:w="1848" w:type="pct"/>
          </w:tcPr>
          <w:p w14:paraId="344B9570" w14:textId="77777777" w:rsidR="00031736" w:rsidRPr="000517A4" w:rsidRDefault="00031736" w:rsidP="00031736">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ESV has developed a forward-looking integrated plan of action to deliver increased data analytical capabilities. The implementation of this framework will form the basis for enhancing ESV’s risk-based regulation.</w:t>
            </w:r>
          </w:p>
          <w:p w14:paraId="52B0BC8F" w14:textId="77777777" w:rsidR="00031736" w:rsidRPr="000517A4" w:rsidRDefault="00031736" w:rsidP="00031736">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 xml:space="preserve">This integrated plan of action to strengthen ESV’s data management and analytical capabilities, identifies the upgrades required for IT systems to enable increased data capture, extraction, </w:t>
            </w:r>
            <w:proofErr w:type="gramStart"/>
            <w:r w:rsidRPr="000517A4">
              <w:rPr>
                <w:rFonts w:ascii="Calibri" w:hAnsi="Calibri" w:cs="Calibri"/>
              </w:rPr>
              <w:t>collation</w:t>
            </w:r>
            <w:proofErr w:type="gramEnd"/>
            <w:r w:rsidRPr="000517A4">
              <w:rPr>
                <w:rFonts w:ascii="Calibri" w:hAnsi="Calibri" w:cs="Calibri"/>
              </w:rPr>
              <w:t xml:space="preserve"> and analysis, allowing enhanced public reporting on network safety.</w:t>
            </w:r>
          </w:p>
          <w:p w14:paraId="36B9D056" w14:textId="613E9D61" w:rsidR="00031736" w:rsidRPr="000517A4" w:rsidRDefault="00031736" w:rsidP="00031736">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(Refer also to the status updates for recommendations 14 and 15)</w:t>
            </w:r>
          </w:p>
        </w:tc>
        <w:tc>
          <w:tcPr>
            <w:cnfStyle w:val="000010000000" w:firstRow="0" w:lastRow="0" w:firstColumn="0" w:lastColumn="0" w:oddVBand="1" w:evenVBand="0" w:oddHBand="0" w:evenHBand="0" w:firstRowFirstColumn="0" w:firstRowLastColumn="0" w:lastRowFirstColumn="0" w:lastRowLastColumn="0"/>
            <w:tcW w:w="817" w:type="pct"/>
          </w:tcPr>
          <w:p w14:paraId="3A286D80" w14:textId="77777777" w:rsidR="00031736" w:rsidRPr="000517A4" w:rsidRDefault="00031736" w:rsidP="00031736">
            <w:pPr>
              <w:pStyle w:val="ESVBody"/>
              <w:spacing w:before="20" w:after="80" w:line="220" w:lineRule="atLeast"/>
              <w:ind w:left="-4"/>
              <w:rPr>
                <w:rFonts w:ascii="Calibri" w:hAnsi="Calibri" w:cs="Calibri"/>
                <w:b/>
                <w:bCs/>
                <w:color w:val="auto"/>
              </w:rPr>
            </w:pPr>
            <w:r w:rsidRPr="000517A4">
              <w:rPr>
                <w:rFonts w:ascii="Calibri" w:hAnsi="Calibri" w:cs="Calibri"/>
                <w:b/>
                <w:bCs/>
                <w:color w:val="auto"/>
              </w:rPr>
              <w:t xml:space="preserve">Complete </w:t>
            </w:r>
          </w:p>
          <w:p w14:paraId="117A375B" w14:textId="77777777" w:rsidR="00031736" w:rsidRPr="000517A4" w:rsidRDefault="00031736" w:rsidP="00031736">
            <w:pPr>
              <w:rPr>
                <w:rFonts w:ascii="Calibri" w:hAnsi="Calibri" w:cs="Calibri"/>
              </w:rPr>
            </w:pPr>
          </w:p>
        </w:tc>
      </w:tr>
      <w:tr w:rsidR="00031736" w:rsidRPr="000517A4" w14:paraId="7465BB1F" w14:textId="77777777" w:rsidTr="000A59A8">
        <w:tc>
          <w:tcPr>
            <w:cnfStyle w:val="001000000000" w:firstRow="0" w:lastRow="0" w:firstColumn="1" w:lastColumn="0" w:oddVBand="0" w:evenVBand="0" w:oddHBand="0" w:evenHBand="0" w:firstRowFirstColumn="0" w:firstRowLastColumn="0" w:lastRowFirstColumn="0" w:lastRowLastColumn="0"/>
            <w:tcW w:w="207" w:type="pct"/>
          </w:tcPr>
          <w:p w14:paraId="19CCFDF8" w14:textId="3BFDAA7B" w:rsidR="00031736" w:rsidRPr="000517A4" w:rsidRDefault="00031736" w:rsidP="00031736">
            <w:pPr>
              <w:pStyle w:val="TableTextLeft"/>
              <w:rPr>
                <w:rFonts w:ascii="Calibri" w:hAnsi="Calibri" w:cs="Calibri"/>
              </w:rPr>
            </w:pPr>
            <w:r w:rsidRPr="000517A4">
              <w:rPr>
                <w:rFonts w:ascii="Calibri" w:hAnsi="Calibri" w:cs="Calibri"/>
              </w:rPr>
              <w:t>9</w:t>
            </w:r>
          </w:p>
        </w:tc>
        <w:tc>
          <w:tcPr>
            <w:cnfStyle w:val="000010000000" w:firstRow="0" w:lastRow="0" w:firstColumn="0" w:lastColumn="0" w:oddVBand="1" w:evenVBand="0" w:oddHBand="0" w:evenHBand="0" w:firstRowFirstColumn="0" w:firstRowLastColumn="0" w:lastRowFirstColumn="0" w:lastRowLastColumn="0"/>
            <w:tcW w:w="2128" w:type="pct"/>
          </w:tcPr>
          <w:p w14:paraId="0D820881" w14:textId="77777777" w:rsidR="00031736" w:rsidRPr="000517A4" w:rsidRDefault="00031736" w:rsidP="00031736">
            <w:pPr>
              <w:pStyle w:val="ListBullet"/>
              <w:numPr>
                <w:ilvl w:val="0"/>
                <w:numId w:val="0"/>
              </w:numPr>
              <w:spacing w:before="20"/>
              <w:jc w:val="both"/>
              <w:rPr>
                <w:rFonts w:ascii="Calibri" w:hAnsi="Calibri" w:cs="Calibri"/>
                <w:i/>
                <w:iCs/>
              </w:rPr>
            </w:pPr>
            <w:r w:rsidRPr="000517A4">
              <w:rPr>
                <w:rFonts w:ascii="Calibri" w:hAnsi="Calibri" w:cs="Calibri"/>
                <w:i/>
                <w:iCs/>
              </w:rPr>
              <w:t>Supported</w:t>
            </w:r>
          </w:p>
          <w:p w14:paraId="6837E3A4" w14:textId="508CEBD8" w:rsidR="00031736" w:rsidRPr="000517A4" w:rsidRDefault="00031736" w:rsidP="00031736">
            <w:pPr>
              <w:pStyle w:val="ListBullet"/>
              <w:numPr>
                <w:ilvl w:val="0"/>
                <w:numId w:val="0"/>
              </w:numPr>
              <w:spacing w:before="20"/>
              <w:rPr>
                <w:rFonts w:ascii="Calibri" w:hAnsi="Calibri" w:cs="Calibri"/>
              </w:rPr>
            </w:pPr>
            <w:r w:rsidRPr="000517A4">
              <w:rPr>
                <w:rFonts w:ascii="Calibri" w:hAnsi="Calibri" w:cs="Calibri"/>
              </w:rPr>
              <w:t>ESV should implement the more robust approach to regulatory compliance and enforcement outlined in its Corporate Plan 2017-2020 and prepare an updated Charter of Consultation and Regulatory Practice and an updated Compliance and Enforcement Policy, to reflect this amended approach.</w:t>
            </w:r>
          </w:p>
        </w:tc>
        <w:tc>
          <w:tcPr>
            <w:tcW w:w="1848" w:type="pct"/>
          </w:tcPr>
          <w:p w14:paraId="4324EE88" w14:textId="49409309" w:rsidR="00031736" w:rsidRPr="000517A4" w:rsidRDefault="00031736" w:rsidP="00031736">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ESV has updated and published a Charter of Consultation and Regulatory Practice and a Compliance and Enforcement Policy. This policy continues to be reviewed and revised.</w:t>
            </w:r>
          </w:p>
        </w:tc>
        <w:tc>
          <w:tcPr>
            <w:cnfStyle w:val="000010000000" w:firstRow="0" w:lastRow="0" w:firstColumn="0" w:lastColumn="0" w:oddVBand="1" w:evenVBand="0" w:oddHBand="0" w:evenHBand="0" w:firstRowFirstColumn="0" w:firstRowLastColumn="0" w:lastRowFirstColumn="0" w:lastRowLastColumn="0"/>
            <w:tcW w:w="817" w:type="pct"/>
          </w:tcPr>
          <w:p w14:paraId="7ADFBD15" w14:textId="4D55AABE" w:rsidR="00031736" w:rsidRPr="000517A4" w:rsidRDefault="00031736" w:rsidP="00031736">
            <w:pPr>
              <w:rPr>
                <w:rFonts w:ascii="Calibri" w:hAnsi="Calibri" w:cs="Calibri"/>
              </w:rPr>
            </w:pPr>
            <w:r w:rsidRPr="000517A4">
              <w:rPr>
                <w:rFonts w:ascii="Calibri" w:hAnsi="Calibri" w:cs="Calibri"/>
                <w:b/>
                <w:bCs/>
              </w:rPr>
              <w:t>Complete</w:t>
            </w:r>
          </w:p>
        </w:tc>
      </w:tr>
      <w:tr w:rsidR="00031736" w:rsidRPr="000517A4" w14:paraId="592B76ED" w14:textId="77777777" w:rsidTr="000A59A8">
        <w:tc>
          <w:tcPr>
            <w:cnfStyle w:val="001000000000" w:firstRow="0" w:lastRow="0" w:firstColumn="1" w:lastColumn="0" w:oddVBand="0" w:evenVBand="0" w:oddHBand="0" w:evenHBand="0" w:firstRowFirstColumn="0" w:firstRowLastColumn="0" w:lastRowFirstColumn="0" w:lastRowLastColumn="0"/>
            <w:tcW w:w="207" w:type="pct"/>
          </w:tcPr>
          <w:p w14:paraId="1DCAD9E6" w14:textId="6A841922" w:rsidR="00031736" w:rsidRPr="000517A4" w:rsidRDefault="00031736" w:rsidP="00031736">
            <w:pPr>
              <w:pStyle w:val="TableTextLeft"/>
              <w:rPr>
                <w:rFonts w:ascii="Calibri" w:hAnsi="Calibri" w:cs="Calibri"/>
              </w:rPr>
            </w:pPr>
            <w:r w:rsidRPr="000517A4">
              <w:rPr>
                <w:rFonts w:ascii="Calibri" w:hAnsi="Calibri" w:cs="Calibri"/>
              </w:rPr>
              <w:t>10</w:t>
            </w:r>
          </w:p>
        </w:tc>
        <w:tc>
          <w:tcPr>
            <w:cnfStyle w:val="000010000000" w:firstRow="0" w:lastRow="0" w:firstColumn="0" w:lastColumn="0" w:oddVBand="1" w:evenVBand="0" w:oddHBand="0" w:evenHBand="0" w:firstRowFirstColumn="0" w:firstRowLastColumn="0" w:lastRowFirstColumn="0" w:lastRowLastColumn="0"/>
            <w:tcW w:w="2128" w:type="pct"/>
          </w:tcPr>
          <w:p w14:paraId="68C50C95" w14:textId="77777777" w:rsidR="00031736" w:rsidRPr="000517A4" w:rsidRDefault="00031736" w:rsidP="00031736">
            <w:pPr>
              <w:pStyle w:val="ListBullet"/>
              <w:numPr>
                <w:ilvl w:val="0"/>
                <w:numId w:val="0"/>
              </w:numPr>
              <w:spacing w:before="20"/>
              <w:jc w:val="both"/>
              <w:rPr>
                <w:rFonts w:ascii="Calibri" w:hAnsi="Calibri" w:cs="Calibri"/>
                <w:i/>
                <w:iCs/>
              </w:rPr>
            </w:pPr>
            <w:r w:rsidRPr="000517A4">
              <w:rPr>
                <w:rFonts w:ascii="Calibri" w:hAnsi="Calibri" w:cs="Calibri"/>
                <w:i/>
                <w:iCs/>
              </w:rPr>
              <w:t>Supported-in-</w:t>
            </w:r>
            <w:proofErr w:type="gramStart"/>
            <w:r w:rsidRPr="000517A4">
              <w:rPr>
                <w:rFonts w:ascii="Calibri" w:hAnsi="Calibri" w:cs="Calibri"/>
                <w:i/>
                <w:iCs/>
              </w:rPr>
              <w:t>principle</w:t>
            </w:r>
            <w:proofErr w:type="gramEnd"/>
          </w:p>
          <w:p w14:paraId="0A160A13" w14:textId="6A80AB29" w:rsidR="00031736" w:rsidRPr="000517A4" w:rsidRDefault="00031736" w:rsidP="00031736">
            <w:pPr>
              <w:pStyle w:val="ListBullet"/>
              <w:numPr>
                <w:ilvl w:val="0"/>
                <w:numId w:val="0"/>
              </w:numPr>
              <w:spacing w:before="20"/>
              <w:rPr>
                <w:rFonts w:ascii="Calibri" w:hAnsi="Calibri" w:cs="Calibri"/>
              </w:rPr>
            </w:pPr>
            <w:r w:rsidRPr="000517A4">
              <w:rPr>
                <w:rFonts w:ascii="Calibri" w:hAnsi="Calibri" w:cs="Calibri"/>
              </w:rPr>
              <w:t xml:space="preserve">ESV should maintain a sufficient capability to initiate strong enforcement actions, including legal prosecution, when justified on public interest grounds. This should include standing arrangements to ensure it can effectively draw on specialist external resources </w:t>
            </w:r>
            <w:proofErr w:type="gramStart"/>
            <w:r w:rsidRPr="000517A4">
              <w:rPr>
                <w:rFonts w:ascii="Calibri" w:hAnsi="Calibri" w:cs="Calibri"/>
              </w:rPr>
              <w:t>if and when</w:t>
            </w:r>
            <w:proofErr w:type="gramEnd"/>
            <w:r w:rsidRPr="000517A4">
              <w:rPr>
                <w:rFonts w:ascii="Calibri" w:hAnsi="Calibri" w:cs="Calibri"/>
              </w:rPr>
              <w:t xml:space="preserve"> required. ESV’s capabilities to support strong enforcement actions should be reviewed by ESV’s Executive Management Board annually.</w:t>
            </w:r>
          </w:p>
        </w:tc>
        <w:tc>
          <w:tcPr>
            <w:tcW w:w="1848" w:type="pct"/>
          </w:tcPr>
          <w:p w14:paraId="65332779" w14:textId="77777777" w:rsidR="00031736" w:rsidRPr="000517A4" w:rsidRDefault="00031736" w:rsidP="00031736">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ESV sought tenders for standing arrangements with external specialist legal services to ensure sufficient capability to initiate strong enforcement action.</w:t>
            </w:r>
          </w:p>
          <w:p w14:paraId="767E3627" w14:textId="77777777" w:rsidR="00031736" w:rsidRPr="000517A4" w:rsidRDefault="00031736" w:rsidP="00031736">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Three contracts with external legal service providers have since been executed.</w:t>
            </w:r>
          </w:p>
          <w:p w14:paraId="62F07745" w14:textId="77777777" w:rsidR="00031736" w:rsidRPr="000517A4" w:rsidRDefault="00031736" w:rsidP="00031736">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A review of the effectiveness and performance of these contracts is undertaken by ESV’s Executive Management Board annually, with the first review completed in February 2021.</w:t>
            </w:r>
          </w:p>
          <w:p w14:paraId="0A8D3341" w14:textId="3E1C6AB5" w:rsidR="00031736" w:rsidRPr="000517A4" w:rsidRDefault="00031736" w:rsidP="00031736">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lastRenderedPageBreak/>
              <w:t>ESV has created a new Legal, Governance and Regulatory Policy Division with roles added to strengthen their investigation, enforcement, and prosecution function; inclusive of the appointment of General Counsel to the executive management team.</w:t>
            </w:r>
          </w:p>
        </w:tc>
        <w:tc>
          <w:tcPr>
            <w:cnfStyle w:val="000010000000" w:firstRow="0" w:lastRow="0" w:firstColumn="0" w:lastColumn="0" w:oddVBand="1" w:evenVBand="0" w:oddHBand="0" w:evenHBand="0" w:firstRowFirstColumn="0" w:firstRowLastColumn="0" w:lastRowFirstColumn="0" w:lastRowLastColumn="0"/>
            <w:tcW w:w="817" w:type="pct"/>
          </w:tcPr>
          <w:p w14:paraId="65F3E880" w14:textId="63367705" w:rsidR="00031736" w:rsidRPr="000517A4" w:rsidRDefault="00031736" w:rsidP="00031736">
            <w:pPr>
              <w:rPr>
                <w:rFonts w:ascii="Calibri" w:hAnsi="Calibri" w:cs="Calibri"/>
              </w:rPr>
            </w:pPr>
            <w:r w:rsidRPr="000517A4">
              <w:rPr>
                <w:rFonts w:ascii="Calibri" w:hAnsi="Calibri" w:cs="Calibri"/>
                <w:b/>
                <w:bCs/>
              </w:rPr>
              <w:lastRenderedPageBreak/>
              <w:t>Complete</w:t>
            </w:r>
          </w:p>
        </w:tc>
      </w:tr>
      <w:tr w:rsidR="00031736" w:rsidRPr="000517A4" w14:paraId="27218FFF" w14:textId="77777777" w:rsidTr="000A59A8">
        <w:tc>
          <w:tcPr>
            <w:cnfStyle w:val="001000000000" w:firstRow="0" w:lastRow="0" w:firstColumn="1" w:lastColumn="0" w:oddVBand="0" w:evenVBand="0" w:oddHBand="0" w:evenHBand="0" w:firstRowFirstColumn="0" w:firstRowLastColumn="0" w:lastRowFirstColumn="0" w:lastRowLastColumn="0"/>
            <w:tcW w:w="207" w:type="pct"/>
          </w:tcPr>
          <w:p w14:paraId="3B80EFC8" w14:textId="77777777" w:rsidR="00031736" w:rsidRPr="000517A4" w:rsidRDefault="00031736" w:rsidP="00031736">
            <w:pPr>
              <w:pStyle w:val="ListBullet"/>
              <w:numPr>
                <w:ilvl w:val="0"/>
                <w:numId w:val="0"/>
              </w:numPr>
              <w:spacing w:before="20"/>
              <w:jc w:val="both"/>
              <w:rPr>
                <w:rFonts w:ascii="Calibri" w:hAnsi="Calibri" w:cs="Calibri"/>
                <w:b/>
              </w:rPr>
            </w:pPr>
            <w:r w:rsidRPr="000517A4">
              <w:rPr>
                <w:rFonts w:ascii="Calibri" w:hAnsi="Calibri" w:cs="Calibri"/>
              </w:rPr>
              <w:t>11</w:t>
            </w:r>
          </w:p>
          <w:p w14:paraId="114FD25E" w14:textId="77777777" w:rsidR="00031736" w:rsidRPr="000517A4" w:rsidRDefault="00031736" w:rsidP="00031736">
            <w:pPr>
              <w:pStyle w:val="TableTextLeft"/>
              <w:rPr>
                <w:rFonts w:ascii="Calibri" w:hAnsi="Calibri" w:cs="Calibri"/>
              </w:rPr>
            </w:pPr>
          </w:p>
        </w:tc>
        <w:tc>
          <w:tcPr>
            <w:cnfStyle w:val="000010000000" w:firstRow="0" w:lastRow="0" w:firstColumn="0" w:lastColumn="0" w:oddVBand="1" w:evenVBand="0" w:oddHBand="0" w:evenHBand="0" w:firstRowFirstColumn="0" w:firstRowLastColumn="0" w:lastRowFirstColumn="0" w:lastRowLastColumn="0"/>
            <w:tcW w:w="2128" w:type="pct"/>
          </w:tcPr>
          <w:p w14:paraId="5C7B93E3" w14:textId="77777777" w:rsidR="00031736" w:rsidRPr="000517A4" w:rsidRDefault="00031736" w:rsidP="00031736">
            <w:pPr>
              <w:pStyle w:val="ListBullet"/>
              <w:numPr>
                <w:ilvl w:val="0"/>
                <w:numId w:val="0"/>
              </w:numPr>
              <w:spacing w:before="20"/>
              <w:jc w:val="both"/>
              <w:rPr>
                <w:rFonts w:ascii="Calibri" w:hAnsi="Calibri" w:cs="Calibri"/>
                <w:i/>
                <w:iCs/>
              </w:rPr>
            </w:pPr>
            <w:r w:rsidRPr="000517A4">
              <w:rPr>
                <w:rFonts w:ascii="Calibri" w:hAnsi="Calibri" w:cs="Calibri"/>
                <w:i/>
                <w:iCs/>
              </w:rPr>
              <w:t>Supported</w:t>
            </w:r>
          </w:p>
          <w:p w14:paraId="3E46204A" w14:textId="0BE54934" w:rsidR="00031736" w:rsidRPr="000517A4" w:rsidRDefault="00031736" w:rsidP="00031736">
            <w:pPr>
              <w:pStyle w:val="ListBullet"/>
              <w:numPr>
                <w:ilvl w:val="0"/>
                <w:numId w:val="0"/>
              </w:numPr>
              <w:spacing w:before="20"/>
              <w:rPr>
                <w:rFonts w:ascii="Calibri" w:hAnsi="Calibri" w:cs="Calibri"/>
              </w:rPr>
            </w:pPr>
            <w:r w:rsidRPr="000517A4">
              <w:rPr>
                <w:rFonts w:ascii="Calibri" w:hAnsi="Calibri" w:cs="Calibri"/>
              </w:rPr>
              <w:t>ESV should continue to strengthen its internal systems and processes to facilitate robust and consistent compliance and enforcement decision making. This should include the continued operation of the recently re-established Compliance and Enforcement Panel, and any necessary improvements in the internal guidance to ESV officers in compliance and enforcement related roles to ensure timely and consistent decision making.</w:t>
            </w:r>
          </w:p>
        </w:tc>
        <w:tc>
          <w:tcPr>
            <w:tcW w:w="1848" w:type="pct"/>
          </w:tcPr>
          <w:p w14:paraId="76360C48" w14:textId="77777777" w:rsidR="00031736" w:rsidRPr="000517A4" w:rsidRDefault="00031736" w:rsidP="00031736">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ESV has developed a compliance and enforcement model, manual, and processes, that encourage timely and consistent decision making.</w:t>
            </w:r>
          </w:p>
          <w:p w14:paraId="23517CF1" w14:textId="12820F6F" w:rsidR="00031736" w:rsidRPr="000517A4" w:rsidRDefault="00031736" w:rsidP="00031736">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An updated compliance and enforcement guidance was released to employees in April 2020, with enforcement training delivered.</w:t>
            </w:r>
          </w:p>
        </w:tc>
        <w:tc>
          <w:tcPr>
            <w:cnfStyle w:val="000010000000" w:firstRow="0" w:lastRow="0" w:firstColumn="0" w:lastColumn="0" w:oddVBand="1" w:evenVBand="0" w:oddHBand="0" w:evenHBand="0" w:firstRowFirstColumn="0" w:firstRowLastColumn="0" w:lastRowFirstColumn="0" w:lastRowLastColumn="0"/>
            <w:tcW w:w="817" w:type="pct"/>
          </w:tcPr>
          <w:p w14:paraId="2296D0BF" w14:textId="77777777" w:rsidR="00031736" w:rsidRPr="000517A4" w:rsidRDefault="00031736" w:rsidP="00031736">
            <w:pPr>
              <w:pStyle w:val="ListBullet"/>
              <w:numPr>
                <w:ilvl w:val="0"/>
                <w:numId w:val="0"/>
              </w:numPr>
              <w:spacing w:before="20"/>
              <w:rPr>
                <w:rFonts w:ascii="Calibri" w:hAnsi="Calibri" w:cs="Calibri"/>
                <w:b/>
                <w:bCs/>
              </w:rPr>
            </w:pPr>
            <w:r w:rsidRPr="000517A4">
              <w:rPr>
                <w:rFonts w:ascii="Calibri" w:hAnsi="Calibri" w:cs="Calibri"/>
                <w:b/>
                <w:bCs/>
              </w:rPr>
              <w:t xml:space="preserve">Complete </w:t>
            </w:r>
          </w:p>
          <w:p w14:paraId="0832FD06" w14:textId="77777777" w:rsidR="00031736" w:rsidRPr="000517A4" w:rsidRDefault="00031736" w:rsidP="00031736">
            <w:pPr>
              <w:rPr>
                <w:rFonts w:ascii="Calibri" w:hAnsi="Calibri" w:cs="Calibri"/>
              </w:rPr>
            </w:pPr>
          </w:p>
        </w:tc>
      </w:tr>
      <w:tr w:rsidR="00031736" w:rsidRPr="000517A4" w14:paraId="5463665F" w14:textId="77777777" w:rsidTr="000A59A8">
        <w:tc>
          <w:tcPr>
            <w:cnfStyle w:val="001000000000" w:firstRow="0" w:lastRow="0" w:firstColumn="1" w:lastColumn="0" w:oddVBand="0" w:evenVBand="0" w:oddHBand="0" w:evenHBand="0" w:firstRowFirstColumn="0" w:firstRowLastColumn="0" w:lastRowFirstColumn="0" w:lastRowLastColumn="0"/>
            <w:tcW w:w="207" w:type="pct"/>
          </w:tcPr>
          <w:p w14:paraId="70565C8C" w14:textId="0ED2E470" w:rsidR="00031736" w:rsidRPr="000517A4" w:rsidRDefault="00031736" w:rsidP="00031736">
            <w:pPr>
              <w:pStyle w:val="TableTextLeft"/>
              <w:rPr>
                <w:rFonts w:ascii="Calibri" w:hAnsi="Calibri" w:cs="Calibri"/>
              </w:rPr>
            </w:pPr>
            <w:r w:rsidRPr="000517A4">
              <w:rPr>
                <w:rFonts w:ascii="Calibri" w:hAnsi="Calibri" w:cs="Calibri"/>
              </w:rPr>
              <w:t>12</w:t>
            </w:r>
          </w:p>
        </w:tc>
        <w:tc>
          <w:tcPr>
            <w:cnfStyle w:val="000010000000" w:firstRow="0" w:lastRow="0" w:firstColumn="0" w:lastColumn="0" w:oddVBand="1" w:evenVBand="0" w:oddHBand="0" w:evenHBand="0" w:firstRowFirstColumn="0" w:firstRowLastColumn="0" w:lastRowFirstColumn="0" w:lastRowLastColumn="0"/>
            <w:tcW w:w="2128" w:type="pct"/>
          </w:tcPr>
          <w:p w14:paraId="4B92673E" w14:textId="77777777" w:rsidR="00031736" w:rsidRPr="000517A4" w:rsidRDefault="00031736" w:rsidP="00031736">
            <w:pPr>
              <w:pStyle w:val="ListBullet"/>
              <w:numPr>
                <w:ilvl w:val="0"/>
                <w:numId w:val="0"/>
              </w:numPr>
              <w:spacing w:before="20"/>
              <w:jc w:val="both"/>
              <w:rPr>
                <w:rFonts w:ascii="Calibri" w:hAnsi="Calibri" w:cs="Calibri"/>
                <w:i/>
                <w:iCs/>
              </w:rPr>
            </w:pPr>
            <w:r w:rsidRPr="000517A4">
              <w:rPr>
                <w:rFonts w:ascii="Calibri" w:hAnsi="Calibri" w:cs="Calibri"/>
                <w:i/>
                <w:iCs/>
              </w:rPr>
              <w:t>Supported-in-</w:t>
            </w:r>
            <w:proofErr w:type="gramStart"/>
            <w:r w:rsidRPr="000517A4">
              <w:rPr>
                <w:rFonts w:ascii="Calibri" w:hAnsi="Calibri" w:cs="Calibri"/>
                <w:i/>
                <w:iCs/>
              </w:rPr>
              <w:t>principle</w:t>
            </w:r>
            <w:proofErr w:type="gramEnd"/>
          </w:p>
          <w:p w14:paraId="4A8F8519" w14:textId="77777777" w:rsidR="00031736" w:rsidRPr="000517A4" w:rsidRDefault="00031736" w:rsidP="00031736">
            <w:pPr>
              <w:pStyle w:val="ListBullet"/>
              <w:numPr>
                <w:ilvl w:val="0"/>
                <w:numId w:val="0"/>
              </w:numPr>
              <w:spacing w:before="20"/>
              <w:jc w:val="both"/>
              <w:rPr>
                <w:rFonts w:ascii="Calibri" w:hAnsi="Calibri" w:cs="Calibri"/>
                <w:i/>
                <w:iCs/>
              </w:rPr>
            </w:pPr>
            <w:r w:rsidRPr="000517A4">
              <w:rPr>
                <w:rFonts w:ascii="Calibri" w:hAnsi="Calibri" w:cs="Calibri"/>
              </w:rPr>
              <w:t xml:space="preserve">The range of compliance and enforcement tools provided in legislation should be expanded, including provision for injunctions and adverse publicity orders, and giving ESV the capacity to </w:t>
            </w:r>
            <w:proofErr w:type="gramStart"/>
            <w:r w:rsidRPr="000517A4">
              <w:rPr>
                <w:rFonts w:ascii="Calibri" w:hAnsi="Calibri" w:cs="Calibri"/>
              </w:rPr>
              <w:t>enter into</w:t>
            </w:r>
            <w:proofErr w:type="gramEnd"/>
            <w:r w:rsidRPr="000517A4">
              <w:rPr>
                <w:rFonts w:ascii="Calibri" w:hAnsi="Calibri" w:cs="Calibri"/>
              </w:rPr>
              <w:t xml:space="preserve"> enforceable undertakings. In addition, existing regulatory tools available to ESV should be reviewed to: </w:t>
            </w:r>
          </w:p>
          <w:p w14:paraId="7EF1E62C" w14:textId="77777777" w:rsidR="00031736" w:rsidRPr="000517A4" w:rsidRDefault="00031736" w:rsidP="00031736">
            <w:pPr>
              <w:pStyle w:val="ListBullet"/>
              <w:numPr>
                <w:ilvl w:val="0"/>
                <w:numId w:val="46"/>
              </w:numPr>
              <w:spacing w:before="20"/>
              <w:ind w:right="113"/>
              <w:rPr>
                <w:rFonts w:ascii="Calibri" w:hAnsi="Calibri" w:cs="Calibri"/>
              </w:rPr>
            </w:pPr>
            <w:r w:rsidRPr="000517A4">
              <w:rPr>
                <w:rFonts w:ascii="Calibri" w:hAnsi="Calibri" w:cs="Calibri"/>
              </w:rPr>
              <w:t xml:space="preserve">remove unnecessary limitations on what the tools can be used for, including expanding the scope for infringement and improvement notices to be </w:t>
            </w:r>
            <w:proofErr w:type="gramStart"/>
            <w:r w:rsidRPr="000517A4">
              <w:rPr>
                <w:rFonts w:ascii="Calibri" w:hAnsi="Calibri" w:cs="Calibri"/>
              </w:rPr>
              <w:t>used;</w:t>
            </w:r>
            <w:proofErr w:type="gramEnd"/>
            <w:r w:rsidRPr="000517A4">
              <w:rPr>
                <w:rFonts w:ascii="Calibri" w:hAnsi="Calibri" w:cs="Calibri"/>
              </w:rPr>
              <w:t xml:space="preserve"> </w:t>
            </w:r>
          </w:p>
          <w:p w14:paraId="354FCFA4" w14:textId="77777777" w:rsidR="00E423EF" w:rsidRPr="000517A4" w:rsidRDefault="00031736" w:rsidP="00031736">
            <w:pPr>
              <w:pStyle w:val="ListBullet"/>
              <w:numPr>
                <w:ilvl w:val="0"/>
                <w:numId w:val="46"/>
              </w:numPr>
              <w:spacing w:before="20"/>
              <w:ind w:right="113"/>
              <w:rPr>
                <w:rFonts w:ascii="Calibri" w:hAnsi="Calibri" w:cs="Calibri"/>
              </w:rPr>
            </w:pPr>
            <w:r w:rsidRPr="000517A4">
              <w:rPr>
                <w:rFonts w:ascii="Calibri" w:hAnsi="Calibri" w:cs="Calibri"/>
              </w:rPr>
              <w:t>better align them between electricity and gas sectors; and</w:t>
            </w:r>
          </w:p>
          <w:p w14:paraId="3C29662A" w14:textId="2011522F" w:rsidR="00031736" w:rsidRPr="000517A4" w:rsidRDefault="00031736" w:rsidP="00E423EF">
            <w:pPr>
              <w:pStyle w:val="ListBullet"/>
              <w:numPr>
                <w:ilvl w:val="0"/>
                <w:numId w:val="46"/>
              </w:numPr>
              <w:spacing w:before="20"/>
              <w:ind w:right="113"/>
              <w:rPr>
                <w:rFonts w:ascii="Calibri" w:hAnsi="Calibri" w:cs="Calibri"/>
              </w:rPr>
            </w:pPr>
            <w:r w:rsidRPr="000517A4">
              <w:rPr>
                <w:rFonts w:ascii="Calibri" w:hAnsi="Calibri" w:cs="Calibri"/>
              </w:rPr>
              <w:t>identify any further improvements that may be required.</w:t>
            </w:r>
          </w:p>
        </w:tc>
        <w:tc>
          <w:tcPr>
            <w:tcW w:w="1848" w:type="pct"/>
          </w:tcPr>
          <w:p w14:paraId="08438313" w14:textId="77777777" w:rsidR="00031736" w:rsidRPr="000517A4" w:rsidRDefault="00031736" w:rsidP="00031736">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 xml:space="preserve">The </w:t>
            </w:r>
            <w:r w:rsidRPr="000517A4">
              <w:rPr>
                <w:rFonts w:ascii="Calibri" w:hAnsi="Calibri" w:cs="Calibri"/>
                <w:i/>
                <w:iCs/>
              </w:rPr>
              <w:t>Energy Legislation Amendment (Energy Safety) Act 2023</w:t>
            </w:r>
            <w:r w:rsidRPr="000517A4">
              <w:rPr>
                <w:rFonts w:ascii="Calibri" w:hAnsi="Calibri" w:cs="Calibri"/>
              </w:rPr>
              <w:t xml:space="preserve"> expands the range of compliance and enforcement tools provided in legislation, including the provision of powers to the ESV to enter enforceable undertakings, to resolve compliance and enforcement matters. In addition, the scope for infringement and improvement notices has also been expanded, with better alignment between the electricity and gas sectors. Other improvements include a requirement that businesses preserve incident sites, to aid more comprehensive investigations, and the extension of the period within which ESV may commence legal proceedings. </w:t>
            </w:r>
          </w:p>
          <w:p w14:paraId="051295FC" w14:textId="77777777" w:rsidR="00E423EF" w:rsidRPr="000517A4" w:rsidRDefault="00E423EF" w:rsidP="00031736">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1B41241D" w14:textId="21082BEC" w:rsidR="00031736" w:rsidRPr="000517A4" w:rsidRDefault="00031736" w:rsidP="00031736">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 xml:space="preserve">The Bill achieved Royal Assent on 22 August 2023 and will commence in May 2024. More information can be found here: </w:t>
            </w:r>
            <w:hyperlink r:id="rId25" w:history="1">
              <w:r w:rsidRPr="000517A4">
                <w:rPr>
                  <w:rStyle w:val="Hyperlink"/>
                  <w:rFonts w:ascii="Calibri" w:eastAsiaTheme="majorEastAsia" w:hAnsi="Calibri" w:cs="Calibri"/>
                  <w:color w:val="0070C0"/>
                </w:rPr>
                <w:t>https://www.legislation.vic.gov.au/bills/energy-legislation-amendment-energy-safety-bill-2023</w:t>
              </w:r>
            </w:hyperlink>
            <w:r w:rsidRPr="000517A4">
              <w:rPr>
                <w:rFonts w:ascii="Calibri" w:hAnsi="Calibri" w:cs="Calibri"/>
                <w:color w:val="0070C0"/>
              </w:rPr>
              <w:t xml:space="preserve"> </w:t>
            </w:r>
          </w:p>
        </w:tc>
        <w:tc>
          <w:tcPr>
            <w:cnfStyle w:val="000010000000" w:firstRow="0" w:lastRow="0" w:firstColumn="0" w:lastColumn="0" w:oddVBand="1" w:evenVBand="0" w:oddHBand="0" w:evenHBand="0" w:firstRowFirstColumn="0" w:firstRowLastColumn="0" w:lastRowFirstColumn="0" w:lastRowLastColumn="0"/>
            <w:tcW w:w="817" w:type="pct"/>
          </w:tcPr>
          <w:p w14:paraId="2D13319F" w14:textId="5189C32B" w:rsidR="00031736" w:rsidRPr="000517A4" w:rsidRDefault="00031736" w:rsidP="00031736">
            <w:pPr>
              <w:rPr>
                <w:rFonts w:ascii="Calibri" w:hAnsi="Calibri" w:cs="Calibri"/>
              </w:rPr>
            </w:pPr>
            <w:r w:rsidRPr="000517A4">
              <w:rPr>
                <w:rFonts w:ascii="Calibri" w:hAnsi="Calibri" w:cs="Calibri"/>
                <w:b/>
                <w:bCs/>
              </w:rPr>
              <w:t>Complete</w:t>
            </w:r>
          </w:p>
        </w:tc>
      </w:tr>
      <w:tr w:rsidR="00031736" w:rsidRPr="000517A4" w14:paraId="705D6A05" w14:textId="77777777" w:rsidTr="00C20676">
        <w:trPr>
          <w:trHeight w:val="983"/>
        </w:trPr>
        <w:tc>
          <w:tcPr>
            <w:cnfStyle w:val="001000000000" w:firstRow="0" w:lastRow="0" w:firstColumn="1" w:lastColumn="0" w:oddVBand="0" w:evenVBand="0" w:oddHBand="0" w:evenHBand="0" w:firstRowFirstColumn="0" w:firstRowLastColumn="0" w:lastRowFirstColumn="0" w:lastRowLastColumn="0"/>
            <w:tcW w:w="207" w:type="pct"/>
          </w:tcPr>
          <w:p w14:paraId="612D37E8" w14:textId="2D111892" w:rsidR="00031736" w:rsidRPr="000517A4" w:rsidRDefault="00031736" w:rsidP="00031736">
            <w:pPr>
              <w:pStyle w:val="ListBullet"/>
              <w:numPr>
                <w:ilvl w:val="0"/>
                <w:numId w:val="0"/>
              </w:numPr>
              <w:spacing w:before="20"/>
              <w:jc w:val="both"/>
              <w:rPr>
                <w:rFonts w:ascii="Calibri" w:hAnsi="Calibri" w:cs="Calibri"/>
              </w:rPr>
            </w:pPr>
            <w:r w:rsidRPr="000517A4">
              <w:rPr>
                <w:rFonts w:ascii="Calibri" w:hAnsi="Calibri" w:cs="Calibri"/>
              </w:rPr>
              <w:t>13</w:t>
            </w:r>
          </w:p>
        </w:tc>
        <w:tc>
          <w:tcPr>
            <w:cnfStyle w:val="000010000000" w:firstRow="0" w:lastRow="0" w:firstColumn="0" w:lastColumn="0" w:oddVBand="1" w:evenVBand="0" w:oddHBand="0" w:evenHBand="0" w:firstRowFirstColumn="0" w:firstRowLastColumn="0" w:lastRowFirstColumn="0" w:lastRowLastColumn="0"/>
            <w:tcW w:w="2128" w:type="pct"/>
          </w:tcPr>
          <w:p w14:paraId="03E86B9D" w14:textId="77777777" w:rsidR="00031736" w:rsidRPr="000517A4" w:rsidRDefault="00031736" w:rsidP="00031736">
            <w:pPr>
              <w:pStyle w:val="ListBullet"/>
              <w:numPr>
                <w:ilvl w:val="0"/>
                <w:numId w:val="0"/>
              </w:numPr>
              <w:spacing w:before="20"/>
              <w:jc w:val="both"/>
              <w:rPr>
                <w:rFonts w:ascii="Calibri" w:hAnsi="Calibri" w:cs="Calibri"/>
                <w:i/>
                <w:iCs/>
              </w:rPr>
            </w:pPr>
            <w:r w:rsidRPr="000517A4">
              <w:rPr>
                <w:rFonts w:ascii="Calibri" w:hAnsi="Calibri" w:cs="Calibri"/>
                <w:i/>
                <w:iCs/>
              </w:rPr>
              <w:t>Supported-in-</w:t>
            </w:r>
            <w:proofErr w:type="gramStart"/>
            <w:r w:rsidRPr="000517A4">
              <w:rPr>
                <w:rFonts w:ascii="Calibri" w:hAnsi="Calibri" w:cs="Calibri"/>
                <w:i/>
                <w:iCs/>
              </w:rPr>
              <w:t>principle</w:t>
            </w:r>
            <w:proofErr w:type="gramEnd"/>
          </w:p>
          <w:p w14:paraId="4856B91C" w14:textId="06751FF5" w:rsidR="00031736" w:rsidRPr="000517A4" w:rsidRDefault="00031736" w:rsidP="00031736">
            <w:pPr>
              <w:pStyle w:val="ListBullet"/>
              <w:numPr>
                <w:ilvl w:val="0"/>
                <w:numId w:val="0"/>
              </w:numPr>
              <w:spacing w:before="20"/>
              <w:rPr>
                <w:rFonts w:ascii="Calibri" w:hAnsi="Calibri" w:cs="Calibri"/>
                <w:i/>
                <w:iCs/>
              </w:rPr>
            </w:pPr>
            <w:r w:rsidRPr="000517A4">
              <w:rPr>
                <w:rFonts w:ascii="Calibri" w:hAnsi="Calibri" w:cs="Calibri"/>
              </w:rPr>
              <w:t xml:space="preserve">The penalty levels for offences related to electricity and gas networks should be reviewed with a view to increasing them to levels that apply in other leading safety regimes in Australia. As part of this process, the penalties for similar offences applying to pipelines, gas and electricity networks should be aligned. </w:t>
            </w:r>
          </w:p>
        </w:tc>
        <w:tc>
          <w:tcPr>
            <w:tcW w:w="1848" w:type="pct"/>
          </w:tcPr>
          <w:p w14:paraId="5657BD23" w14:textId="77777777" w:rsidR="00031736" w:rsidRPr="000517A4" w:rsidRDefault="00031736" w:rsidP="00031736">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 xml:space="preserve">The </w:t>
            </w:r>
            <w:r w:rsidRPr="000517A4">
              <w:rPr>
                <w:rFonts w:ascii="Calibri" w:hAnsi="Calibri" w:cs="Calibri"/>
                <w:i/>
                <w:iCs/>
              </w:rPr>
              <w:t>Energy Legislation Amendment (Energy Safety) Act 2023</w:t>
            </w:r>
            <w:r w:rsidRPr="000517A4">
              <w:rPr>
                <w:rFonts w:ascii="Calibri" w:hAnsi="Calibri" w:cs="Calibri"/>
              </w:rPr>
              <w:t xml:space="preserve"> increases civil penalties in the </w:t>
            </w:r>
            <w:r w:rsidRPr="000517A4">
              <w:rPr>
                <w:rFonts w:ascii="Calibri" w:hAnsi="Calibri" w:cs="Calibri"/>
                <w:i/>
                <w:iCs/>
              </w:rPr>
              <w:t>Electricity Safety Act 1998</w:t>
            </w:r>
            <w:r w:rsidRPr="000517A4">
              <w:rPr>
                <w:rFonts w:ascii="Calibri" w:hAnsi="Calibri" w:cs="Calibri"/>
              </w:rPr>
              <w:t xml:space="preserve">, the </w:t>
            </w:r>
            <w:r w:rsidRPr="000517A4">
              <w:rPr>
                <w:rFonts w:ascii="Calibri" w:hAnsi="Calibri" w:cs="Calibri"/>
                <w:i/>
                <w:iCs/>
              </w:rPr>
              <w:t>Gas Safety Act 1997</w:t>
            </w:r>
            <w:r w:rsidRPr="000517A4">
              <w:rPr>
                <w:rFonts w:ascii="Calibri" w:hAnsi="Calibri" w:cs="Calibri"/>
              </w:rPr>
              <w:t xml:space="preserve">, and </w:t>
            </w:r>
            <w:r w:rsidRPr="000517A4">
              <w:rPr>
                <w:rFonts w:ascii="Calibri" w:hAnsi="Calibri" w:cs="Calibri"/>
                <w:i/>
                <w:iCs/>
              </w:rPr>
              <w:t xml:space="preserve">Pipelines Act </w:t>
            </w:r>
            <w:r w:rsidRPr="000517A4">
              <w:rPr>
                <w:rFonts w:ascii="Calibri" w:hAnsi="Calibri" w:cs="Calibri"/>
                <w:i/>
              </w:rPr>
              <w:t>200</w:t>
            </w:r>
            <w:r w:rsidRPr="000517A4">
              <w:rPr>
                <w:rFonts w:ascii="Calibri" w:hAnsi="Calibri" w:cs="Calibri"/>
              </w:rPr>
              <w:t xml:space="preserve"> up to a 7.5-fold increase from their previous amounts. </w:t>
            </w:r>
          </w:p>
          <w:p w14:paraId="4208383F" w14:textId="16645B25" w:rsidR="00031736" w:rsidRPr="000517A4" w:rsidRDefault="00031736" w:rsidP="00031736">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lastRenderedPageBreak/>
              <w:t xml:space="preserve">The penalties included in the amended Acts align with those in the </w:t>
            </w:r>
            <w:r w:rsidRPr="000517A4">
              <w:rPr>
                <w:rFonts w:ascii="Calibri" w:hAnsi="Calibri" w:cs="Calibri"/>
                <w:i/>
                <w:iCs/>
              </w:rPr>
              <w:t>Occupational Health and Safety Act 2004</w:t>
            </w:r>
            <w:r w:rsidRPr="007B4C95">
              <w:rPr>
                <w:rFonts w:ascii="Calibri" w:hAnsi="Calibri" w:cs="Calibri"/>
              </w:rPr>
              <w:t xml:space="preserve">, </w:t>
            </w:r>
            <w:r w:rsidRPr="000517A4">
              <w:rPr>
                <w:rFonts w:ascii="Calibri" w:hAnsi="Calibri" w:cs="Calibri"/>
              </w:rPr>
              <w:t xml:space="preserve">and the </w:t>
            </w:r>
            <w:r w:rsidRPr="000517A4">
              <w:rPr>
                <w:rFonts w:ascii="Calibri" w:hAnsi="Calibri" w:cs="Calibri"/>
                <w:i/>
                <w:iCs/>
              </w:rPr>
              <w:t>Sentencing Act 1991</w:t>
            </w:r>
            <w:r w:rsidRPr="000517A4">
              <w:rPr>
                <w:rFonts w:ascii="Calibri" w:hAnsi="Calibri" w:cs="Calibri"/>
              </w:rPr>
              <w:t>.</w:t>
            </w:r>
            <w:r w:rsidR="00C20676">
              <w:rPr>
                <w:rFonts w:ascii="Calibri" w:hAnsi="Calibri" w:cs="Calibri"/>
              </w:rPr>
              <w:t xml:space="preserve">                                                                                 </w:t>
            </w:r>
          </w:p>
        </w:tc>
        <w:tc>
          <w:tcPr>
            <w:cnfStyle w:val="000010000000" w:firstRow="0" w:lastRow="0" w:firstColumn="0" w:lastColumn="0" w:oddVBand="1" w:evenVBand="0" w:oddHBand="0" w:evenHBand="0" w:firstRowFirstColumn="0" w:firstRowLastColumn="0" w:lastRowFirstColumn="0" w:lastRowLastColumn="0"/>
            <w:tcW w:w="817" w:type="pct"/>
          </w:tcPr>
          <w:p w14:paraId="506290E4" w14:textId="39010499" w:rsidR="00031736" w:rsidRPr="000517A4" w:rsidRDefault="00031736" w:rsidP="00031736">
            <w:pPr>
              <w:pStyle w:val="ListBullet"/>
              <w:numPr>
                <w:ilvl w:val="0"/>
                <w:numId w:val="0"/>
              </w:numPr>
              <w:spacing w:before="20"/>
              <w:rPr>
                <w:rFonts w:ascii="Calibri" w:hAnsi="Calibri" w:cs="Calibri"/>
                <w:b/>
                <w:bCs/>
              </w:rPr>
            </w:pPr>
            <w:r w:rsidRPr="000517A4">
              <w:rPr>
                <w:rFonts w:ascii="Calibri" w:hAnsi="Calibri" w:cs="Calibri"/>
                <w:b/>
                <w:bCs/>
              </w:rPr>
              <w:lastRenderedPageBreak/>
              <w:t xml:space="preserve">Complete </w:t>
            </w:r>
          </w:p>
        </w:tc>
      </w:tr>
      <w:tr w:rsidR="00031736" w:rsidRPr="000517A4" w14:paraId="2A69D0E2" w14:textId="77777777" w:rsidTr="006F1317">
        <w:trPr>
          <w:trHeight w:val="1249"/>
        </w:trPr>
        <w:tc>
          <w:tcPr>
            <w:cnfStyle w:val="001000000000" w:firstRow="0" w:lastRow="0" w:firstColumn="1" w:lastColumn="0" w:oddVBand="0" w:evenVBand="0" w:oddHBand="0" w:evenHBand="0" w:firstRowFirstColumn="0" w:firstRowLastColumn="0" w:lastRowFirstColumn="0" w:lastRowLastColumn="0"/>
            <w:tcW w:w="207" w:type="pct"/>
          </w:tcPr>
          <w:p w14:paraId="1E4EFCEA" w14:textId="771A3187" w:rsidR="00031736" w:rsidRPr="000517A4" w:rsidRDefault="00031736" w:rsidP="00031736">
            <w:pPr>
              <w:pStyle w:val="ListBullet"/>
              <w:numPr>
                <w:ilvl w:val="0"/>
                <w:numId w:val="0"/>
              </w:numPr>
              <w:spacing w:before="20"/>
              <w:jc w:val="both"/>
              <w:rPr>
                <w:rFonts w:ascii="Calibri" w:hAnsi="Calibri" w:cs="Calibri"/>
              </w:rPr>
            </w:pPr>
            <w:r w:rsidRPr="000517A4">
              <w:rPr>
                <w:rFonts w:ascii="Calibri" w:hAnsi="Calibri" w:cs="Calibri"/>
              </w:rPr>
              <w:t>14</w:t>
            </w:r>
          </w:p>
        </w:tc>
        <w:tc>
          <w:tcPr>
            <w:cnfStyle w:val="000010000000" w:firstRow="0" w:lastRow="0" w:firstColumn="0" w:lastColumn="0" w:oddVBand="1" w:evenVBand="0" w:oddHBand="0" w:evenHBand="0" w:firstRowFirstColumn="0" w:firstRowLastColumn="0" w:lastRowFirstColumn="0" w:lastRowLastColumn="0"/>
            <w:tcW w:w="2128" w:type="pct"/>
          </w:tcPr>
          <w:p w14:paraId="42EB00FA" w14:textId="77777777" w:rsidR="00031736" w:rsidRPr="000517A4" w:rsidRDefault="00031736" w:rsidP="00031736">
            <w:pPr>
              <w:pStyle w:val="ListBullet"/>
              <w:numPr>
                <w:ilvl w:val="0"/>
                <w:numId w:val="0"/>
              </w:numPr>
              <w:spacing w:before="20"/>
              <w:jc w:val="both"/>
              <w:rPr>
                <w:rFonts w:ascii="Calibri" w:hAnsi="Calibri" w:cs="Calibri"/>
                <w:i/>
                <w:iCs/>
              </w:rPr>
            </w:pPr>
            <w:r w:rsidRPr="000517A4">
              <w:rPr>
                <w:rFonts w:ascii="Calibri" w:hAnsi="Calibri" w:cs="Calibri"/>
                <w:i/>
                <w:iCs/>
              </w:rPr>
              <w:t>Supported-in-</w:t>
            </w:r>
            <w:proofErr w:type="gramStart"/>
            <w:r w:rsidRPr="000517A4">
              <w:rPr>
                <w:rFonts w:ascii="Calibri" w:hAnsi="Calibri" w:cs="Calibri"/>
                <w:i/>
                <w:iCs/>
              </w:rPr>
              <w:t>principle</w:t>
            </w:r>
            <w:proofErr w:type="gramEnd"/>
          </w:p>
          <w:p w14:paraId="57495773" w14:textId="4C915741" w:rsidR="00031736" w:rsidRPr="000517A4" w:rsidRDefault="00031736" w:rsidP="00031736">
            <w:pPr>
              <w:pStyle w:val="ListBullet"/>
              <w:numPr>
                <w:ilvl w:val="0"/>
                <w:numId w:val="0"/>
              </w:numPr>
              <w:spacing w:before="20"/>
              <w:rPr>
                <w:rFonts w:ascii="Calibri" w:hAnsi="Calibri" w:cs="Calibri"/>
                <w:i/>
                <w:iCs/>
              </w:rPr>
            </w:pPr>
            <w:r w:rsidRPr="000517A4">
              <w:rPr>
                <w:rFonts w:ascii="Calibri" w:hAnsi="Calibri" w:cs="Calibri"/>
              </w:rPr>
              <w:t>The development of a mature data analytics capability, including the data collection and management systems to support robust statistical analysis, should form a central component of ESV’s integrated action plan to strengthen its analytical capabilities. Clear milestones should be developed to promote accountability.</w:t>
            </w:r>
          </w:p>
        </w:tc>
        <w:tc>
          <w:tcPr>
            <w:tcW w:w="1848" w:type="pct"/>
          </w:tcPr>
          <w:p w14:paraId="7ECD29AF" w14:textId="77777777" w:rsidR="00031736" w:rsidRPr="000517A4" w:rsidRDefault="00031736" w:rsidP="00031736">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ESV has developed an integrated plan of action to strengthen its data management and analytical capabilities. This includes identifying the required upgrades to its information technology systems to enable increased data capture, extraction, collation, and analysis, allowing enhanced public reporting on network safety.</w:t>
            </w:r>
          </w:p>
          <w:p w14:paraId="1FC50CF2" w14:textId="77777777" w:rsidR="00031736" w:rsidRPr="000517A4" w:rsidRDefault="00031736" w:rsidP="00031736">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 xml:space="preserve">Four roles have been filled to increase resources and new expertise. </w:t>
            </w:r>
          </w:p>
          <w:p w14:paraId="658E68D1" w14:textId="77777777" w:rsidR="00031736" w:rsidRPr="000517A4" w:rsidRDefault="00031736" w:rsidP="00031736">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 xml:space="preserve">A process to identify and centralise data sources to improve data quality and establish an ESV-wide approach commenced in 2021. ESV is implementing a ‘data hub’ that extracts data from all major ESV systems to centralises data sources. </w:t>
            </w:r>
          </w:p>
          <w:p w14:paraId="33ACCAB1" w14:textId="23581004" w:rsidR="00031736" w:rsidRPr="000517A4" w:rsidRDefault="00031736" w:rsidP="00031736">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An integrated action plan for data collection and management systems is also being developed as part of ESV’s enterprise architecture program (as described in the publicly available Corporate Plan 2020-2023).</w:t>
            </w:r>
          </w:p>
        </w:tc>
        <w:tc>
          <w:tcPr>
            <w:cnfStyle w:val="000010000000" w:firstRow="0" w:lastRow="0" w:firstColumn="0" w:lastColumn="0" w:oddVBand="1" w:evenVBand="0" w:oddHBand="0" w:evenHBand="0" w:firstRowFirstColumn="0" w:firstRowLastColumn="0" w:lastRowFirstColumn="0" w:lastRowLastColumn="0"/>
            <w:tcW w:w="817" w:type="pct"/>
          </w:tcPr>
          <w:p w14:paraId="046B2720" w14:textId="77777777" w:rsidR="00031736" w:rsidRPr="000517A4" w:rsidRDefault="00031736" w:rsidP="00031736">
            <w:pPr>
              <w:pStyle w:val="ListBullet"/>
              <w:numPr>
                <w:ilvl w:val="0"/>
                <w:numId w:val="0"/>
              </w:numPr>
              <w:spacing w:before="20"/>
              <w:rPr>
                <w:rFonts w:ascii="Calibri" w:hAnsi="Calibri" w:cs="Calibri"/>
              </w:rPr>
            </w:pPr>
            <w:r w:rsidRPr="000517A4">
              <w:rPr>
                <w:rFonts w:ascii="Calibri" w:hAnsi="Calibri" w:cs="Calibri"/>
                <w:b/>
                <w:bCs/>
              </w:rPr>
              <w:t>Complete</w:t>
            </w:r>
          </w:p>
          <w:p w14:paraId="06E8C212" w14:textId="77777777" w:rsidR="00031736" w:rsidRPr="000517A4" w:rsidRDefault="00031736" w:rsidP="00031736">
            <w:pPr>
              <w:pStyle w:val="ListBullet"/>
              <w:numPr>
                <w:ilvl w:val="0"/>
                <w:numId w:val="0"/>
              </w:numPr>
              <w:spacing w:before="20"/>
              <w:rPr>
                <w:rFonts w:ascii="Calibri" w:hAnsi="Calibri" w:cs="Calibri"/>
                <w:b/>
                <w:bCs/>
              </w:rPr>
            </w:pPr>
          </w:p>
        </w:tc>
      </w:tr>
      <w:tr w:rsidR="00465B13" w:rsidRPr="000517A4" w14:paraId="09EC0961" w14:textId="77777777" w:rsidTr="006F1317">
        <w:trPr>
          <w:trHeight w:val="1249"/>
        </w:trPr>
        <w:tc>
          <w:tcPr>
            <w:cnfStyle w:val="001000000000" w:firstRow="0" w:lastRow="0" w:firstColumn="1" w:lastColumn="0" w:oddVBand="0" w:evenVBand="0" w:oddHBand="0" w:evenHBand="0" w:firstRowFirstColumn="0" w:firstRowLastColumn="0" w:lastRowFirstColumn="0" w:lastRowLastColumn="0"/>
            <w:tcW w:w="207" w:type="pct"/>
          </w:tcPr>
          <w:p w14:paraId="650C7660" w14:textId="6355D406" w:rsidR="00465B13" w:rsidRPr="000517A4" w:rsidRDefault="00465B13" w:rsidP="00465B13">
            <w:pPr>
              <w:pStyle w:val="ListBullet"/>
              <w:numPr>
                <w:ilvl w:val="0"/>
                <w:numId w:val="0"/>
              </w:numPr>
              <w:spacing w:before="20"/>
              <w:jc w:val="both"/>
              <w:rPr>
                <w:rFonts w:ascii="Calibri" w:hAnsi="Calibri" w:cs="Calibri"/>
              </w:rPr>
            </w:pPr>
            <w:r w:rsidRPr="000517A4">
              <w:rPr>
                <w:rFonts w:ascii="Calibri" w:hAnsi="Calibri" w:cs="Calibri"/>
              </w:rPr>
              <w:t>15</w:t>
            </w:r>
          </w:p>
        </w:tc>
        <w:tc>
          <w:tcPr>
            <w:cnfStyle w:val="000010000000" w:firstRow="0" w:lastRow="0" w:firstColumn="0" w:lastColumn="0" w:oddVBand="1" w:evenVBand="0" w:oddHBand="0" w:evenHBand="0" w:firstRowFirstColumn="0" w:firstRowLastColumn="0" w:lastRowFirstColumn="0" w:lastRowLastColumn="0"/>
            <w:tcW w:w="2128" w:type="pct"/>
          </w:tcPr>
          <w:p w14:paraId="6EB3DBEB" w14:textId="77777777" w:rsidR="00465B13" w:rsidRPr="000517A4" w:rsidRDefault="00465B13" w:rsidP="00465B13">
            <w:pPr>
              <w:pStyle w:val="ListBullet"/>
              <w:numPr>
                <w:ilvl w:val="0"/>
                <w:numId w:val="0"/>
              </w:numPr>
              <w:spacing w:before="20"/>
              <w:jc w:val="both"/>
              <w:rPr>
                <w:rFonts w:ascii="Calibri" w:hAnsi="Calibri" w:cs="Calibri"/>
                <w:i/>
                <w:iCs/>
              </w:rPr>
            </w:pPr>
            <w:r w:rsidRPr="000517A4">
              <w:rPr>
                <w:rFonts w:ascii="Calibri" w:hAnsi="Calibri" w:cs="Calibri"/>
                <w:i/>
                <w:iCs/>
              </w:rPr>
              <w:t>Supported-in-</w:t>
            </w:r>
            <w:proofErr w:type="gramStart"/>
            <w:r w:rsidRPr="000517A4">
              <w:rPr>
                <w:rFonts w:ascii="Calibri" w:hAnsi="Calibri" w:cs="Calibri"/>
                <w:i/>
                <w:iCs/>
              </w:rPr>
              <w:t>principle</w:t>
            </w:r>
            <w:proofErr w:type="gramEnd"/>
          </w:p>
          <w:p w14:paraId="2A261ACA" w14:textId="0508BC3D" w:rsidR="00465B13" w:rsidRPr="000517A4" w:rsidRDefault="00465B13" w:rsidP="00465B13">
            <w:pPr>
              <w:pStyle w:val="ListBullet"/>
              <w:numPr>
                <w:ilvl w:val="0"/>
                <w:numId w:val="0"/>
              </w:numPr>
              <w:spacing w:before="20"/>
              <w:jc w:val="both"/>
              <w:rPr>
                <w:rFonts w:ascii="Calibri" w:hAnsi="Calibri" w:cs="Calibri"/>
                <w:i/>
                <w:iCs/>
              </w:rPr>
            </w:pPr>
            <w:r w:rsidRPr="000517A4">
              <w:rPr>
                <w:rFonts w:ascii="Calibri" w:hAnsi="Calibri" w:cs="Calibri"/>
              </w:rPr>
              <w:t xml:space="preserve">ESV should consider and respond to all recommendations of the report Assessment and Analysis of Incident Data Held by Energy Safe Victoria as part of strengthening and expanding its Data Management and Analytics Strategy. </w:t>
            </w:r>
          </w:p>
        </w:tc>
        <w:tc>
          <w:tcPr>
            <w:tcW w:w="1848" w:type="pct"/>
          </w:tcPr>
          <w:p w14:paraId="3B2A18FF" w14:textId="77777777" w:rsidR="00465B13" w:rsidRPr="000517A4" w:rsidRDefault="00465B13" w:rsidP="00465B13">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ESV is progressively addressing these recommendations and is improving fire reports, data relating to gas networks, and datasets from fire management agencies.</w:t>
            </w:r>
          </w:p>
          <w:p w14:paraId="12DE9007" w14:textId="590DC840" w:rsidR="00465B13" w:rsidRPr="000517A4" w:rsidRDefault="00465B13" w:rsidP="00465B13">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 xml:space="preserve">ESV is integrating agreed actions to deliver the recommendations into ESV’s corporate and business plans. </w:t>
            </w:r>
          </w:p>
        </w:tc>
        <w:tc>
          <w:tcPr>
            <w:cnfStyle w:val="000010000000" w:firstRow="0" w:lastRow="0" w:firstColumn="0" w:lastColumn="0" w:oddVBand="1" w:evenVBand="0" w:oddHBand="0" w:evenHBand="0" w:firstRowFirstColumn="0" w:firstRowLastColumn="0" w:lastRowFirstColumn="0" w:lastRowLastColumn="0"/>
            <w:tcW w:w="817" w:type="pct"/>
          </w:tcPr>
          <w:p w14:paraId="00C82262" w14:textId="77777777" w:rsidR="00465B13" w:rsidRPr="000517A4" w:rsidRDefault="00465B13" w:rsidP="00465B13">
            <w:pPr>
              <w:pStyle w:val="ListBullet"/>
              <w:numPr>
                <w:ilvl w:val="0"/>
                <w:numId w:val="0"/>
              </w:numPr>
              <w:spacing w:before="20"/>
              <w:rPr>
                <w:rFonts w:ascii="Calibri" w:hAnsi="Calibri" w:cs="Calibri"/>
              </w:rPr>
            </w:pPr>
            <w:r w:rsidRPr="000517A4">
              <w:rPr>
                <w:rFonts w:ascii="Calibri" w:hAnsi="Calibri" w:cs="Calibri"/>
                <w:b/>
              </w:rPr>
              <w:t>Complete</w:t>
            </w:r>
          </w:p>
          <w:p w14:paraId="7F480B72" w14:textId="77777777" w:rsidR="00465B13" w:rsidRPr="000517A4" w:rsidRDefault="00465B13" w:rsidP="00465B13">
            <w:pPr>
              <w:pStyle w:val="ListBullet"/>
              <w:numPr>
                <w:ilvl w:val="0"/>
                <w:numId w:val="0"/>
              </w:numPr>
              <w:spacing w:before="20"/>
              <w:rPr>
                <w:rFonts w:ascii="Calibri" w:hAnsi="Calibri" w:cs="Calibri"/>
                <w:b/>
                <w:bCs/>
              </w:rPr>
            </w:pPr>
          </w:p>
        </w:tc>
      </w:tr>
    </w:tbl>
    <w:p w14:paraId="5C77F1AB" w14:textId="77777777" w:rsidR="00986F62" w:rsidRDefault="00986F62">
      <w:pPr>
        <w:rPr>
          <w:rFonts w:ascii="Calibri" w:hAnsi="Calibri" w:cs="Calibri"/>
        </w:rPr>
      </w:pPr>
    </w:p>
    <w:p w14:paraId="0BCE523E" w14:textId="77777777" w:rsidR="00AB3046" w:rsidRDefault="00AB3046">
      <w:pPr>
        <w:rPr>
          <w:rFonts w:ascii="Calibri" w:hAnsi="Calibri" w:cs="Calibri"/>
        </w:rPr>
      </w:pPr>
    </w:p>
    <w:p w14:paraId="6FF62555" w14:textId="77777777" w:rsidR="00AB3046" w:rsidRDefault="00AB3046">
      <w:pPr>
        <w:rPr>
          <w:rFonts w:ascii="Calibri" w:hAnsi="Calibri" w:cs="Calibri"/>
        </w:rPr>
      </w:pPr>
    </w:p>
    <w:p w14:paraId="7F9BE983" w14:textId="77777777" w:rsidR="00AB3046" w:rsidRDefault="00AB3046">
      <w:pPr>
        <w:rPr>
          <w:rFonts w:ascii="Calibri" w:hAnsi="Calibri" w:cs="Calibri"/>
        </w:rPr>
      </w:pPr>
    </w:p>
    <w:p w14:paraId="6F6961F0" w14:textId="60F67802" w:rsidR="00AB3046" w:rsidRDefault="00AB3046">
      <w:pPr>
        <w:rPr>
          <w:rFonts w:ascii="Calibri" w:hAnsi="Calibri" w:cs="Calibri"/>
        </w:rPr>
      </w:pPr>
    </w:p>
    <w:p w14:paraId="6A66D0C5" w14:textId="77777777" w:rsidR="00C20676" w:rsidRDefault="00C20676">
      <w:pPr>
        <w:rPr>
          <w:rFonts w:ascii="Calibri" w:hAnsi="Calibri" w:cs="Calibri"/>
        </w:rPr>
      </w:pPr>
    </w:p>
    <w:p w14:paraId="658AD66A" w14:textId="77777777" w:rsidR="00AB3046" w:rsidRPr="000517A4" w:rsidRDefault="00AB3046">
      <w:pPr>
        <w:rPr>
          <w:rFonts w:ascii="Calibri" w:hAnsi="Calibri" w:cs="Calibri"/>
        </w:rPr>
      </w:pPr>
    </w:p>
    <w:p w14:paraId="2C814A83" w14:textId="3458136B" w:rsidR="009A304F" w:rsidRPr="00BA2E18" w:rsidRDefault="00993E08">
      <w:pPr>
        <w:rPr>
          <w:rFonts w:ascii="Calibri" w:eastAsiaTheme="majorEastAsia" w:hAnsi="Calibri" w:cs="Calibri"/>
          <w:b/>
          <w:bCs/>
          <w:color w:val="201547" w:themeColor="text2"/>
          <w:spacing w:val="-2"/>
          <w:sz w:val="24"/>
          <w:szCs w:val="24"/>
        </w:rPr>
      </w:pPr>
      <w:r w:rsidRPr="000517A4">
        <w:rPr>
          <w:rFonts w:ascii="Calibri" w:eastAsiaTheme="majorEastAsia" w:hAnsi="Calibri" w:cs="Calibri"/>
          <w:b/>
          <w:bCs/>
          <w:color w:val="201547" w:themeColor="text2"/>
          <w:spacing w:val="-2"/>
          <w:sz w:val="24"/>
          <w:szCs w:val="24"/>
        </w:rPr>
        <w:lastRenderedPageBreak/>
        <w:t>Better integration across agencies</w:t>
      </w:r>
    </w:p>
    <w:tbl>
      <w:tblPr>
        <w:tblStyle w:val="TableGrid"/>
        <w:tblW w:w="5000" w:type="pct"/>
        <w:tblLook w:val="02A0" w:firstRow="1" w:lastRow="0" w:firstColumn="1" w:lastColumn="0" w:noHBand="1" w:noVBand="0"/>
      </w:tblPr>
      <w:tblGrid>
        <w:gridCol w:w="604"/>
        <w:gridCol w:w="6201"/>
        <w:gridCol w:w="5385"/>
        <w:gridCol w:w="2381"/>
      </w:tblGrid>
      <w:tr w:rsidR="009A304F" w:rsidRPr="000517A4" w14:paraId="70091844" w14:textId="77777777" w:rsidTr="000A59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 w:type="pct"/>
          </w:tcPr>
          <w:p w14:paraId="7714540F" w14:textId="77777777" w:rsidR="009A304F" w:rsidRPr="000517A4" w:rsidRDefault="009A304F" w:rsidP="000A59A8">
            <w:pPr>
              <w:pStyle w:val="TableHeadingLeft"/>
              <w:rPr>
                <w:rFonts w:ascii="Calibri" w:hAnsi="Calibri" w:cs="Calibri"/>
              </w:rPr>
            </w:pPr>
            <w:r w:rsidRPr="000517A4">
              <w:rPr>
                <w:rFonts w:ascii="Calibri" w:hAnsi="Calibri" w:cs="Calibri"/>
              </w:rPr>
              <w:t>Ref.</w:t>
            </w:r>
          </w:p>
        </w:tc>
        <w:tc>
          <w:tcPr>
            <w:cnfStyle w:val="000010000000" w:firstRow="0" w:lastRow="0" w:firstColumn="0" w:lastColumn="0" w:oddVBand="1" w:evenVBand="0" w:oddHBand="0" w:evenHBand="0" w:firstRowFirstColumn="0" w:firstRowLastColumn="0" w:lastRowFirstColumn="0" w:lastRowLastColumn="0"/>
            <w:tcW w:w="2128" w:type="pct"/>
          </w:tcPr>
          <w:p w14:paraId="61E9C6CC" w14:textId="77777777" w:rsidR="009A304F" w:rsidRPr="000517A4" w:rsidRDefault="009A304F" w:rsidP="000A59A8">
            <w:pPr>
              <w:pStyle w:val="TableHeadingLeft"/>
              <w:rPr>
                <w:rFonts w:ascii="Calibri" w:hAnsi="Calibri" w:cs="Calibri"/>
              </w:rPr>
            </w:pPr>
            <w:r w:rsidRPr="000517A4">
              <w:rPr>
                <w:rFonts w:ascii="Calibri" w:hAnsi="Calibri" w:cs="Calibri"/>
              </w:rPr>
              <w:t>Recommendation</w:t>
            </w:r>
          </w:p>
        </w:tc>
        <w:tc>
          <w:tcPr>
            <w:tcW w:w="1848" w:type="pct"/>
          </w:tcPr>
          <w:p w14:paraId="607C69FB" w14:textId="77777777" w:rsidR="009A304F" w:rsidRPr="000517A4" w:rsidRDefault="009A304F" w:rsidP="000A59A8">
            <w:pPr>
              <w:pStyle w:val="TableHeadingLeft"/>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Actions completed and in progress</w:t>
            </w:r>
          </w:p>
        </w:tc>
        <w:tc>
          <w:tcPr>
            <w:cnfStyle w:val="000010000000" w:firstRow="0" w:lastRow="0" w:firstColumn="0" w:lastColumn="0" w:oddVBand="1" w:evenVBand="0" w:oddHBand="0" w:evenHBand="0" w:firstRowFirstColumn="0" w:firstRowLastColumn="0" w:lastRowFirstColumn="0" w:lastRowLastColumn="0"/>
            <w:tcW w:w="817" w:type="pct"/>
          </w:tcPr>
          <w:p w14:paraId="1FFAB547" w14:textId="77777777" w:rsidR="009A304F" w:rsidRPr="000517A4" w:rsidRDefault="009A304F" w:rsidP="000A59A8">
            <w:pPr>
              <w:pStyle w:val="TableHeadingLeft"/>
              <w:rPr>
                <w:rFonts w:ascii="Calibri" w:hAnsi="Calibri" w:cs="Calibri"/>
              </w:rPr>
            </w:pPr>
            <w:r w:rsidRPr="000517A4">
              <w:rPr>
                <w:rFonts w:ascii="Calibri" w:hAnsi="Calibri" w:cs="Calibri"/>
              </w:rPr>
              <w:t>Status</w:t>
            </w:r>
          </w:p>
        </w:tc>
      </w:tr>
      <w:tr w:rsidR="00085ACA" w:rsidRPr="000517A4" w14:paraId="4656138E" w14:textId="77777777" w:rsidTr="000A59A8">
        <w:tc>
          <w:tcPr>
            <w:cnfStyle w:val="001000000000" w:firstRow="0" w:lastRow="0" w:firstColumn="1" w:lastColumn="0" w:oddVBand="0" w:evenVBand="0" w:oddHBand="0" w:evenHBand="0" w:firstRowFirstColumn="0" w:firstRowLastColumn="0" w:lastRowFirstColumn="0" w:lastRowLastColumn="0"/>
            <w:tcW w:w="207" w:type="pct"/>
          </w:tcPr>
          <w:p w14:paraId="27F4E0BD" w14:textId="004F1B8E" w:rsidR="00085ACA" w:rsidRPr="000517A4" w:rsidRDefault="00085ACA" w:rsidP="00085ACA">
            <w:pPr>
              <w:pStyle w:val="TableTextLeft"/>
              <w:rPr>
                <w:rFonts w:ascii="Calibri" w:hAnsi="Calibri" w:cs="Calibri"/>
              </w:rPr>
            </w:pPr>
            <w:r w:rsidRPr="000517A4">
              <w:rPr>
                <w:rFonts w:ascii="Calibri" w:hAnsi="Calibri" w:cs="Calibri"/>
              </w:rPr>
              <w:t>16</w:t>
            </w:r>
          </w:p>
        </w:tc>
        <w:tc>
          <w:tcPr>
            <w:cnfStyle w:val="000010000000" w:firstRow="0" w:lastRow="0" w:firstColumn="0" w:lastColumn="0" w:oddVBand="1" w:evenVBand="0" w:oddHBand="0" w:evenHBand="0" w:firstRowFirstColumn="0" w:firstRowLastColumn="0" w:lastRowFirstColumn="0" w:lastRowLastColumn="0"/>
            <w:tcW w:w="2128" w:type="pct"/>
          </w:tcPr>
          <w:p w14:paraId="75E0B4C7" w14:textId="77777777" w:rsidR="00085ACA" w:rsidRPr="000517A4" w:rsidRDefault="00085ACA" w:rsidP="00085ACA">
            <w:pPr>
              <w:pStyle w:val="ListBullet"/>
              <w:numPr>
                <w:ilvl w:val="0"/>
                <w:numId w:val="0"/>
              </w:numPr>
              <w:spacing w:before="20"/>
              <w:jc w:val="both"/>
              <w:rPr>
                <w:rFonts w:ascii="Calibri" w:hAnsi="Calibri" w:cs="Calibri"/>
                <w:i/>
                <w:iCs/>
              </w:rPr>
            </w:pPr>
            <w:r w:rsidRPr="000517A4">
              <w:rPr>
                <w:rFonts w:ascii="Calibri" w:hAnsi="Calibri" w:cs="Calibri"/>
                <w:i/>
                <w:iCs/>
              </w:rPr>
              <w:t>Supported</w:t>
            </w:r>
          </w:p>
          <w:p w14:paraId="5E355CB0" w14:textId="703929DD" w:rsidR="00085ACA" w:rsidRPr="000517A4" w:rsidRDefault="00085ACA" w:rsidP="00085ACA">
            <w:pPr>
              <w:pStyle w:val="TableTextLeft"/>
              <w:rPr>
                <w:rFonts w:ascii="Calibri" w:hAnsi="Calibri" w:cs="Calibri"/>
              </w:rPr>
            </w:pPr>
            <w:r w:rsidRPr="000517A4">
              <w:rPr>
                <w:rFonts w:ascii="Calibri" w:hAnsi="Calibri" w:cs="Calibri"/>
              </w:rPr>
              <w:t xml:space="preserve">ESV should review each existing Memorandum of Understanding (MOU) with other regulators, government departments and agencies annually to ensure they remain current and fit-for-purpose. </w:t>
            </w:r>
          </w:p>
        </w:tc>
        <w:tc>
          <w:tcPr>
            <w:tcW w:w="1848" w:type="pct"/>
          </w:tcPr>
          <w:p w14:paraId="145398E1" w14:textId="77777777" w:rsidR="00085ACA" w:rsidRPr="000517A4" w:rsidRDefault="00085ACA" w:rsidP="00085ACA">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 xml:space="preserve">ESV has reviewed the inter-agency relationship documents it has in place with other regulators and government bodies and has collaborated with each relevant agency to update these documents as required. </w:t>
            </w:r>
          </w:p>
          <w:p w14:paraId="20119C49" w14:textId="661C9B7F" w:rsidR="00085ACA" w:rsidRPr="000517A4" w:rsidRDefault="00085ACA" w:rsidP="00085ACA">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0517A4">
              <w:rPr>
                <w:rFonts w:ascii="Calibri" w:hAnsi="Calibri" w:cs="Calibri"/>
              </w:rPr>
              <w:t>A comprehensive review of all existing Memorandums of Understanding (MOUs) was completed in July 2020, culminating in the tabling of a MOU register for noting at the September 2020 Executive Management Board meeting.</w:t>
            </w:r>
          </w:p>
        </w:tc>
        <w:tc>
          <w:tcPr>
            <w:cnfStyle w:val="000010000000" w:firstRow="0" w:lastRow="0" w:firstColumn="0" w:lastColumn="0" w:oddVBand="1" w:evenVBand="0" w:oddHBand="0" w:evenHBand="0" w:firstRowFirstColumn="0" w:firstRowLastColumn="0" w:lastRowFirstColumn="0" w:lastRowLastColumn="0"/>
            <w:tcW w:w="817" w:type="pct"/>
          </w:tcPr>
          <w:p w14:paraId="58B58256" w14:textId="728633F8" w:rsidR="00085ACA" w:rsidRPr="000517A4" w:rsidRDefault="00085ACA" w:rsidP="00085ACA">
            <w:pPr>
              <w:pStyle w:val="TableTextLeft"/>
              <w:rPr>
                <w:rFonts w:ascii="Calibri" w:hAnsi="Calibri" w:cs="Calibri"/>
              </w:rPr>
            </w:pPr>
            <w:r w:rsidRPr="000517A4">
              <w:rPr>
                <w:rFonts w:ascii="Calibri" w:hAnsi="Calibri" w:cs="Calibri"/>
                <w:b/>
                <w:bCs/>
              </w:rPr>
              <w:t xml:space="preserve">Complete </w:t>
            </w:r>
          </w:p>
        </w:tc>
      </w:tr>
      <w:tr w:rsidR="00085ACA" w:rsidRPr="000517A4" w14:paraId="5251F11C" w14:textId="77777777" w:rsidTr="000A59A8">
        <w:tc>
          <w:tcPr>
            <w:cnfStyle w:val="001000000000" w:firstRow="0" w:lastRow="0" w:firstColumn="1" w:lastColumn="0" w:oddVBand="0" w:evenVBand="0" w:oddHBand="0" w:evenHBand="0" w:firstRowFirstColumn="0" w:firstRowLastColumn="0" w:lastRowFirstColumn="0" w:lastRowLastColumn="0"/>
            <w:tcW w:w="207" w:type="pct"/>
          </w:tcPr>
          <w:p w14:paraId="6F390128" w14:textId="2184B352" w:rsidR="00085ACA" w:rsidRPr="000517A4" w:rsidRDefault="00085ACA" w:rsidP="00085ACA">
            <w:pPr>
              <w:pStyle w:val="TableTextLeft"/>
              <w:rPr>
                <w:rFonts w:ascii="Calibri" w:hAnsi="Calibri" w:cs="Calibri"/>
              </w:rPr>
            </w:pPr>
            <w:r w:rsidRPr="000517A4">
              <w:rPr>
                <w:rFonts w:ascii="Calibri" w:hAnsi="Calibri" w:cs="Calibri"/>
              </w:rPr>
              <w:t>17</w:t>
            </w:r>
          </w:p>
        </w:tc>
        <w:tc>
          <w:tcPr>
            <w:cnfStyle w:val="000010000000" w:firstRow="0" w:lastRow="0" w:firstColumn="0" w:lastColumn="0" w:oddVBand="1" w:evenVBand="0" w:oddHBand="0" w:evenHBand="0" w:firstRowFirstColumn="0" w:firstRowLastColumn="0" w:lastRowFirstColumn="0" w:lastRowLastColumn="0"/>
            <w:tcW w:w="2128" w:type="pct"/>
          </w:tcPr>
          <w:p w14:paraId="7AE01EF0" w14:textId="77777777" w:rsidR="00085ACA" w:rsidRPr="000517A4" w:rsidRDefault="00085ACA" w:rsidP="00085ACA">
            <w:pPr>
              <w:pStyle w:val="ListBullet"/>
              <w:numPr>
                <w:ilvl w:val="0"/>
                <w:numId w:val="0"/>
              </w:numPr>
              <w:spacing w:before="20"/>
              <w:jc w:val="both"/>
              <w:rPr>
                <w:rFonts w:ascii="Calibri" w:hAnsi="Calibri" w:cs="Calibri"/>
                <w:i/>
                <w:iCs/>
              </w:rPr>
            </w:pPr>
            <w:r w:rsidRPr="000517A4">
              <w:rPr>
                <w:rFonts w:ascii="Calibri" w:hAnsi="Calibri" w:cs="Calibri"/>
                <w:i/>
                <w:iCs/>
              </w:rPr>
              <w:t>Supported</w:t>
            </w:r>
          </w:p>
          <w:p w14:paraId="78EE3BD0" w14:textId="030FC857" w:rsidR="00085ACA" w:rsidRPr="000517A4" w:rsidRDefault="00085ACA" w:rsidP="00085ACA">
            <w:pPr>
              <w:pStyle w:val="TableTextLeft"/>
              <w:rPr>
                <w:rFonts w:ascii="Calibri" w:hAnsi="Calibri" w:cs="Calibri"/>
              </w:rPr>
            </w:pPr>
            <w:r w:rsidRPr="000517A4">
              <w:rPr>
                <w:rFonts w:ascii="Calibri" w:hAnsi="Calibri" w:cs="Calibri"/>
              </w:rPr>
              <w:t>ESV and DELWP should jointly develop an MOU to help manage their respective responsibilities. This should replace the MOU with the former Department of Primary Industries and update the arrangements to reflect the current allocation of responsibilities between ESV and the department. The MOU should recognise and facilitate ESV’s independence in regulatory decision making, and the department’s role as the principal source of policy advice to the Minister for Energy, Environment and Climate Change.</w:t>
            </w:r>
          </w:p>
        </w:tc>
        <w:tc>
          <w:tcPr>
            <w:tcW w:w="1848" w:type="pct"/>
          </w:tcPr>
          <w:p w14:paraId="0F855B7E" w14:textId="77777777" w:rsidR="00085ACA" w:rsidRPr="000517A4" w:rsidRDefault="00085ACA" w:rsidP="00085ACA">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 xml:space="preserve">DEECA and ESV developed a new MOU, recognising DEECA’s role in developing policy and advising the Minister for Energy and Resources on energy policy matters, and ESV’s role as the regulator of electricity and gas safety: </w:t>
            </w:r>
            <w:hyperlink r:id="rId26" w:history="1">
              <w:r w:rsidRPr="000517A4">
                <w:rPr>
                  <w:rStyle w:val="Hyperlink"/>
                  <w:rFonts w:ascii="Calibri" w:eastAsiaTheme="majorEastAsia" w:hAnsi="Calibri" w:cs="Calibri"/>
                  <w:color w:val="0070C0"/>
                </w:rPr>
                <w:t>https://www.esv.vic.gov.au/about-us/our-organisation/working-others/memorandums-understanding</w:t>
              </w:r>
            </w:hyperlink>
            <w:r w:rsidRPr="000517A4">
              <w:rPr>
                <w:rFonts w:ascii="Calibri" w:hAnsi="Calibri" w:cs="Calibri"/>
                <w:color w:val="0070C0"/>
              </w:rPr>
              <w:t xml:space="preserve"> </w:t>
            </w:r>
          </w:p>
          <w:p w14:paraId="2931F9A7" w14:textId="77777777" w:rsidR="00085ACA" w:rsidRPr="000517A4" w:rsidRDefault="00085ACA" w:rsidP="00085ACA">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cnfStyle w:val="000010000000" w:firstRow="0" w:lastRow="0" w:firstColumn="0" w:lastColumn="0" w:oddVBand="1" w:evenVBand="0" w:oddHBand="0" w:evenHBand="0" w:firstRowFirstColumn="0" w:firstRowLastColumn="0" w:lastRowFirstColumn="0" w:lastRowLastColumn="0"/>
            <w:tcW w:w="817" w:type="pct"/>
          </w:tcPr>
          <w:p w14:paraId="162987F8" w14:textId="0A13B8DC" w:rsidR="00085ACA" w:rsidRPr="000517A4" w:rsidRDefault="00085ACA" w:rsidP="00085ACA">
            <w:pPr>
              <w:pStyle w:val="TableTextLeft"/>
              <w:rPr>
                <w:rFonts w:ascii="Calibri" w:hAnsi="Calibri" w:cs="Calibri"/>
              </w:rPr>
            </w:pPr>
            <w:r w:rsidRPr="000517A4">
              <w:rPr>
                <w:rFonts w:ascii="Calibri" w:hAnsi="Calibri" w:cs="Calibri"/>
                <w:b/>
                <w:bCs/>
              </w:rPr>
              <w:t>Complete</w:t>
            </w:r>
            <w:r w:rsidRPr="000517A4">
              <w:rPr>
                <w:rFonts w:ascii="Calibri" w:hAnsi="Calibri" w:cs="Calibri"/>
              </w:rPr>
              <w:t xml:space="preserve"> </w:t>
            </w:r>
          </w:p>
        </w:tc>
      </w:tr>
      <w:tr w:rsidR="00085ACA" w:rsidRPr="000517A4" w14:paraId="6E475AE9" w14:textId="77777777" w:rsidTr="000A59A8">
        <w:tc>
          <w:tcPr>
            <w:cnfStyle w:val="001000000000" w:firstRow="0" w:lastRow="0" w:firstColumn="1" w:lastColumn="0" w:oddVBand="0" w:evenVBand="0" w:oddHBand="0" w:evenHBand="0" w:firstRowFirstColumn="0" w:firstRowLastColumn="0" w:lastRowFirstColumn="0" w:lastRowLastColumn="0"/>
            <w:tcW w:w="207" w:type="pct"/>
          </w:tcPr>
          <w:p w14:paraId="2C9BABF8" w14:textId="31A7905D" w:rsidR="00085ACA" w:rsidRPr="000517A4" w:rsidRDefault="00085ACA" w:rsidP="00085ACA">
            <w:pPr>
              <w:pStyle w:val="TableTextLeft"/>
              <w:rPr>
                <w:rFonts w:ascii="Calibri" w:hAnsi="Calibri" w:cs="Calibri"/>
              </w:rPr>
            </w:pPr>
            <w:r w:rsidRPr="000517A4">
              <w:rPr>
                <w:rFonts w:ascii="Calibri" w:hAnsi="Calibri" w:cs="Calibri"/>
              </w:rPr>
              <w:t>18</w:t>
            </w:r>
          </w:p>
        </w:tc>
        <w:tc>
          <w:tcPr>
            <w:cnfStyle w:val="000010000000" w:firstRow="0" w:lastRow="0" w:firstColumn="0" w:lastColumn="0" w:oddVBand="1" w:evenVBand="0" w:oddHBand="0" w:evenHBand="0" w:firstRowFirstColumn="0" w:firstRowLastColumn="0" w:lastRowFirstColumn="0" w:lastRowLastColumn="0"/>
            <w:tcW w:w="2128" w:type="pct"/>
          </w:tcPr>
          <w:p w14:paraId="0459FB5B" w14:textId="77777777" w:rsidR="00085ACA" w:rsidRPr="000517A4" w:rsidRDefault="00085ACA" w:rsidP="00085ACA">
            <w:pPr>
              <w:pStyle w:val="ListBullet"/>
              <w:numPr>
                <w:ilvl w:val="0"/>
                <w:numId w:val="0"/>
              </w:numPr>
              <w:spacing w:before="20"/>
              <w:jc w:val="both"/>
              <w:rPr>
                <w:rFonts w:ascii="Calibri" w:hAnsi="Calibri" w:cs="Calibri"/>
                <w:i/>
                <w:iCs/>
              </w:rPr>
            </w:pPr>
            <w:r w:rsidRPr="000517A4">
              <w:rPr>
                <w:rFonts w:ascii="Calibri" w:hAnsi="Calibri" w:cs="Calibri"/>
                <w:i/>
                <w:iCs/>
              </w:rPr>
              <w:t>Supported-in-</w:t>
            </w:r>
            <w:proofErr w:type="gramStart"/>
            <w:r w:rsidRPr="000517A4">
              <w:rPr>
                <w:rFonts w:ascii="Calibri" w:hAnsi="Calibri" w:cs="Calibri"/>
                <w:i/>
                <w:iCs/>
              </w:rPr>
              <w:t>principle</w:t>
            </w:r>
            <w:proofErr w:type="gramEnd"/>
          </w:p>
          <w:p w14:paraId="6FCA8D91" w14:textId="0B0C950C" w:rsidR="00085ACA" w:rsidRPr="000517A4" w:rsidRDefault="00085ACA" w:rsidP="00085ACA">
            <w:pPr>
              <w:pStyle w:val="ListBullet"/>
              <w:numPr>
                <w:ilvl w:val="0"/>
                <w:numId w:val="0"/>
              </w:numPr>
              <w:spacing w:before="20"/>
              <w:rPr>
                <w:rFonts w:ascii="Calibri" w:hAnsi="Calibri" w:cs="Calibri"/>
              </w:rPr>
            </w:pPr>
            <w:r w:rsidRPr="000517A4">
              <w:rPr>
                <w:rFonts w:ascii="Calibri" w:hAnsi="Calibri" w:cs="Calibri"/>
              </w:rPr>
              <w:t>The Essential Services Commission (ESC) should complete its review of the voltage variation standards under Clause 4.2.2 of the Electricity Distribution Code as soon as practicable. The planned broader reviews by the ESC of the Electricity Distribution Code and the Gas Distribution Code should ensure technical standards are clearly defined and consider the role of ESV in promoting and enforcing compliance with these standards.</w:t>
            </w:r>
          </w:p>
        </w:tc>
        <w:tc>
          <w:tcPr>
            <w:tcW w:w="1848" w:type="pct"/>
          </w:tcPr>
          <w:p w14:paraId="7CBEAFAB" w14:textId="77777777" w:rsidR="00085ACA" w:rsidRPr="000517A4" w:rsidRDefault="00085ACA" w:rsidP="00085ACA">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Style w:val="Hyperlink"/>
                <w:rFonts w:ascii="Calibri" w:eastAsiaTheme="majorEastAsia" w:hAnsi="Calibri" w:cs="Calibri"/>
              </w:rPr>
            </w:pPr>
            <w:r w:rsidRPr="000517A4">
              <w:rPr>
                <w:rFonts w:ascii="Calibri" w:hAnsi="Calibri" w:cs="Calibri"/>
              </w:rPr>
              <w:t xml:space="preserve">As part of its review of the Electricity Distribution Code, the ESC conducted a voltage variation standards review, and published its final decision on 3 April 2020: </w:t>
            </w:r>
            <w:hyperlink r:id="rId27">
              <w:r w:rsidRPr="000517A4">
                <w:rPr>
                  <w:rStyle w:val="Hyperlink"/>
                  <w:rFonts w:ascii="Calibri" w:eastAsia="Calibri" w:hAnsi="Calibri" w:cs="Calibri"/>
                  <w:color w:val="0563C1"/>
                </w:rPr>
                <w:t>Electricity Distribution Code review –Technical standards final decision</w:t>
              </w:r>
            </w:hyperlink>
          </w:p>
          <w:p w14:paraId="3A6629CF" w14:textId="16408132" w:rsidR="00085ACA" w:rsidRPr="000517A4" w:rsidRDefault="00085ACA" w:rsidP="00085ACA">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 xml:space="preserve">The ESC’s final decision made improvements to the voltage variation standards in the remade Electricity Distribution Code of Practice to ensure they align with Rapid Earth Fault Current Limiter (REFCL) requirements in the </w:t>
            </w:r>
            <w:r w:rsidRPr="000517A4">
              <w:rPr>
                <w:rFonts w:ascii="Calibri" w:hAnsi="Calibri" w:cs="Calibri"/>
                <w:i/>
                <w:iCs/>
              </w:rPr>
              <w:t>Electricity Safety Act 1998</w:t>
            </w:r>
            <w:r w:rsidRPr="000517A4">
              <w:rPr>
                <w:rFonts w:ascii="Calibri" w:hAnsi="Calibri" w:cs="Calibri"/>
              </w:rPr>
              <w:t>, and with the National Electricity Rules and the relevant Australian Standards</w:t>
            </w:r>
            <w:r w:rsidR="00EA6473">
              <w:rPr>
                <w:rFonts w:ascii="Calibri" w:hAnsi="Calibri" w:cs="Calibri"/>
              </w:rPr>
              <w:t>.</w:t>
            </w:r>
          </w:p>
          <w:p w14:paraId="7C5EB93F" w14:textId="77777777" w:rsidR="00085ACA" w:rsidRPr="000517A4" w:rsidRDefault="00085ACA" w:rsidP="00085ACA">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The ESC is consulting with ESV on its remaking of the Gas Distribution System Code of Practice (with the new code to commence in May 2024). The purpose of the review is to:</w:t>
            </w:r>
          </w:p>
          <w:p w14:paraId="58F597ED" w14:textId="77777777" w:rsidR="00085ACA" w:rsidRPr="000517A4" w:rsidRDefault="00085ACA" w:rsidP="00085ACA">
            <w:pPr>
              <w:pStyle w:val="ListBullet"/>
              <w:numPr>
                <w:ilvl w:val="0"/>
                <w:numId w:val="47"/>
              </w:numPr>
              <w:spacing w:before="20"/>
              <w:ind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lastRenderedPageBreak/>
              <w:t xml:space="preserve">allow effective compliance monitoring and </w:t>
            </w:r>
            <w:proofErr w:type="gramStart"/>
            <w:r w:rsidRPr="000517A4">
              <w:rPr>
                <w:rFonts w:ascii="Calibri" w:hAnsi="Calibri" w:cs="Calibri"/>
              </w:rPr>
              <w:t>enforcement</w:t>
            </w:r>
            <w:proofErr w:type="gramEnd"/>
          </w:p>
          <w:p w14:paraId="60D24A9E" w14:textId="77777777" w:rsidR="00085ACA" w:rsidRPr="000517A4" w:rsidRDefault="00085ACA" w:rsidP="00085ACA">
            <w:pPr>
              <w:pStyle w:val="ListBullet"/>
              <w:numPr>
                <w:ilvl w:val="0"/>
                <w:numId w:val="47"/>
              </w:numPr>
              <w:spacing w:before="20"/>
              <w:ind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align the code with the national regulatory framework and remove duplication and inconsistencies, and</w:t>
            </w:r>
          </w:p>
          <w:p w14:paraId="7E858256" w14:textId="77777777" w:rsidR="00085ACA" w:rsidRPr="000517A4" w:rsidRDefault="00085ACA" w:rsidP="00085ACA">
            <w:pPr>
              <w:pStyle w:val="ListBullet"/>
              <w:numPr>
                <w:ilvl w:val="0"/>
                <w:numId w:val="47"/>
              </w:numPr>
              <w:spacing w:before="20"/>
              <w:ind w:right="113"/>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support policy developments and the Victorian Government’s Gas Substitution Roadmap.</w:t>
            </w:r>
          </w:p>
          <w:p w14:paraId="1CC70752" w14:textId="056412ED" w:rsidR="00085ACA" w:rsidRPr="000517A4" w:rsidRDefault="00085ACA" w:rsidP="00C20676">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See also recommendations 23 and 24.</w:t>
            </w:r>
          </w:p>
        </w:tc>
        <w:tc>
          <w:tcPr>
            <w:cnfStyle w:val="000010000000" w:firstRow="0" w:lastRow="0" w:firstColumn="0" w:lastColumn="0" w:oddVBand="1" w:evenVBand="0" w:oddHBand="0" w:evenHBand="0" w:firstRowFirstColumn="0" w:firstRowLastColumn="0" w:lastRowFirstColumn="0" w:lastRowLastColumn="0"/>
            <w:tcW w:w="817" w:type="pct"/>
          </w:tcPr>
          <w:p w14:paraId="1A70A3C4" w14:textId="2EEDC838" w:rsidR="00085ACA" w:rsidRPr="000517A4" w:rsidRDefault="00085ACA" w:rsidP="00085ACA">
            <w:pPr>
              <w:rPr>
                <w:rFonts w:ascii="Calibri" w:hAnsi="Calibri" w:cs="Calibri"/>
              </w:rPr>
            </w:pPr>
            <w:r w:rsidRPr="000517A4">
              <w:rPr>
                <w:rFonts w:ascii="Calibri" w:hAnsi="Calibri" w:cs="Calibri"/>
                <w:b/>
                <w:bCs/>
              </w:rPr>
              <w:lastRenderedPageBreak/>
              <w:t xml:space="preserve">Complete </w:t>
            </w:r>
          </w:p>
        </w:tc>
      </w:tr>
      <w:tr w:rsidR="00B5274F" w:rsidRPr="000517A4" w14:paraId="126C24EE" w14:textId="77777777" w:rsidTr="000A59A8">
        <w:tc>
          <w:tcPr>
            <w:cnfStyle w:val="001000000000" w:firstRow="0" w:lastRow="0" w:firstColumn="1" w:lastColumn="0" w:oddVBand="0" w:evenVBand="0" w:oddHBand="0" w:evenHBand="0" w:firstRowFirstColumn="0" w:firstRowLastColumn="0" w:lastRowFirstColumn="0" w:lastRowLastColumn="0"/>
            <w:tcW w:w="207" w:type="pct"/>
            <w:vMerge w:val="restart"/>
          </w:tcPr>
          <w:p w14:paraId="42778C23" w14:textId="7326C596" w:rsidR="00B5274F" w:rsidRPr="000517A4" w:rsidRDefault="00B5274F" w:rsidP="00085ACA">
            <w:pPr>
              <w:pStyle w:val="TableTextLeft"/>
              <w:rPr>
                <w:rFonts w:ascii="Calibri" w:hAnsi="Calibri" w:cs="Calibri"/>
              </w:rPr>
            </w:pPr>
            <w:r w:rsidRPr="000517A4">
              <w:rPr>
                <w:rFonts w:ascii="Calibri" w:hAnsi="Calibri" w:cs="Calibri"/>
              </w:rPr>
              <w:t>19</w:t>
            </w:r>
          </w:p>
        </w:tc>
        <w:tc>
          <w:tcPr>
            <w:cnfStyle w:val="000010000000" w:firstRow="0" w:lastRow="0" w:firstColumn="0" w:lastColumn="0" w:oddVBand="1" w:evenVBand="0" w:oddHBand="0" w:evenHBand="0" w:firstRowFirstColumn="0" w:firstRowLastColumn="0" w:lastRowFirstColumn="0" w:lastRowLastColumn="0"/>
            <w:tcW w:w="2128" w:type="pct"/>
            <w:vMerge w:val="restart"/>
          </w:tcPr>
          <w:p w14:paraId="31770301" w14:textId="77777777" w:rsidR="00B5274F" w:rsidRPr="000517A4" w:rsidRDefault="00B5274F" w:rsidP="00085ACA">
            <w:pPr>
              <w:pStyle w:val="ListBullet"/>
              <w:numPr>
                <w:ilvl w:val="0"/>
                <w:numId w:val="0"/>
              </w:numPr>
              <w:spacing w:before="20"/>
              <w:rPr>
                <w:rFonts w:ascii="Calibri" w:hAnsi="Calibri" w:cs="Calibri"/>
              </w:rPr>
            </w:pPr>
            <w:r w:rsidRPr="000517A4">
              <w:rPr>
                <w:rFonts w:ascii="Calibri" w:hAnsi="Calibri" w:cs="Calibri"/>
                <w:i/>
                <w:iCs/>
              </w:rPr>
              <w:t>Supported</w:t>
            </w:r>
            <w:r w:rsidRPr="000517A4">
              <w:rPr>
                <w:rFonts w:ascii="Calibri" w:hAnsi="Calibri" w:cs="Calibri"/>
              </w:rPr>
              <w:t xml:space="preserve"> </w:t>
            </w:r>
          </w:p>
          <w:p w14:paraId="286DF6C6" w14:textId="3DBB0C6A" w:rsidR="00B5274F" w:rsidRPr="000517A4" w:rsidRDefault="00B5274F" w:rsidP="00085ACA">
            <w:pPr>
              <w:pStyle w:val="ListBullet"/>
              <w:numPr>
                <w:ilvl w:val="0"/>
                <w:numId w:val="0"/>
              </w:numPr>
              <w:spacing w:before="20"/>
              <w:rPr>
                <w:rFonts w:ascii="Calibri" w:hAnsi="Calibri" w:cs="Calibri"/>
              </w:rPr>
            </w:pPr>
            <w:r w:rsidRPr="000517A4">
              <w:rPr>
                <w:rFonts w:ascii="Calibri" w:hAnsi="Calibri" w:cs="Calibri"/>
              </w:rPr>
              <w:t>ESV should review, and update where necessary, the Electricity Hazards and Safety Handbook for Emergency Service Personnel in consultation with DELWP, network businesses and the relevant emergency services agencies. This review should consider any areas in which current operational responsibilities require clarification. In addition, ESV should prepare a Gas Hazards and Safety Handbook in consultation with DELWP, the industry and the relevant emergency services agencies.</w:t>
            </w:r>
          </w:p>
        </w:tc>
        <w:tc>
          <w:tcPr>
            <w:tcW w:w="1848" w:type="pct"/>
          </w:tcPr>
          <w:p w14:paraId="1133E767" w14:textId="4BD80A2F" w:rsidR="00B5274F" w:rsidRPr="000517A4" w:rsidRDefault="00B5274F" w:rsidP="00085ACA">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 xml:space="preserve">The Electricity Hazards and Safety Handbook for Emergency Service Personnel was updated and published in September 2018 and can be found on the ESV website at </w:t>
            </w:r>
            <w:hyperlink r:id="rId28" w:history="1">
              <w:r w:rsidRPr="000517A4">
                <w:rPr>
                  <w:rStyle w:val="Hyperlink"/>
                  <w:rFonts w:ascii="Calibri" w:eastAsiaTheme="majorEastAsia" w:hAnsi="Calibri" w:cs="Calibri"/>
                  <w:color w:val="0070C0"/>
                </w:rPr>
                <w:t>https://esv.vic.gov.au/pdfs/electricity-hazards-safety-guide/</w:t>
              </w:r>
            </w:hyperlink>
          </w:p>
        </w:tc>
        <w:tc>
          <w:tcPr>
            <w:cnfStyle w:val="000010000000" w:firstRow="0" w:lastRow="0" w:firstColumn="0" w:lastColumn="0" w:oddVBand="1" w:evenVBand="0" w:oddHBand="0" w:evenHBand="0" w:firstRowFirstColumn="0" w:firstRowLastColumn="0" w:lastRowFirstColumn="0" w:lastRowLastColumn="0"/>
            <w:tcW w:w="817" w:type="pct"/>
          </w:tcPr>
          <w:p w14:paraId="4DECD9CB" w14:textId="3A0B9872" w:rsidR="00B5274F" w:rsidRPr="000517A4" w:rsidRDefault="00B5274F" w:rsidP="00085ACA">
            <w:pPr>
              <w:rPr>
                <w:rFonts w:ascii="Calibri" w:hAnsi="Calibri" w:cs="Calibri"/>
              </w:rPr>
            </w:pPr>
            <w:r w:rsidRPr="000517A4">
              <w:rPr>
                <w:rFonts w:ascii="Calibri" w:hAnsi="Calibri" w:cs="Calibri"/>
                <w:b/>
                <w:bCs/>
              </w:rPr>
              <w:t xml:space="preserve">Complete </w:t>
            </w:r>
          </w:p>
        </w:tc>
      </w:tr>
      <w:tr w:rsidR="00B5274F" w:rsidRPr="000517A4" w14:paraId="7F191635" w14:textId="77777777" w:rsidTr="000A59A8">
        <w:tc>
          <w:tcPr>
            <w:cnfStyle w:val="001000000000" w:firstRow="0" w:lastRow="0" w:firstColumn="1" w:lastColumn="0" w:oddVBand="0" w:evenVBand="0" w:oddHBand="0" w:evenHBand="0" w:firstRowFirstColumn="0" w:firstRowLastColumn="0" w:lastRowFirstColumn="0" w:lastRowLastColumn="0"/>
            <w:tcW w:w="207" w:type="pct"/>
            <w:vMerge/>
          </w:tcPr>
          <w:p w14:paraId="59D16C51" w14:textId="040A2B93" w:rsidR="00B5274F" w:rsidRPr="000517A4" w:rsidRDefault="00B5274F" w:rsidP="00085ACA">
            <w:pPr>
              <w:pStyle w:val="TableTextLeft"/>
              <w:rPr>
                <w:rFonts w:ascii="Calibri" w:hAnsi="Calibri" w:cs="Calibri"/>
              </w:rPr>
            </w:pPr>
          </w:p>
        </w:tc>
        <w:tc>
          <w:tcPr>
            <w:cnfStyle w:val="000010000000" w:firstRow="0" w:lastRow="0" w:firstColumn="0" w:lastColumn="0" w:oddVBand="1" w:evenVBand="0" w:oddHBand="0" w:evenHBand="0" w:firstRowFirstColumn="0" w:firstRowLastColumn="0" w:lastRowFirstColumn="0" w:lastRowLastColumn="0"/>
            <w:tcW w:w="2128" w:type="pct"/>
            <w:vMerge/>
          </w:tcPr>
          <w:p w14:paraId="5FD42C83" w14:textId="59ED6A0C" w:rsidR="00B5274F" w:rsidRPr="000517A4" w:rsidRDefault="00B5274F" w:rsidP="00085ACA">
            <w:pPr>
              <w:pStyle w:val="ListBullet"/>
              <w:numPr>
                <w:ilvl w:val="0"/>
                <w:numId w:val="0"/>
              </w:numPr>
              <w:spacing w:before="20"/>
              <w:rPr>
                <w:rFonts w:ascii="Calibri" w:hAnsi="Calibri" w:cs="Calibri"/>
              </w:rPr>
            </w:pPr>
          </w:p>
        </w:tc>
        <w:tc>
          <w:tcPr>
            <w:tcW w:w="1848" w:type="pct"/>
          </w:tcPr>
          <w:p w14:paraId="69E4326A" w14:textId="70FB45F2" w:rsidR="00B5274F" w:rsidRDefault="00B5274F" w:rsidP="00085ACA">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color w:val="0070C0"/>
                <w:u w:val="single"/>
              </w:rPr>
            </w:pPr>
            <w:r w:rsidRPr="000517A4">
              <w:rPr>
                <w:rFonts w:ascii="Calibri" w:hAnsi="Calibri" w:cs="Calibri"/>
              </w:rPr>
              <w:t xml:space="preserve">The Natural Gas Hazards Safety Guide was published in 2021, following consultation with Emergency Services: </w:t>
            </w:r>
          </w:p>
          <w:p w14:paraId="69BC7614" w14:textId="6B36BD26" w:rsidR="00B5274F" w:rsidRPr="00C20676" w:rsidRDefault="00000000" w:rsidP="00C20676">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color w:val="0070C0"/>
                <w:u w:val="single"/>
              </w:rPr>
            </w:pPr>
            <w:hyperlink r:id="rId29" w:history="1">
              <w:proofErr w:type="spellStart"/>
              <w:r w:rsidR="000148DC" w:rsidRPr="00DC5480">
                <w:rPr>
                  <w:rFonts w:ascii="Calibri" w:hAnsi="Calibri" w:cs="Calibri"/>
                  <w:color w:val="0070C0"/>
                  <w:u w:val="single"/>
                </w:rPr>
                <w:t>ESVNaturalGasHazardsSafetyGuide</w:t>
              </w:r>
              <w:proofErr w:type="spellEnd"/>
              <w:r w:rsidR="000148DC" w:rsidRPr="00DC5480">
                <w:rPr>
                  <w:rFonts w:ascii="Calibri" w:hAnsi="Calibri" w:cs="Calibri"/>
                  <w:color w:val="0070C0"/>
                  <w:u w:val="single"/>
                </w:rPr>
                <w:t xml:space="preserve"> WEB.pdf</w:t>
              </w:r>
            </w:hyperlink>
            <w:r w:rsidR="000148DC" w:rsidRPr="00DC5480">
              <w:rPr>
                <w:rFonts w:ascii="Calibri" w:hAnsi="Calibri" w:cs="Calibri"/>
                <w:color w:val="0070C0"/>
                <w:u w:val="single"/>
              </w:rPr>
              <w:t xml:space="preserve"> </w:t>
            </w:r>
          </w:p>
        </w:tc>
        <w:tc>
          <w:tcPr>
            <w:cnfStyle w:val="000010000000" w:firstRow="0" w:lastRow="0" w:firstColumn="0" w:lastColumn="0" w:oddVBand="1" w:evenVBand="0" w:oddHBand="0" w:evenHBand="0" w:firstRowFirstColumn="0" w:firstRowLastColumn="0" w:lastRowFirstColumn="0" w:lastRowLastColumn="0"/>
            <w:tcW w:w="817" w:type="pct"/>
          </w:tcPr>
          <w:p w14:paraId="7E0ACAF5" w14:textId="726F0703" w:rsidR="00B5274F" w:rsidRPr="000517A4" w:rsidRDefault="00B5274F" w:rsidP="00085ACA">
            <w:pPr>
              <w:rPr>
                <w:rFonts w:ascii="Calibri" w:hAnsi="Calibri" w:cs="Calibri"/>
              </w:rPr>
            </w:pPr>
            <w:r w:rsidRPr="000517A4">
              <w:rPr>
                <w:rFonts w:ascii="Calibri" w:hAnsi="Calibri" w:cs="Calibri"/>
                <w:b/>
                <w:bCs/>
              </w:rPr>
              <w:t>Complete</w:t>
            </w:r>
          </w:p>
        </w:tc>
      </w:tr>
      <w:tr w:rsidR="00085ACA" w:rsidRPr="000517A4" w14:paraId="7C90B7F1" w14:textId="77777777" w:rsidTr="000A59A8">
        <w:tc>
          <w:tcPr>
            <w:cnfStyle w:val="001000000000" w:firstRow="0" w:lastRow="0" w:firstColumn="1" w:lastColumn="0" w:oddVBand="0" w:evenVBand="0" w:oddHBand="0" w:evenHBand="0" w:firstRowFirstColumn="0" w:firstRowLastColumn="0" w:lastRowFirstColumn="0" w:lastRowLastColumn="0"/>
            <w:tcW w:w="207" w:type="pct"/>
          </w:tcPr>
          <w:p w14:paraId="0075DD2E" w14:textId="286CFD9F" w:rsidR="00085ACA" w:rsidRPr="000517A4" w:rsidRDefault="00085ACA" w:rsidP="00085ACA">
            <w:pPr>
              <w:pStyle w:val="TableTextLeft"/>
              <w:rPr>
                <w:rFonts w:ascii="Calibri" w:hAnsi="Calibri" w:cs="Calibri"/>
              </w:rPr>
            </w:pPr>
            <w:r w:rsidRPr="000517A4">
              <w:rPr>
                <w:rFonts w:ascii="Calibri" w:hAnsi="Calibri" w:cs="Calibri"/>
              </w:rPr>
              <w:t>20</w:t>
            </w:r>
          </w:p>
        </w:tc>
        <w:tc>
          <w:tcPr>
            <w:cnfStyle w:val="000010000000" w:firstRow="0" w:lastRow="0" w:firstColumn="0" w:lastColumn="0" w:oddVBand="1" w:evenVBand="0" w:oddHBand="0" w:evenHBand="0" w:firstRowFirstColumn="0" w:firstRowLastColumn="0" w:lastRowFirstColumn="0" w:lastRowLastColumn="0"/>
            <w:tcW w:w="2128" w:type="pct"/>
          </w:tcPr>
          <w:p w14:paraId="784A763B" w14:textId="77777777" w:rsidR="00085ACA" w:rsidRPr="000517A4" w:rsidRDefault="00085ACA" w:rsidP="00085ACA">
            <w:pPr>
              <w:pStyle w:val="ListBullet"/>
              <w:numPr>
                <w:ilvl w:val="0"/>
                <w:numId w:val="0"/>
              </w:numPr>
              <w:spacing w:before="20"/>
              <w:jc w:val="both"/>
              <w:rPr>
                <w:rFonts w:ascii="Calibri" w:hAnsi="Calibri" w:cs="Calibri"/>
                <w:i/>
                <w:iCs/>
              </w:rPr>
            </w:pPr>
            <w:r w:rsidRPr="000517A4">
              <w:rPr>
                <w:rFonts w:ascii="Calibri" w:hAnsi="Calibri" w:cs="Calibri"/>
                <w:i/>
                <w:iCs/>
              </w:rPr>
              <w:t>Supported</w:t>
            </w:r>
          </w:p>
          <w:p w14:paraId="1A67E34A" w14:textId="5BA69B7C" w:rsidR="00085ACA" w:rsidRPr="000517A4" w:rsidRDefault="00085ACA" w:rsidP="00085ACA">
            <w:pPr>
              <w:pStyle w:val="ListBullet"/>
              <w:numPr>
                <w:ilvl w:val="0"/>
                <w:numId w:val="0"/>
              </w:numPr>
              <w:spacing w:before="20"/>
              <w:rPr>
                <w:rFonts w:ascii="Calibri" w:hAnsi="Calibri" w:cs="Calibri"/>
              </w:rPr>
            </w:pPr>
            <w:r w:rsidRPr="000517A4">
              <w:rPr>
                <w:rFonts w:ascii="Calibri" w:hAnsi="Calibri" w:cs="Calibri"/>
              </w:rPr>
              <w:t xml:space="preserve">In consultation with the Australian Energy Regulator (AER), ESV should annually evaluate the operation of its MOU with the AER. A summary of each evaluation should be published in ESV's Annual Report. </w:t>
            </w:r>
          </w:p>
        </w:tc>
        <w:tc>
          <w:tcPr>
            <w:tcW w:w="1848" w:type="pct"/>
          </w:tcPr>
          <w:p w14:paraId="21A7CD2C" w14:textId="77777777" w:rsidR="00085ACA" w:rsidRPr="000517A4" w:rsidRDefault="00085ACA" w:rsidP="00085ACA">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Style w:val="Hyperlink"/>
                <w:rFonts w:ascii="Calibri" w:eastAsiaTheme="majorEastAsia" w:hAnsi="Calibri" w:cs="Calibri"/>
              </w:rPr>
            </w:pPr>
            <w:bookmarkStart w:id="53" w:name="_Hlk54261952"/>
            <w:r w:rsidRPr="000517A4">
              <w:rPr>
                <w:rFonts w:ascii="Calibri" w:hAnsi="Calibri" w:cs="Calibri"/>
              </w:rPr>
              <w:t xml:space="preserve">The new MOU was signed off by both parties in August 2019 and published in October 2019. It can be found on the ESV website at </w:t>
            </w:r>
            <w:hyperlink r:id="rId30" w:history="1">
              <w:r w:rsidRPr="000517A4">
                <w:rPr>
                  <w:rFonts w:ascii="Calibri" w:hAnsi="Calibri" w:cs="Calibri"/>
                  <w:color w:val="0070C0"/>
                  <w:u w:val="single"/>
                </w:rPr>
                <w:t>https://www.esv.vic.gov.au/about-us/our-organisation/working-others/memorandums-understanding</w:t>
              </w:r>
            </w:hyperlink>
            <w:bookmarkEnd w:id="53"/>
            <w:r w:rsidRPr="000517A4">
              <w:rPr>
                <w:rFonts w:ascii="Calibri" w:hAnsi="Calibri" w:cs="Calibri"/>
                <w:u w:val="single"/>
              </w:rPr>
              <w:t>.</w:t>
            </w:r>
            <w:r w:rsidRPr="000517A4">
              <w:rPr>
                <w:rStyle w:val="Hyperlink"/>
                <w:rFonts w:ascii="Calibri" w:eastAsiaTheme="majorEastAsia" w:hAnsi="Calibri" w:cs="Calibri"/>
              </w:rPr>
              <w:t xml:space="preserve"> </w:t>
            </w:r>
          </w:p>
          <w:p w14:paraId="1EEA86EA" w14:textId="522EA8D1" w:rsidR="00085ACA" w:rsidRPr="00C20676" w:rsidRDefault="00085ACA" w:rsidP="00C20676">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color w:val="232222" w:themeColor="hyperlink"/>
              </w:rPr>
            </w:pPr>
            <w:r w:rsidRPr="000517A4">
              <w:rPr>
                <w:rStyle w:val="Hyperlink"/>
                <w:rFonts w:ascii="Calibri" w:eastAsiaTheme="majorEastAsia" w:hAnsi="Calibri" w:cs="Calibri"/>
                <w:u w:val="none"/>
              </w:rPr>
              <w:t xml:space="preserve">ESV’s Commission includes one former AER and one former ESC representative, which has enabled further corporate knowledge of the economic regulatory framework to be embedded into ESV. </w:t>
            </w:r>
          </w:p>
        </w:tc>
        <w:tc>
          <w:tcPr>
            <w:cnfStyle w:val="000010000000" w:firstRow="0" w:lastRow="0" w:firstColumn="0" w:lastColumn="0" w:oddVBand="1" w:evenVBand="0" w:oddHBand="0" w:evenHBand="0" w:firstRowFirstColumn="0" w:firstRowLastColumn="0" w:lastRowFirstColumn="0" w:lastRowLastColumn="0"/>
            <w:tcW w:w="817" w:type="pct"/>
          </w:tcPr>
          <w:p w14:paraId="51B63266" w14:textId="77777777" w:rsidR="00085ACA" w:rsidRPr="000517A4" w:rsidRDefault="00085ACA" w:rsidP="00085ACA">
            <w:pPr>
              <w:pStyle w:val="ListBullet"/>
              <w:numPr>
                <w:ilvl w:val="0"/>
                <w:numId w:val="0"/>
              </w:numPr>
              <w:spacing w:before="20"/>
              <w:rPr>
                <w:rFonts w:ascii="Calibri" w:hAnsi="Calibri" w:cs="Calibri"/>
              </w:rPr>
            </w:pPr>
            <w:r w:rsidRPr="000517A4">
              <w:rPr>
                <w:rFonts w:ascii="Calibri" w:hAnsi="Calibri" w:cs="Calibri"/>
                <w:b/>
                <w:bCs/>
              </w:rPr>
              <w:t>Complete</w:t>
            </w:r>
          </w:p>
          <w:p w14:paraId="26469361" w14:textId="15365862" w:rsidR="00085ACA" w:rsidRPr="000517A4" w:rsidRDefault="00085ACA" w:rsidP="00085ACA">
            <w:pPr>
              <w:rPr>
                <w:rFonts w:ascii="Calibri" w:hAnsi="Calibri" w:cs="Calibri"/>
              </w:rPr>
            </w:pPr>
          </w:p>
        </w:tc>
      </w:tr>
      <w:tr w:rsidR="00085ACA" w:rsidRPr="000517A4" w14:paraId="5DFE87D2" w14:textId="77777777" w:rsidTr="000A59A8">
        <w:tc>
          <w:tcPr>
            <w:cnfStyle w:val="001000000000" w:firstRow="0" w:lastRow="0" w:firstColumn="1" w:lastColumn="0" w:oddVBand="0" w:evenVBand="0" w:oddHBand="0" w:evenHBand="0" w:firstRowFirstColumn="0" w:firstRowLastColumn="0" w:lastRowFirstColumn="0" w:lastRowLastColumn="0"/>
            <w:tcW w:w="207" w:type="pct"/>
          </w:tcPr>
          <w:p w14:paraId="730FE109" w14:textId="55B8494C" w:rsidR="00085ACA" w:rsidRPr="000517A4" w:rsidRDefault="00085ACA" w:rsidP="00085ACA">
            <w:pPr>
              <w:pStyle w:val="TableTextLeft"/>
              <w:rPr>
                <w:rFonts w:ascii="Calibri" w:hAnsi="Calibri" w:cs="Calibri"/>
              </w:rPr>
            </w:pPr>
            <w:r w:rsidRPr="000517A4">
              <w:rPr>
                <w:rFonts w:ascii="Calibri" w:hAnsi="Calibri" w:cs="Calibri"/>
              </w:rPr>
              <w:t>21</w:t>
            </w:r>
          </w:p>
        </w:tc>
        <w:tc>
          <w:tcPr>
            <w:cnfStyle w:val="000010000000" w:firstRow="0" w:lastRow="0" w:firstColumn="0" w:lastColumn="0" w:oddVBand="1" w:evenVBand="0" w:oddHBand="0" w:evenHBand="0" w:firstRowFirstColumn="0" w:firstRowLastColumn="0" w:lastRowFirstColumn="0" w:lastRowLastColumn="0"/>
            <w:tcW w:w="2128" w:type="pct"/>
          </w:tcPr>
          <w:p w14:paraId="19E0C513" w14:textId="77777777" w:rsidR="00085ACA" w:rsidRPr="000517A4" w:rsidRDefault="00085ACA" w:rsidP="00085ACA">
            <w:pPr>
              <w:pStyle w:val="ListBullet"/>
              <w:numPr>
                <w:ilvl w:val="0"/>
                <w:numId w:val="0"/>
              </w:numPr>
              <w:spacing w:before="20"/>
              <w:jc w:val="both"/>
              <w:rPr>
                <w:rFonts w:ascii="Calibri" w:hAnsi="Calibri" w:cs="Calibri"/>
                <w:i/>
                <w:iCs/>
              </w:rPr>
            </w:pPr>
            <w:r w:rsidRPr="000517A4">
              <w:rPr>
                <w:rFonts w:ascii="Calibri" w:hAnsi="Calibri" w:cs="Calibri"/>
                <w:i/>
                <w:iCs/>
              </w:rPr>
              <w:t>Supported</w:t>
            </w:r>
          </w:p>
          <w:p w14:paraId="7C4BBDE0" w14:textId="5EF522EC" w:rsidR="00085ACA" w:rsidRPr="000517A4" w:rsidRDefault="00085ACA" w:rsidP="00085ACA">
            <w:pPr>
              <w:pStyle w:val="ListBullet"/>
              <w:numPr>
                <w:ilvl w:val="0"/>
                <w:numId w:val="0"/>
              </w:numPr>
              <w:spacing w:before="20"/>
              <w:rPr>
                <w:rFonts w:ascii="Calibri" w:hAnsi="Calibri" w:cs="Calibri"/>
              </w:rPr>
            </w:pPr>
            <w:r w:rsidRPr="000517A4">
              <w:rPr>
                <w:rFonts w:ascii="Calibri" w:hAnsi="Calibri" w:cs="Calibri"/>
              </w:rPr>
              <w:t>In consultation with the AER, ESV should prepare public guidance that sets out clear protocols to facilitate effective engagement between ESV and regulated network businesses as an input into price review processes conducted by the AER.</w:t>
            </w:r>
          </w:p>
        </w:tc>
        <w:tc>
          <w:tcPr>
            <w:tcW w:w="1848" w:type="pct"/>
          </w:tcPr>
          <w:p w14:paraId="7D499A56" w14:textId="77777777" w:rsidR="00085ACA" w:rsidRPr="000517A4" w:rsidRDefault="00085ACA" w:rsidP="00085ACA">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 xml:space="preserve">The completed MOU between ESV and AER includes guidance on the engagement process. </w:t>
            </w:r>
          </w:p>
          <w:p w14:paraId="697A32C0" w14:textId="398CB38B" w:rsidR="00085ACA" w:rsidRPr="000517A4" w:rsidRDefault="00085ACA" w:rsidP="00085ACA">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cnfStyle w:val="000010000000" w:firstRow="0" w:lastRow="0" w:firstColumn="0" w:lastColumn="0" w:oddVBand="1" w:evenVBand="0" w:oddHBand="0" w:evenHBand="0" w:firstRowFirstColumn="0" w:firstRowLastColumn="0" w:lastRowFirstColumn="0" w:lastRowLastColumn="0"/>
            <w:tcW w:w="817" w:type="pct"/>
          </w:tcPr>
          <w:p w14:paraId="7E8C0DE8" w14:textId="10AD3EDE" w:rsidR="00085ACA" w:rsidRPr="000517A4" w:rsidRDefault="00085ACA" w:rsidP="00085ACA">
            <w:pPr>
              <w:rPr>
                <w:rFonts w:ascii="Calibri" w:hAnsi="Calibri" w:cs="Calibri"/>
              </w:rPr>
            </w:pPr>
            <w:r w:rsidRPr="000517A4">
              <w:rPr>
                <w:rFonts w:ascii="Calibri" w:hAnsi="Calibri" w:cs="Calibri"/>
                <w:b/>
                <w:bCs/>
              </w:rPr>
              <w:t xml:space="preserve">Complete </w:t>
            </w:r>
          </w:p>
        </w:tc>
      </w:tr>
      <w:tr w:rsidR="00085ACA" w:rsidRPr="000517A4" w14:paraId="048E48A3" w14:textId="77777777" w:rsidTr="000A59A8">
        <w:tc>
          <w:tcPr>
            <w:cnfStyle w:val="001000000000" w:firstRow="0" w:lastRow="0" w:firstColumn="1" w:lastColumn="0" w:oddVBand="0" w:evenVBand="0" w:oddHBand="0" w:evenHBand="0" w:firstRowFirstColumn="0" w:firstRowLastColumn="0" w:lastRowFirstColumn="0" w:lastRowLastColumn="0"/>
            <w:tcW w:w="207" w:type="pct"/>
          </w:tcPr>
          <w:p w14:paraId="66ECC592" w14:textId="77777777" w:rsidR="00085ACA" w:rsidRPr="000517A4" w:rsidRDefault="00085ACA" w:rsidP="00085ACA">
            <w:pPr>
              <w:pStyle w:val="ListBullet"/>
              <w:numPr>
                <w:ilvl w:val="0"/>
                <w:numId w:val="0"/>
              </w:numPr>
              <w:spacing w:before="20"/>
              <w:jc w:val="both"/>
              <w:rPr>
                <w:rFonts w:ascii="Calibri" w:hAnsi="Calibri" w:cs="Calibri"/>
                <w:b/>
              </w:rPr>
            </w:pPr>
            <w:r w:rsidRPr="000517A4">
              <w:rPr>
                <w:rFonts w:ascii="Calibri" w:hAnsi="Calibri" w:cs="Calibri"/>
              </w:rPr>
              <w:t xml:space="preserve">22 </w:t>
            </w:r>
          </w:p>
          <w:p w14:paraId="08AD7DF3" w14:textId="4BE02924" w:rsidR="00085ACA" w:rsidRPr="000517A4" w:rsidRDefault="00085ACA" w:rsidP="00085ACA">
            <w:pPr>
              <w:pStyle w:val="TableTextLeft"/>
              <w:rPr>
                <w:rFonts w:ascii="Calibri" w:hAnsi="Calibri" w:cs="Calibri"/>
              </w:rPr>
            </w:pPr>
          </w:p>
        </w:tc>
        <w:tc>
          <w:tcPr>
            <w:cnfStyle w:val="000010000000" w:firstRow="0" w:lastRow="0" w:firstColumn="0" w:lastColumn="0" w:oddVBand="1" w:evenVBand="0" w:oddHBand="0" w:evenHBand="0" w:firstRowFirstColumn="0" w:firstRowLastColumn="0" w:lastRowFirstColumn="0" w:lastRowLastColumn="0"/>
            <w:tcW w:w="2128" w:type="pct"/>
          </w:tcPr>
          <w:p w14:paraId="24647311" w14:textId="77777777" w:rsidR="00085ACA" w:rsidRPr="000517A4" w:rsidRDefault="00085ACA" w:rsidP="00085ACA">
            <w:pPr>
              <w:pStyle w:val="ListBullet"/>
              <w:numPr>
                <w:ilvl w:val="0"/>
                <w:numId w:val="0"/>
              </w:numPr>
              <w:spacing w:before="20"/>
              <w:jc w:val="both"/>
              <w:rPr>
                <w:rFonts w:ascii="Calibri" w:hAnsi="Calibri" w:cs="Calibri"/>
                <w:i/>
                <w:iCs/>
              </w:rPr>
            </w:pPr>
            <w:r w:rsidRPr="000517A4">
              <w:rPr>
                <w:rFonts w:ascii="Calibri" w:hAnsi="Calibri" w:cs="Calibri"/>
                <w:i/>
                <w:iCs/>
              </w:rPr>
              <w:t>Supported</w:t>
            </w:r>
          </w:p>
          <w:p w14:paraId="76C89D0A" w14:textId="1BE5DCBE" w:rsidR="00085ACA" w:rsidRPr="000517A4" w:rsidRDefault="00085ACA" w:rsidP="00085ACA">
            <w:pPr>
              <w:pStyle w:val="ListBullet"/>
              <w:numPr>
                <w:ilvl w:val="0"/>
                <w:numId w:val="0"/>
              </w:numPr>
              <w:spacing w:before="20"/>
              <w:rPr>
                <w:rFonts w:ascii="Calibri" w:hAnsi="Calibri" w:cs="Calibri"/>
              </w:rPr>
            </w:pPr>
            <w:r w:rsidRPr="000517A4">
              <w:rPr>
                <w:rFonts w:ascii="Calibri" w:hAnsi="Calibri" w:cs="Calibri"/>
              </w:rPr>
              <w:t>ESV should, in consultation with regulated network operators and the AER, evaluate its requirements for safety cases to ensure that all safety-</w:t>
            </w:r>
            <w:r w:rsidRPr="000517A4">
              <w:rPr>
                <w:rFonts w:ascii="Calibri" w:hAnsi="Calibri" w:cs="Calibri"/>
              </w:rPr>
              <w:lastRenderedPageBreak/>
              <w:t xml:space="preserve">related elements that have been factored into AER determinations, are </w:t>
            </w:r>
            <w:proofErr w:type="gramStart"/>
            <w:r w:rsidRPr="000517A4">
              <w:rPr>
                <w:rFonts w:ascii="Calibri" w:hAnsi="Calibri" w:cs="Calibri"/>
              </w:rPr>
              <w:t>identified</w:t>
            </w:r>
            <w:proofErr w:type="gramEnd"/>
            <w:r w:rsidRPr="000517A4">
              <w:rPr>
                <w:rFonts w:ascii="Calibri" w:hAnsi="Calibri" w:cs="Calibri"/>
              </w:rPr>
              <w:t xml:space="preserve"> and supported by clear implementation plans. </w:t>
            </w:r>
          </w:p>
          <w:p w14:paraId="461939BE" w14:textId="4052925A" w:rsidR="00085ACA" w:rsidRPr="000517A4" w:rsidRDefault="00085ACA" w:rsidP="00085ACA">
            <w:pPr>
              <w:pStyle w:val="ListBullet"/>
              <w:numPr>
                <w:ilvl w:val="0"/>
                <w:numId w:val="0"/>
              </w:numPr>
              <w:spacing w:before="20"/>
              <w:rPr>
                <w:rFonts w:ascii="Calibri" w:hAnsi="Calibri" w:cs="Calibri"/>
              </w:rPr>
            </w:pPr>
            <w:r w:rsidRPr="000517A4">
              <w:rPr>
                <w:rFonts w:ascii="Calibri" w:hAnsi="Calibri" w:cs="Calibri"/>
              </w:rPr>
              <w:t>ESV should report on the progress made by regulated network operators in its annual network safety performance reports. The reporting should be sufficient to ensure that there is a high degree of transparency to the Victorian community about the progress in the implementation of safety programs.</w:t>
            </w:r>
            <w:r w:rsidRPr="000517A4">
              <w:rPr>
                <w:rFonts w:ascii="Calibri" w:hAnsi="Calibri" w:cs="Calibri"/>
                <w:szCs w:val="18"/>
              </w:rPr>
              <w:t xml:space="preserve"> </w:t>
            </w:r>
          </w:p>
        </w:tc>
        <w:tc>
          <w:tcPr>
            <w:tcW w:w="1848" w:type="pct"/>
          </w:tcPr>
          <w:p w14:paraId="3AC5590B" w14:textId="77777777" w:rsidR="00085ACA" w:rsidRPr="000517A4" w:rsidRDefault="00085ACA" w:rsidP="00085ACA">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lastRenderedPageBreak/>
              <w:t xml:space="preserve">In conjunction with recommendation 42, ESV evaluated its requirements for safety cases with a view to improving the efficacy and transparency of the regime. This resulted in safety programs, including Powercor’s enhanced wood </w:t>
            </w:r>
            <w:r w:rsidRPr="000517A4">
              <w:rPr>
                <w:rFonts w:ascii="Calibri" w:hAnsi="Calibri" w:cs="Calibri"/>
              </w:rPr>
              <w:lastRenderedPageBreak/>
              <w:t xml:space="preserve">pole program being factored into the AER’s 2021 determination. </w:t>
            </w:r>
          </w:p>
          <w:p w14:paraId="3FF5C660" w14:textId="77777777" w:rsidR="00085ACA" w:rsidRPr="000517A4" w:rsidRDefault="00085ACA" w:rsidP="00085ACA">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Progress on the implementation of safety programs funded through AER determinations have been publicly reported in the enhanced annual safety performance reports.</w:t>
            </w:r>
          </w:p>
          <w:p w14:paraId="31937747" w14:textId="2AB0D09F" w:rsidR="00085ACA" w:rsidRPr="000517A4" w:rsidRDefault="00085ACA" w:rsidP="00085ACA">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cnfStyle w:val="000010000000" w:firstRow="0" w:lastRow="0" w:firstColumn="0" w:lastColumn="0" w:oddVBand="1" w:evenVBand="0" w:oddHBand="0" w:evenHBand="0" w:firstRowFirstColumn="0" w:firstRowLastColumn="0" w:lastRowFirstColumn="0" w:lastRowLastColumn="0"/>
            <w:tcW w:w="817" w:type="pct"/>
          </w:tcPr>
          <w:p w14:paraId="52C82060" w14:textId="77777777" w:rsidR="00085ACA" w:rsidRPr="000517A4" w:rsidRDefault="00085ACA" w:rsidP="00085ACA">
            <w:pPr>
              <w:pStyle w:val="ListBullet"/>
              <w:numPr>
                <w:ilvl w:val="0"/>
                <w:numId w:val="0"/>
              </w:numPr>
              <w:spacing w:before="20"/>
              <w:rPr>
                <w:rFonts w:ascii="Calibri" w:hAnsi="Calibri" w:cs="Calibri"/>
              </w:rPr>
            </w:pPr>
            <w:r w:rsidRPr="000517A4">
              <w:rPr>
                <w:rFonts w:ascii="Calibri" w:hAnsi="Calibri" w:cs="Calibri"/>
                <w:b/>
                <w:bCs/>
              </w:rPr>
              <w:lastRenderedPageBreak/>
              <w:t>Complete</w:t>
            </w:r>
          </w:p>
          <w:p w14:paraId="0153BD35" w14:textId="42217B5B" w:rsidR="00085ACA" w:rsidRPr="000517A4" w:rsidRDefault="00085ACA" w:rsidP="00085ACA">
            <w:pPr>
              <w:rPr>
                <w:rFonts w:ascii="Calibri" w:hAnsi="Calibri" w:cs="Calibri"/>
              </w:rPr>
            </w:pPr>
          </w:p>
        </w:tc>
      </w:tr>
    </w:tbl>
    <w:p w14:paraId="780D2DA8" w14:textId="77777777" w:rsidR="004A171B" w:rsidRPr="000517A4" w:rsidRDefault="004A171B">
      <w:pPr>
        <w:rPr>
          <w:rFonts w:ascii="Calibri" w:hAnsi="Calibri" w:cs="Calibri"/>
        </w:rPr>
      </w:pPr>
    </w:p>
    <w:p w14:paraId="497424F3" w14:textId="5EAF8683" w:rsidR="004A171B" w:rsidRPr="000517A4" w:rsidRDefault="004021F7" w:rsidP="004A171B">
      <w:pPr>
        <w:rPr>
          <w:rFonts w:ascii="Calibri" w:eastAsiaTheme="majorEastAsia" w:hAnsi="Calibri" w:cs="Calibri"/>
          <w:b/>
          <w:bCs/>
          <w:color w:val="201547" w:themeColor="text2"/>
          <w:spacing w:val="-2"/>
          <w:sz w:val="24"/>
          <w:szCs w:val="24"/>
        </w:rPr>
      </w:pPr>
      <w:r w:rsidRPr="000517A4">
        <w:rPr>
          <w:rFonts w:ascii="Calibri" w:eastAsiaTheme="majorEastAsia" w:hAnsi="Calibri" w:cs="Calibri"/>
          <w:b/>
          <w:bCs/>
          <w:color w:val="201547" w:themeColor="text2"/>
          <w:spacing w:val="-2"/>
          <w:sz w:val="24"/>
          <w:szCs w:val="24"/>
        </w:rPr>
        <w:t xml:space="preserve">The government is considering the case for an east-coast wide formal reliability standard for the gas </w:t>
      </w:r>
      <w:proofErr w:type="gramStart"/>
      <w:r w:rsidRPr="000517A4">
        <w:rPr>
          <w:rFonts w:ascii="Calibri" w:eastAsiaTheme="majorEastAsia" w:hAnsi="Calibri" w:cs="Calibri"/>
          <w:b/>
          <w:bCs/>
          <w:color w:val="201547" w:themeColor="text2"/>
          <w:spacing w:val="-2"/>
          <w:sz w:val="24"/>
          <w:szCs w:val="24"/>
        </w:rPr>
        <w:t>network</w:t>
      </w:r>
      <w:proofErr w:type="gramEnd"/>
    </w:p>
    <w:tbl>
      <w:tblPr>
        <w:tblStyle w:val="TableGrid"/>
        <w:tblW w:w="5000" w:type="pct"/>
        <w:tblLook w:val="02A0" w:firstRow="1" w:lastRow="0" w:firstColumn="1" w:lastColumn="0" w:noHBand="1" w:noVBand="0"/>
      </w:tblPr>
      <w:tblGrid>
        <w:gridCol w:w="604"/>
        <w:gridCol w:w="6201"/>
        <w:gridCol w:w="5385"/>
        <w:gridCol w:w="2381"/>
      </w:tblGrid>
      <w:tr w:rsidR="0021797B" w:rsidRPr="000517A4" w14:paraId="1959A1F6" w14:textId="77777777" w:rsidTr="000A59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 w:type="pct"/>
          </w:tcPr>
          <w:p w14:paraId="6457A1BE" w14:textId="77777777" w:rsidR="0021797B" w:rsidRPr="000517A4" w:rsidRDefault="0021797B" w:rsidP="000A59A8">
            <w:pPr>
              <w:pStyle w:val="TableHeadingLeft"/>
              <w:rPr>
                <w:rFonts w:ascii="Calibri" w:hAnsi="Calibri" w:cs="Calibri"/>
              </w:rPr>
            </w:pPr>
            <w:r w:rsidRPr="000517A4">
              <w:rPr>
                <w:rFonts w:ascii="Calibri" w:hAnsi="Calibri" w:cs="Calibri"/>
              </w:rPr>
              <w:t>Ref.</w:t>
            </w:r>
          </w:p>
        </w:tc>
        <w:tc>
          <w:tcPr>
            <w:cnfStyle w:val="000010000000" w:firstRow="0" w:lastRow="0" w:firstColumn="0" w:lastColumn="0" w:oddVBand="1" w:evenVBand="0" w:oddHBand="0" w:evenHBand="0" w:firstRowFirstColumn="0" w:firstRowLastColumn="0" w:lastRowFirstColumn="0" w:lastRowLastColumn="0"/>
            <w:tcW w:w="2128" w:type="pct"/>
          </w:tcPr>
          <w:p w14:paraId="10E4E140" w14:textId="77777777" w:rsidR="0021797B" w:rsidRPr="000517A4" w:rsidRDefault="0021797B" w:rsidP="000A59A8">
            <w:pPr>
              <w:pStyle w:val="TableHeadingLeft"/>
              <w:rPr>
                <w:rFonts w:ascii="Calibri" w:hAnsi="Calibri" w:cs="Calibri"/>
              </w:rPr>
            </w:pPr>
            <w:r w:rsidRPr="000517A4">
              <w:rPr>
                <w:rFonts w:ascii="Calibri" w:hAnsi="Calibri" w:cs="Calibri"/>
              </w:rPr>
              <w:t>Recommendation</w:t>
            </w:r>
          </w:p>
        </w:tc>
        <w:tc>
          <w:tcPr>
            <w:tcW w:w="1848" w:type="pct"/>
          </w:tcPr>
          <w:p w14:paraId="37A204F4" w14:textId="77777777" w:rsidR="0021797B" w:rsidRPr="000517A4" w:rsidRDefault="0021797B" w:rsidP="000A59A8">
            <w:pPr>
              <w:pStyle w:val="TableHeadingLeft"/>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Actions completed and in progress</w:t>
            </w:r>
          </w:p>
        </w:tc>
        <w:tc>
          <w:tcPr>
            <w:cnfStyle w:val="000010000000" w:firstRow="0" w:lastRow="0" w:firstColumn="0" w:lastColumn="0" w:oddVBand="1" w:evenVBand="0" w:oddHBand="0" w:evenHBand="0" w:firstRowFirstColumn="0" w:firstRowLastColumn="0" w:lastRowFirstColumn="0" w:lastRowLastColumn="0"/>
            <w:tcW w:w="817" w:type="pct"/>
          </w:tcPr>
          <w:p w14:paraId="5DA4E107" w14:textId="77777777" w:rsidR="0021797B" w:rsidRPr="000517A4" w:rsidRDefault="0021797B" w:rsidP="000A59A8">
            <w:pPr>
              <w:pStyle w:val="TableHeadingLeft"/>
              <w:rPr>
                <w:rFonts w:ascii="Calibri" w:hAnsi="Calibri" w:cs="Calibri"/>
              </w:rPr>
            </w:pPr>
            <w:r w:rsidRPr="000517A4">
              <w:rPr>
                <w:rFonts w:ascii="Calibri" w:hAnsi="Calibri" w:cs="Calibri"/>
              </w:rPr>
              <w:t>Status</w:t>
            </w:r>
          </w:p>
        </w:tc>
      </w:tr>
      <w:tr w:rsidR="00993E8A" w:rsidRPr="000517A4" w14:paraId="688BFCE7" w14:textId="77777777" w:rsidTr="000A59A8">
        <w:tc>
          <w:tcPr>
            <w:cnfStyle w:val="001000000000" w:firstRow="0" w:lastRow="0" w:firstColumn="1" w:lastColumn="0" w:oddVBand="0" w:evenVBand="0" w:oddHBand="0" w:evenHBand="0" w:firstRowFirstColumn="0" w:firstRowLastColumn="0" w:lastRowFirstColumn="0" w:lastRowLastColumn="0"/>
            <w:tcW w:w="207" w:type="pct"/>
          </w:tcPr>
          <w:p w14:paraId="1EA71ABC" w14:textId="398CA7B5" w:rsidR="00993E8A" w:rsidRPr="000517A4" w:rsidRDefault="00993E8A" w:rsidP="00993E8A">
            <w:pPr>
              <w:pStyle w:val="TableTextLeft"/>
              <w:rPr>
                <w:rFonts w:ascii="Calibri" w:hAnsi="Calibri" w:cs="Calibri"/>
              </w:rPr>
            </w:pPr>
            <w:r w:rsidRPr="000517A4">
              <w:rPr>
                <w:rFonts w:ascii="Calibri" w:hAnsi="Calibri" w:cs="Calibri"/>
              </w:rPr>
              <w:t>23</w:t>
            </w:r>
          </w:p>
        </w:tc>
        <w:tc>
          <w:tcPr>
            <w:cnfStyle w:val="000010000000" w:firstRow="0" w:lastRow="0" w:firstColumn="0" w:lastColumn="0" w:oddVBand="1" w:evenVBand="0" w:oddHBand="0" w:evenHBand="0" w:firstRowFirstColumn="0" w:firstRowLastColumn="0" w:lastRowFirstColumn="0" w:lastRowLastColumn="0"/>
            <w:tcW w:w="2128" w:type="pct"/>
          </w:tcPr>
          <w:p w14:paraId="06B83423" w14:textId="77777777" w:rsidR="00993E8A" w:rsidRPr="000517A4" w:rsidRDefault="00993E8A" w:rsidP="00993E8A">
            <w:pPr>
              <w:pStyle w:val="ListBullet"/>
              <w:numPr>
                <w:ilvl w:val="0"/>
                <w:numId w:val="0"/>
              </w:numPr>
              <w:spacing w:before="20"/>
              <w:jc w:val="both"/>
              <w:rPr>
                <w:rFonts w:ascii="Calibri" w:hAnsi="Calibri" w:cs="Calibri"/>
                <w:i/>
                <w:iCs/>
              </w:rPr>
            </w:pPr>
            <w:r w:rsidRPr="000517A4">
              <w:rPr>
                <w:rFonts w:ascii="Calibri" w:hAnsi="Calibri" w:cs="Calibri"/>
                <w:i/>
                <w:iCs/>
              </w:rPr>
              <w:t>Supported-in-</w:t>
            </w:r>
            <w:proofErr w:type="gramStart"/>
            <w:r w:rsidRPr="000517A4">
              <w:rPr>
                <w:rFonts w:ascii="Calibri" w:hAnsi="Calibri" w:cs="Calibri"/>
                <w:i/>
                <w:iCs/>
              </w:rPr>
              <w:t>principle</w:t>
            </w:r>
            <w:proofErr w:type="gramEnd"/>
          </w:p>
          <w:p w14:paraId="5FAE08A9" w14:textId="63B4D657" w:rsidR="00993E8A" w:rsidRPr="000517A4" w:rsidRDefault="00993E8A" w:rsidP="00993E8A">
            <w:pPr>
              <w:pStyle w:val="TableTextLeft"/>
              <w:rPr>
                <w:rFonts w:ascii="Calibri" w:hAnsi="Calibri" w:cs="Calibri"/>
              </w:rPr>
            </w:pPr>
            <w:r w:rsidRPr="000517A4">
              <w:rPr>
                <w:rFonts w:ascii="Calibri" w:hAnsi="Calibri" w:cs="Calibri"/>
              </w:rPr>
              <w:t>The Victorian Government should consider the case for a formal reliability standard for the gas network, in consultation with relevant stakeholders. If the adoption of a formal reliability standard is preferred, the Victorian Government should request the AEMC to determine the best approach to develop a framework and governance arrangements for establishing a reliability standard to support consideration of a robust, economically justified level of investment for reliable and secure gas supply.</w:t>
            </w:r>
          </w:p>
        </w:tc>
        <w:tc>
          <w:tcPr>
            <w:tcW w:w="1848" w:type="pct"/>
          </w:tcPr>
          <w:p w14:paraId="38593782" w14:textId="53AF163A" w:rsidR="00993E8A" w:rsidRPr="00C20676" w:rsidRDefault="00993E8A" w:rsidP="00C20676">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A rule change request to the National Gas Rules will be developed to allow for the inclusion of a gas reliability standard or standards. Once submitted, the rule change request will be subject to the Australian Energy Market Commission’s (AEMC’s) relevant rule change processes. Assuming a rule change is approved by the AEMC, and following development of relevant associated market procedures, implementation of a gas reliability standard/s is currently targeted for the first quarter in 2026. This work will form part of the development of a broader Commonwealth-led Stage 2 Reliability and Supply Adequacy Framework for east coast gas markets. Consultation on potential Stage 2 options was undertaken in mid-2023. The broader work program is expected to include a range of measures including demand side options.</w:t>
            </w:r>
          </w:p>
        </w:tc>
        <w:tc>
          <w:tcPr>
            <w:cnfStyle w:val="000010000000" w:firstRow="0" w:lastRow="0" w:firstColumn="0" w:lastColumn="0" w:oddVBand="1" w:evenVBand="0" w:oddHBand="0" w:evenHBand="0" w:firstRowFirstColumn="0" w:firstRowLastColumn="0" w:lastRowFirstColumn="0" w:lastRowLastColumn="0"/>
            <w:tcW w:w="817" w:type="pct"/>
          </w:tcPr>
          <w:p w14:paraId="51B359E1" w14:textId="4D069270" w:rsidR="00993E8A" w:rsidRPr="000517A4" w:rsidRDefault="00993E8A" w:rsidP="00993E8A">
            <w:pPr>
              <w:pStyle w:val="TableTextLeft"/>
              <w:rPr>
                <w:rFonts w:ascii="Calibri" w:hAnsi="Calibri" w:cs="Calibri"/>
              </w:rPr>
            </w:pPr>
            <w:r w:rsidRPr="000517A4">
              <w:rPr>
                <w:rFonts w:ascii="Calibri" w:hAnsi="Calibri" w:cs="Calibri"/>
                <w:b/>
                <w:bCs/>
              </w:rPr>
              <w:t>On track</w:t>
            </w:r>
            <w:r w:rsidRPr="000517A4">
              <w:rPr>
                <w:rFonts w:ascii="Calibri" w:hAnsi="Calibri" w:cs="Calibri"/>
              </w:rPr>
              <w:t xml:space="preserve"> for completion by 2026</w:t>
            </w:r>
          </w:p>
        </w:tc>
      </w:tr>
      <w:tr w:rsidR="00993E8A" w:rsidRPr="000517A4" w14:paraId="6CB2F8DF" w14:textId="77777777" w:rsidTr="000A59A8">
        <w:tc>
          <w:tcPr>
            <w:cnfStyle w:val="001000000000" w:firstRow="0" w:lastRow="0" w:firstColumn="1" w:lastColumn="0" w:oddVBand="0" w:evenVBand="0" w:oddHBand="0" w:evenHBand="0" w:firstRowFirstColumn="0" w:firstRowLastColumn="0" w:lastRowFirstColumn="0" w:lastRowLastColumn="0"/>
            <w:tcW w:w="207" w:type="pct"/>
          </w:tcPr>
          <w:p w14:paraId="5D7226E6" w14:textId="20252336" w:rsidR="00993E8A" w:rsidRPr="000517A4" w:rsidRDefault="00993E8A" w:rsidP="00993E8A">
            <w:pPr>
              <w:pStyle w:val="TableTextLeft"/>
              <w:rPr>
                <w:rFonts w:ascii="Calibri" w:hAnsi="Calibri" w:cs="Calibri"/>
              </w:rPr>
            </w:pPr>
            <w:r w:rsidRPr="000517A4">
              <w:rPr>
                <w:rFonts w:ascii="Calibri" w:hAnsi="Calibri" w:cs="Calibri"/>
              </w:rPr>
              <w:t>24</w:t>
            </w:r>
          </w:p>
        </w:tc>
        <w:tc>
          <w:tcPr>
            <w:cnfStyle w:val="000010000000" w:firstRow="0" w:lastRow="0" w:firstColumn="0" w:lastColumn="0" w:oddVBand="1" w:evenVBand="0" w:oddHBand="0" w:evenHBand="0" w:firstRowFirstColumn="0" w:firstRowLastColumn="0" w:lastRowFirstColumn="0" w:lastRowLastColumn="0"/>
            <w:tcW w:w="2128" w:type="pct"/>
          </w:tcPr>
          <w:p w14:paraId="518DED0A" w14:textId="77777777" w:rsidR="00993E8A" w:rsidRPr="000517A4" w:rsidRDefault="00993E8A" w:rsidP="00993E8A">
            <w:pPr>
              <w:pStyle w:val="ListBullet"/>
              <w:numPr>
                <w:ilvl w:val="0"/>
                <w:numId w:val="0"/>
              </w:numPr>
              <w:spacing w:before="20"/>
              <w:jc w:val="both"/>
              <w:rPr>
                <w:rFonts w:ascii="Calibri" w:hAnsi="Calibri" w:cs="Calibri"/>
                <w:i/>
                <w:iCs/>
              </w:rPr>
            </w:pPr>
            <w:r w:rsidRPr="000517A4">
              <w:rPr>
                <w:rFonts w:ascii="Calibri" w:hAnsi="Calibri" w:cs="Calibri"/>
                <w:i/>
                <w:iCs/>
              </w:rPr>
              <w:t>Supported-in-</w:t>
            </w:r>
            <w:proofErr w:type="gramStart"/>
            <w:r w:rsidRPr="000517A4">
              <w:rPr>
                <w:rFonts w:ascii="Calibri" w:hAnsi="Calibri" w:cs="Calibri"/>
                <w:i/>
                <w:iCs/>
              </w:rPr>
              <w:t>principle</w:t>
            </w:r>
            <w:proofErr w:type="gramEnd"/>
          </w:p>
          <w:p w14:paraId="7FDDB8E9" w14:textId="4CCB72EC" w:rsidR="00993E8A" w:rsidRPr="000517A4" w:rsidRDefault="00993E8A" w:rsidP="00993E8A">
            <w:pPr>
              <w:pStyle w:val="TableTextLeft"/>
              <w:rPr>
                <w:rFonts w:ascii="Calibri" w:hAnsi="Calibri" w:cs="Calibri"/>
              </w:rPr>
            </w:pPr>
            <w:r w:rsidRPr="000517A4">
              <w:rPr>
                <w:rFonts w:ascii="Calibri" w:hAnsi="Calibri" w:cs="Calibri"/>
              </w:rPr>
              <w:t>The Victorian Government, in consultation with relevant stakeholders, should consider the development of mechanisms to support effective coordination in system planning for the declared transmission system and gas distribution network in an economically efficient manner.</w:t>
            </w:r>
          </w:p>
        </w:tc>
        <w:tc>
          <w:tcPr>
            <w:tcW w:w="1848" w:type="pct"/>
          </w:tcPr>
          <w:p w14:paraId="77DCBDF4" w14:textId="34049CDB" w:rsidR="00993E8A" w:rsidRPr="000517A4" w:rsidRDefault="00993E8A" w:rsidP="00993E8A">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As above for recommendation 23.</w:t>
            </w:r>
          </w:p>
        </w:tc>
        <w:tc>
          <w:tcPr>
            <w:cnfStyle w:val="000010000000" w:firstRow="0" w:lastRow="0" w:firstColumn="0" w:lastColumn="0" w:oddVBand="1" w:evenVBand="0" w:oddHBand="0" w:evenHBand="0" w:firstRowFirstColumn="0" w:firstRowLastColumn="0" w:lastRowFirstColumn="0" w:lastRowLastColumn="0"/>
            <w:tcW w:w="817" w:type="pct"/>
          </w:tcPr>
          <w:p w14:paraId="6A702E74" w14:textId="6119E12E" w:rsidR="00993E8A" w:rsidRPr="000517A4" w:rsidRDefault="00993E8A" w:rsidP="00993E8A">
            <w:pPr>
              <w:pStyle w:val="TableTextLeft"/>
              <w:rPr>
                <w:rFonts w:ascii="Calibri" w:hAnsi="Calibri" w:cs="Calibri"/>
              </w:rPr>
            </w:pPr>
            <w:r w:rsidRPr="000517A4">
              <w:rPr>
                <w:rFonts w:ascii="Calibri" w:hAnsi="Calibri" w:cs="Calibri"/>
                <w:b/>
                <w:bCs/>
              </w:rPr>
              <w:t>On track</w:t>
            </w:r>
            <w:r w:rsidRPr="000517A4">
              <w:rPr>
                <w:rFonts w:ascii="Calibri" w:hAnsi="Calibri" w:cs="Calibri"/>
              </w:rPr>
              <w:t xml:space="preserve"> for completion by 2026 </w:t>
            </w:r>
          </w:p>
        </w:tc>
      </w:tr>
    </w:tbl>
    <w:p w14:paraId="6F3C1D8B" w14:textId="77777777" w:rsidR="004A171B" w:rsidRPr="000517A4" w:rsidRDefault="004A171B">
      <w:pPr>
        <w:rPr>
          <w:rFonts w:ascii="Calibri" w:hAnsi="Calibri" w:cs="Calibri"/>
        </w:rPr>
      </w:pPr>
    </w:p>
    <w:p w14:paraId="55465C0E" w14:textId="77777777" w:rsidR="004A171B" w:rsidRPr="000517A4" w:rsidRDefault="004A171B">
      <w:pPr>
        <w:rPr>
          <w:rFonts w:ascii="Calibri" w:hAnsi="Calibri" w:cs="Calibri"/>
        </w:rPr>
      </w:pPr>
    </w:p>
    <w:p w14:paraId="31360176" w14:textId="6D4E7068" w:rsidR="004A171B" w:rsidRPr="000517A4" w:rsidRDefault="006A22AE">
      <w:pPr>
        <w:rPr>
          <w:rFonts w:ascii="Calibri" w:hAnsi="Calibri" w:cs="Calibri"/>
        </w:rPr>
      </w:pPr>
      <w:r w:rsidRPr="000517A4">
        <w:rPr>
          <w:rFonts w:ascii="Calibri" w:eastAsiaTheme="majorEastAsia" w:hAnsi="Calibri" w:cs="Calibri"/>
          <w:b/>
          <w:bCs/>
          <w:color w:val="201547" w:themeColor="text2"/>
          <w:spacing w:val="-2"/>
          <w:sz w:val="24"/>
          <w:szCs w:val="24"/>
        </w:rPr>
        <w:lastRenderedPageBreak/>
        <w:t>Promoting workforce engagement</w:t>
      </w:r>
    </w:p>
    <w:tbl>
      <w:tblPr>
        <w:tblStyle w:val="TableGrid"/>
        <w:tblW w:w="5000" w:type="pct"/>
        <w:tblLook w:val="02A0" w:firstRow="1" w:lastRow="0" w:firstColumn="1" w:lastColumn="0" w:noHBand="1" w:noVBand="0"/>
      </w:tblPr>
      <w:tblGrid>
        <w:gridCol w:w="604"/>
        <w:gridCol w:w="6201"/>
        <w:gridCol w:w="5385"/>
        <w:gridCol w:w="2381"/>
      </w:tblGrid>
      <w:tr w:rsidR="006A22AE" w:rsidRPr="000517A4" w14:paraId="47931A88" w14:textId="77777777" w:rsidTr="000A59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 w:type="pct"/>
          </w:tcPr>
          <w:p w14:paraId="464F0847" w14:textId="77777777" w:rsidR="006A22AE" w:rsidRPr="000517A4" w:rsidRDefault="006A22AE" w:rsidP="000A59A8">
            <w:pPr>
              <w:pStyle w:val="TableHeadingLeft"/>
              <w:rPr>
                <w:rFonts w:ascii="Calibri" w:hAnsi="Calibri" w:cs="Calibri"/>
              </w:rPr>
            </w:pPr>
            <w:r w:rsidRPr="000517A4">
              <w:rPr>
                <w:rFonts w:ascii="Calibri" w:hAnsi="Calibri" w:cs="Calibri"/>
              </w:rPr>
              <w:t>Ref.</w:t>
            </w:r>
          </w:p>
        </w:tc>
        <w:tc>
          <w:tcPr>
            <w:cnfStyle w:val="000010000000" w:firstRow="0" w:lastRow="0" w:firstColumn="0" w:lastColumn="0" w:oddVBand="1" w:evenVBand="0" w:oddHBand="0" w:evenHBand="0" w:firstRowFirstColumn="0" w:firstRowLastColumn="0" w:lastRowFirstColumn="0" w:lastRowLastColumn="0"/>
            <w:tcW w:w="2128" w:type="pct"/>
          </w:tcPr>
          <w:p w14:paraId="60FD785D" w14:textId="77777777" w:rsidR="006A22AE" w:rsidRPr="000517A4" w:rsidRDefault="006A22AE" w:rsidP="000A59A8">
            <w:pPr>
              <w:pStyle w:val="TableHeadingLeft"/>
              <w:rPr>
                <w:rFonts w:ascii="Calibri" w:hAnsi="Calibri" w:cs="Calibri"/>
              </w:rPr>
            </w:pPr>
            <w:r w:rsidRPr="000517A4">
              <w:rPr>
                <w:rFonts w:ascii="Calibri" w:hAnsi="Calibri" w:cs="Calibri"/>
              </w:rPr>
              <w:t>Recommendation</w:t>
            </w:r>
          </w:p>
        </w:tc>
        <w:tc>
          <w:tcPr>
            <w:tcW w:w="1848" w:type="pct"/>
          </w:tcPr>
          <w:p w14:paraId="76FF6930" w14:textId="77777777" w:rsidR="006A22AE" w:rsidRPr="000517A4" w:rsidRDefault="006A22AE" w:rsidP="000A59A8">
            <w:pPr>
              <w:pStyle w:val="TableHeadingLeft"/>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Actions completed and in progress</w:t>
            </w:r>
          </w:p>
        </w:tc>
        <w:tc>
          <w:tcPr>
            <w:cnfStyle w:val="000010000000" w:firstRow="0" w:lastRow="0" w:firstColumn="0" w:lastColumn="0" w:oddVBand="1" w:evenVBand="0" w:oddHBand="0" w:evenHBand="0" w:firstRowFirstColumn="0" w:firstRowLastColumn="0" w:lastRowFirstColumn="0" w:lastRowLastColumn="0"/>
            <w:tcW w:w="817" w:type="pct"/>
          </w:tcPr>
          <w:p w14:paraId="3F735BBC" w14:textId="77777777" w:rsidR="006A22AE" w:rsidRPr="000517A4" w:rsidRDefault="006A22AE" w:rsidP="000A59A8">
            <w:pPr>
              <w:pStyle w:val="TableHeadingLeft"/>
              <w:rPr>
                <w:rFonts w:ascii="Calibri" w:hAnsi="Calibri" w:cs="Calibri"/>
              </w:rPr>
            </w:pPr>
            <w:r w:rsidRPr="000517A4">
              <w:rPr>
                <w:rFonts w:ascii="Calibri" w:hAnsi="Calibri" w:cs="Calibri"/>
              </w:rPr>
              <w:t>Status</w:t>
            </w:r>
          </w:p>
        </w:tc>
      </w:tr>
      <w:tr w:rsidR="006347FE" w:rsidRPr="000517A4" w14:paraId="6C10301B" w14:textId="77777777" w:rsidTr="000A59A8">
        <w:tc>
          <w:tcPr>
            <w:cnfStyle w:val="001000000000" w:firstRow="0" w:lastRow="0" w:firstColumn="1" w:lastColumn="0" w:oddVBand="0" w:evenVBand="0" w:oddHBand="0" w:evenHBand="0" w:firstRowFirstColumn="0" w:firstRowLastColumn="0" w:lastRowFirstColumn="0" w:lastRowLastColumn="0"/>
            <w:tcW w:w="207" w:type="pct"/>
          </w:tcPr>
          <w:p w14:paraId="66C4C364" w14:textId="77777777" w:rsidR="006347FE" w:rsidRPr="000517A4" w:rsidRDefault="006347FE" w:rsidP="006347FE">
            <w:pPr>
              <w:pStyle w:val="ListBullet"/>
              <w:numPr>
                <w:ilvl w:val="0"/>
                <w:numId w:val="0"/>
              </w:numPr>
              <w:spacing w:before="20"/>
              <w:jc w:val="both"/>
              <w:rPr>
                <w:rFonts w:ascii="Calibri" w:hAnsi="Calibri" w:cs="Calibri"/>
                <w:b/>
              </w:rPr>
            </w:pPr>
            <w:r w:rsidRPr="000517A4">
              <w:rPr>
                <w:rFonts w:ascii="Calibri" w:hAnsi="Calibri" w:cs="Calibri"/>
              </w:rPr>
              <w:t xml:space="preserve">25 </w:t>
            </w:r>
          </w:p>
          <w:p w14:paraId="716DA813" w14:textId="51ACA1B7" w:rsidR="006347FE" w:rsidRPr="000517A4" w:rsidRDefault="006347FE" w:rsidP="006347FE">
            <w:pPr>
              <w:pStyle w:val="TableTextLeft"/>
              <w:rPr>
                <w:rFonts w:ascii="Calibri" w:hAnsi="Calibri" w:cs="Calibri"/>
              </w:rPr>
            </w:pPr>
          </w:p>
        </w:tc>
        <w:tc>
          <w:tcPr>
            <w:cnfStyle w:val="000010000000" w:firstRow="0" w:lastRow="0" w:firstColumn="0" w:lastColumn="0" w:oddVBand="1" w:evenVBand="0" w:oddHBand="0" w:evenHBand="0" w:firstRowFirstColumn="0" w:firstRowLastColumn="0" w:lastRowFirstColumn="0" w:lastRowLastColumn="0"/>
            <w:tcW w:w="2128" w:type="pct"/>
          </w:tcPr>
          <w:p w14:paraId="0CF9DC27" w14:textId="77777777" w:rsidR="006347FE" w:rsidRPr="000517A4" w:rsidRDefault="006347FE" w:rsidP="006347FE">
            <w:pPr>
              <w:pStyle w:val="ListBullet"/>
              <w:numPr>
                <w:ilvl w:val="0"/>
                <w:numId w:val="0"/>
              </w:numPr>
              <w:spacing w:before="20"/>
              <w:jc w:val="both"/>
              <w:rPr>
                <w:rFonts w:ascii="Calibri" w:hAnsi="Calibri" w:cs="Calibri"/>
                <w:i/>
                <w:iCs/>
              </w:rPr>
            </w:pPr>
            <w:r w:rsidRPr="000517A4">
              <w:rPr>
                <w:rFonts w:ascii="Calibri" w:hAnsi="Calibri" w:cs="Calibri"/>
                <w:i/>
                <w:iCs/>
              </w:rPr>
              <w:t>Supported</w:t>
            </w:r>
          </w:p>
          <w:p w14:paraId="687F6C67" w14:textId="77777777" w:rsidR="006347FE" w:rsidRPr="000517A4" w:rsidRDefault="006347FE" w:rsidP="006347FE">
            <w:pPr>
              <w:pStyle w:val="ListBullet"/>
              <w:numPr>
                <w:ilvl w:val="0"/>
                <w:numId w:val="0"/>
              </w:numPr>
              <w:spacing w:before="20"/>
              <w:rPr>
                <w:rFonts w:ascii="Calibri" w:hAnsi="Calibri" w:cs="Calibri"/>
              </w:rPr>
            </w:pPr>
            <w:r w:rsidRPr="000517A4">
              <w:rPr>
                <w:rFonts w:ascii="Calibri" w:hAnsi="Calibri" w:cs="Calibri"/>
              </w:rPr>
              <w:t xml:space="preserve">ESV should establish a consultative committee under Section 8 of the </w:t>
            </w:r>
            <w:r w:rsidRPr="000517A4">
              <w:rPr>
                <w:rFonts w:ascii="Calibri" w:hAnsi="Calibri" w:cs="Calibri"/>
                <w:i/>
              </w:rPr>
              <w:t>Energy Safe Victoria Act 2005</w:t>
            </w:r>
            <w:r w:rsidRPr="000517A4">
              <w:rPr>
                <w:rFonts w:ascii="Calibri" w:hAnsi="Calibri" w:cs="Calibri"/>
              </w:rPr>
              <w:t xml:space="preserve">. This committee should: </w:t>
            </w:r>
          </w:p>
          <w:p w14:paraId="7B6E9A02" w14:textId="77777777" w:rsidR="006347FE" w:rsidRPr="000517A4" w:rsidRDefault="006347FE" w:rsidP="006347FE">
            <w:pPr>
              <w:pStyle w:val="TableTextBullet"/>
              <w:numPr>
                <w:ilvl w:val="0"/>
                <w:numId w:val="49"/>
              </w:numPr>
              <w:spacing w:before="60" w:after="60" w:line="220" w:lineRule="atLeast"/>
              <w:ind w:right="113"/>
              <w:rPr>
                <w:rFonts w:ascii="Calibri" w:hAnsi="Calibri" w:cs="Calibri"/>
                <w:szCs w:val="22"/>
              </w:rPr>
            </w:pPr>
            <w:r w:rsidRPr="000517A4">
              <w:rPr>
                <w:rFonts w:ascii="Calibri" w:hAnsi="Calibri" w:cs="Calibri"/>
                <w:szCs w:val="22"/>
              </w:rPr>
              <w:t xml:space="preserve">provide advice to ESV to assist in its consideration of workforce engagement </w:t>
            </w:r>
            <w:proofErr w:type="gramStart"/>
            <w:r w:rsidRPr="000517A4">
              <w:rPr>
                <w:rFonts w:ascii="Calibri" w:hAnsi="Calibri" w:cs="Calibri"/>
                <w:szCs w:val="22"/>
              </w:rPr>
              <w:t>issues;</w:t>
            </w:r>
            <w:proofErr w:type="gramEnd"/>
            <w:r w:rsidRPr="000517A4">
              <w:rPr>
                <w:rFonts w:ascii="Calibri" w:hAnsi="Calibri" w:cs="Calibri"/>
                <w:szCs w:val="22"/>
              </w:rPr>
              <w:t xml:space="preserve"> </w:t>
            </w:r>
          </w:p>
          <w:p w14:paraId="5D1742D3" w14:textId="77777777" w:rsidR="006347FE" w:rsidRPr="000517A4" w:rsidRDefault="006347FE" w:rsidP="006347FE">
            <w:pPr>
              <w:pStyle w:val="TableTextBullet"/>
              <w:numPr>
                <w:ilvl w:val="0"/>
                <w:numId w:val="49"/>
              </w:numPr>
              <w:spacing w:before="60" w:after="60" w:line="220" w:lineRule="atLeast"/>
              <w:ind w:right="113"/>
              <w:rPr>
                <w:rFonts w:ascii="Calibri" w:hAnsi="Calibri" w:cs="Calibri"/>
                <w:szCs w:val="22"/>
              </w:rPr>
            </w:pPr>
            <w:r w:rsidRPr="000517A4">
              <w:rPr>
                <w:rFonts w:ascii="Calibri" w:hAnsi="Calibri" w:cs="Calibri"/>
                <w:szCs w:val="22"/>
              </w:rPr>
              <w:t xml:space="preserve">contribute to the development of broader workforce engagement strategies, including the sharing of best practices; and </w:t>
            </w:r>
          </w:p>
          <w:p w14:paraId="21DF8BF6" w14:textId="606B7B7B" w:rsidR="006347FE" w:rsidRPr="000517A4" w:rsidRDefault="006347FE" w:rsidP="006347FE">
            <w:pPr>
              <w:pStyle w:val="TableTextLeft"/>
              <w:rPr>
                <w:rFonts w:ascii="Calibri" w:hAnsi="Calibri" w:cs="Calibri"/>
              </w:rPr>
            </w:pPr>
            <w:r w:rsidRPr="000517A4">
              <w:rPr>
                <w:rFonts w:ascii="Calibri" w:hAnsi="Calibri" w:cs="Calibri"/>
                <w:szCs w:val="22"/>
              </w:rPr>
              <w:t xml:space="preserve">be comprised of representatives from network businesses, major contractors, trade unions, WorkSafe Victoria and the workforce. </w:t>
            </w:r>
          </w:p>
        </w:tc>
        <w:tc>
          <w:tcPr>
            <w:tcW w:w="1848" w:type="pct"/>
          </w:tcPr>
          <w:p w14:paraId="166D0DEE" w14:textId="77777777" w:rsidR="006347FE" w:rsidRPr="000517A4" w:rsidRDefault="006347FE" w:rsidP="006347FE">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A new Workforce Engagement Consultative Committee has been established with a broad representation, including representatives from ESV, trade unions, network businesses, major contractors and WorkSafe Victoria.</w:t>
            </w:r>
          </w:p>
          <w:p w14:paraId="2FDF7590" w14:textId="77777777" w:rsidR="006347FE" w:rsidRPr="000517A4" w:rsidRDefault="006347FE" w:rsidP="006347FE">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p>
        </w:tc>
        <w:tc>
          <w:tcPr>
            <w:cnfStyle w:val="000010000000" w:firstRow="0" w:lastRow="0" w:firstColumn="0" w:lastColumn="0" w:oddVBand="1" w:evenVBand="0" w:oddHBand="0" w:evenHBand="0" w:firstRowFirstColumn="0" w:firstRowLastColumn="0" w:lastRowFirstColumn="0" w:lastRowLastColumn="0"/>
            <w:tcW w:w="817" w:type="pct"/>
          </w:tcPr>
          <w:p w14:paraId="2AADE3FD" w14:textId="7B588064" w:rsidR="006347FE" w:rsidRPr="000517A4" w:rsidRDefault="006347FE" w:rsidP="006347FE">
            <w:pPr>
              <w:pStyle w:val="TableTextLeft"/>
              <w:rPr>
                <w:rFonts w:ascii="Calibri" w:hAnsi="Calibri" w:cs="Calibri"/>
              </w:rPr>
            </w:pPr>
            <w:r w:rsidRPr="000517A4">
              <w:rPr>
                <w:rFonts w:ascii="Calibri" w:hAnsi="Calibri" w:cs="Calibri"/>
                <w:b/>
                <w:bCs/>
              </w:rPr>
              <w:t xml:space="preserve">Complete </w:t>
            </w:r>
          </w:p>
        </w:tc>
      </w:tr>
    </w:tbl>
    <w:p w14:paraId="18F33C51" w14:textId="77777777" w:rsidR="00C55A2D" w:rsidRDefault="00C55A2D" w:rsidP="00B21F93">
      <w:pPr>
        <w:rPr>
          <w:rFonts w:ascii="Calibri" w:eastAsiaTheme="majorEastAsia" w:hAnsi="Calibri" w:cs="Calibri"/>
          <w:b/>
          <w:bCs/>
          <w:color w:val="201547" w:themeColor="text2"/>
          <w:spacing w:val="-2"/>
          <w:sz w:val="24"/>
          <w:szCs w:val="24"/>
        </w:rPr>
      </w:pPr>
    </w:p>
    <w:p w14:paraId="7EE33ED4" w14:textId="6B46DF59" w:rsidR="00B21F93" w:rsidRPr="000517A4" w:rsidRDefault="00B21F93" w:rsidP="00B21F93">
      <w:pPr>
        <w:rPr>
          <w:rFonts w:ascii="Calibri" w:eastAsiaTheme="majorEastAsia" w:hAnsi="Calibri" w:cs="Calibri"/>
          <w:b/>
          <w:bCs/>
          <w:color w:val="201547" w:themeColor="text2"/>
          <w:spacing w:val="-2"/>
          <w:sz w:val="24"/>
          <w:szCs w:val="24"/>
        </w:rPr>
      </w:pPr>
      <w:r w:rsidRPr="000517A4">
        <w:rPr>
          <w:rFonts w:ascii="Calibri" w:eastAsiaTheme="majorEastAsia" w:hAnsi="Calibri" w:cs="Calibri"/>
          <w:b/>
          <w:bCs/>
          <w:color w:val="201547" w:themeColor="text2"/>
          <w:spacing w:val="-2"/>
          <w:sz w:val="24"/>
          <w:szCs w:val="24"/>
        </w:rPr>
        <w:t xml:space="preserve">Continuing to deliver effective programs to reduce the risk of electrical assets causing catastrophic </w:t>
      </w:r>
      <w:proofErr w:type="gramStart"/>
      <w:r w:rsidRPr="000517A4">
        <w:rPr>
          <w:rFonts w:ascii="Calibri" w:eastAsiaTheme="majorEastAsia" w:hAnsi="Calibri" w:cs="Calibri"/>
          <w:b/>
          <w:bCs/>
          <w:color w:val="201547" w:themeColor="text2"/>
          <w:spacing w:val="-2"/>
          <w:sz w:val="24"/>
          <w:szCs w:val="24"/>
        </w:rPr>
        <w:t>bushfires</w:t>
      </w:r>
      <w:proofErr w:type="gramEnd"/>
    </w:p>
    <w:tbl>
      <w:tblPr>
        <w:tblStyle w:val="TableGrid"/>
        <w:tblW w:w="5000" w:type="pct"/>
        <w:tblLook w:val="02A0" w:firstRow="1" w:lastRow="0" w:firstColumn="1" w:lastColumn="0" w:noHBand="1" w:noVBand="0"/>
      </w:tblPr>
      <w:tblGrid>
        <w:gridCol w:w="604"/>
        <w:gridCol w:w="6201"/>
        <w:gridCol w:w="5385"/>
        <w:gridCol w:w="2381"/>
      </w:tblGrid>
      <w:tr w:rsidR="00B21F93" w:rsidRPr="000517A4" w14:paraId="071D50D2" w14:textId="77777777" w:rsidTr="000A59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 w:type="pct"/>
          </w:tcPr>
          <w:p w14:paraId="4FED4F4F" w14:textId="77777777" w:rsidR="00B21F93" w:rsidRPr="000517A4" w:rsidRDefault="00B21F93" w:rsidP="000A59A8">
            <w:pPr>
              <w:pStyle w:val="TableHeadingLeft"/>
              <w:rPr>
                <w:rFonts w:ascii="Calibri" w:hAnsi="Calibri" w:cs="Calibri"/>
              </w:rPr>
            </w:pPr>
            <w:r w:rsidRPr="000517A4">
              <w:rPr>
                <w:rFonts w:ascii="Calibri" w:hAnsi="Calibri" w:cs="Calibri"/>
              </w:rPr>
              <w:t>Ref.</w:t>
            </w:r>
          </w:p>
        </w:tc>
        <w:tc>
          <w:tcPr>
            <w:cnfStyle w:val="000010000000" w:firstRow="0" w:lastRow="0" w:firstColumn="0" w:lastColumn="0" w:oddVBand="1" w:evenVBand="0" w:oddHBand="0" w:evenHBand="0" w:firstRowFirstColumn="0" w:firstRowLastColumn="0" w:lastRowFirstColumn="0" w:lastRowLastColumn="0"/>
            <w:tcW w:w="2128" w:type="pct"/>
          </w:tcPr>
          <w:p w14:paraId="5E087C7D" w14:textId="77777777" w:rsidR="00B21F93" w:rsidRPr="000517A4" w:rsidRDefault="00B21F93" w:rsidP="000A59A8">
            <w:pPr>
              <w:pStyle w:val="TableHeadingLeft"/>
              <w:rPr>
                <w:rFonts w:ascii="Calibri" w:hAnsi="Calibri" w:cs="Calibri"/>
              </w:rPr>
            </w:pPr>
            <w:r w:rsidRPr="000517A4">
              <w:rPr>
                <w:rFonts w:ascii="Calibri" w:hAnsi="Calibri" w:cs="Calibri"/>
              </w:rPr>
              <w:t>Recommendation</w:t>
            </w:r>
          </w:p>
        </w:tc>
        <w:tc>
          <w:tcPr>
            <w:tcW w:w="1848" w:type="pct"/>
          </w:tcPr>
          <w:p w14:paraId="069CABBE" w14:textId="77777777" w:rsidR="00B21F93" w:rsidRPr="000517A4" w:rsidRDefault="00B21F93" w:rsidP="000A59A8">
            <w:pPr>
              <w:pStyle w:val="TableHeadingLeft"/>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Actions completed and in progress</w:t>
            </w:r>
          </w:p>
        </w:tc>
        <w:tc>
          <w:tcPr>
            <w:cnfStyle w:val="000010000000" w:firstRow="0" w:lastRow="0" w:firstColumn="0" w:lastColumn="0" w:oddVBand="1" w:evenVBand="0" w:oddHBand="0" w:evenHBand="0" w:firstRowFirstColumn="0" w:firstRowLastColumn="0" w:lastRowFirstColumn="0" w:lastRowLastColumn="0"/>
            <w:tcW w:w="817" w:type="pct"/>
          </w:tcPr>
          <w:p w14:paraId="437553D1" w14:textId="77777777" w:rsidR="00B21F93" w:rsidRPr="000517A4" w:rsidRDefault="00B21F93" w:rsidP="000A59A8">
            <w:pPr>
              <w:pStyle w:val="TableHeadingLeft"/>
              <w:rPr>
                <w:rFonts w:ascii="Calibri" w:hAnsi="Calibri" w:cs="Calibri"/>
              </w:rPr>
            </w:pPr>
            <w:r w:rsidRPr="000517A4">
              <w:rPr>
                <w:rFonts w:ascii="Calibri" w:hAnsi="Calibri" w:cs="Calibri"/>
              </w:rPr>
              <w:t>Status</w:t>
            </w:r>
          </w:p>
        </w:tc>
      </w:tr>
      <w:tr w:rsidR="00AD1F40" w:rsidRPr="000517A4" w14:paraId="25AB6D6F" w14:textId="77777777" w:rsidTr="000A59A8">
        <w:tc>
          <w:tcPr>
            <w:cnfStyle w:val="001000000000" w:firstRow="0" w:lastRow="0" w:firstColumn="1" w:lastColumn="0" w:oddVBand="0" w:evenVBand="0" w:oddHBand="0" w:evenHBand="0" w:firstRowFirstColumn="0" w:firstRowLastColumn="0" w:lastRowFirstColumn="0" w:lastRowLastColumn="0"/>
            <w:tcW w:w="207" w:type="pct"/>
          </w:tcPr>
          <w:p w14:paraId="730A7B9B" w14:textId="20929A00" w:rsidR="00AD1F40" w:rsidRPr="000517A4" w:rsidRDefault="00AD1F40" w:rsidP="00AD1F40">
            <w:pPr>
              <w:pStyle w:val="TableTextLeft"/>
              <w:rPr>
                <w:rFonts w:ascii="Calibri" w:hAnsi="Calibri" w:cs="Calibri"/>
              </w:rPr>
            </w:pPr>
            <w:r w:rsidRPr="000517A4">
              <w:rPr>
                <w:rFonts w:ascii="Calibri" w:hAnsi="Calibri" w:cs="Calibri"/>
              </w:rPr>
              <w:t>26</w:t>
            </w:r>
          </w:p>
        </w:tc>
        <w:tc>
          <w:tcPr>
            <w:cnfStyle w:val="000010000000" w:firstRow="0" w:lastRow="0" w:firstColumn="0" w:lastColumn="0" w:oddVBand="1" w:evenVBand="0" w:oddHBand="0" w:evenHBand="0" w:firstRowFirstColumn="0" w:firstRowLastColumn="0" w:lastRowFirstColumn="0" w:lastRowLastColumn="0"/>
            <w:tcW w:w="2128" w:type="pct"/>
          </w:tcPr>
          <w:p w14:paraId="332AB523" w14:textId="77777777" w:rsidR="00AD1F40" w:rsidRPr="000517A4" w:rsidRDefault="00AD1F40" w:rsidP="00AD1F40">
            <w:pPr>
              <w:pStyle w:val="ListBullet"/>
              <w:numPr>
                <w:ilvl w:val="0"/>
                <w:numId w:val="0"/>
              </w:numPr>
              <w:spacing w:before="20"/>
              <w:jc w:val="both"/>
              <w:rPr>
                <w:rFonts w:ascii="Calibri" w:hAnsi="Calibri" w:cs="Calibri"/>
                <w:i/>
                <w:iCs/>
              </w:rPr>
            </w:pPr>
            <w:r w:rsidRPr="000517A4">
              <w:rPr>
                <w:rFonts w:ascii="Calibri" w:hAnsi="Calibri" w:cs="Calibri"/>
                <w:i/>
                <w:iCs/>
              </w:rPr>
              <w:t>Supported</w:t>
            </w:r>
          </w:p>
          <w:p w14:paraId="1729EDC8" w14:textId="0873CFF7" w:rsidR="00AD1F40" w:rsidRPr="000517A4" w:rsidRDefault="00AD1F40" w:rsidP="00AD1F40">
            <w:pPr>
              <w:pStyle w:val="TableTextLeft"/>
              <w:rPr>
                <w:rFonts w:ascii="Calibri" w:hAnsi="Calibri" w:cs="Calibri"/>
              </w:rPr>
            </w:pPr>
            <w:r w:rsidRPr="000517A4">
              <w:rPr>
                <w:rFonts w:ascii="Calibri" w:hAnsi="Calibri" w:cs="Calibri"/>
              </w:rPr>
              <w:t>DELWP should develop a transition plan that outlines a clear pathway for the closure of its program components of the Powerline Bushfire Safety Program and handover arrangements for residual components to ensure the learning gained through the program is maintained into the future.</w:t>
            </w:r>
          </w:p>
        </w:tc>
        <w:tc>
          <w:tcPr>
            <w:tcW w:w="1848" w:type="pct"/>
          </w:tcPr>
          <w:p w14:paraId="491AB733" w14:textId="5DFDFECF" w:rsidR="00AD1F40" w:rsidRPr="000517A4" w:rsidRDefault="00AD1F40" w:rsidP="00AD1F40">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0517A4">
              <w:rPr>
                <w:rFonts w:ascii="Calibri" w:hAnsi="Calibri" w:cs="Calibri"/>
              </w:rPr>
              <w:t>The Powerline Bushfire Safety Program (PBSP) has moved into a new phase which is informed by the previous 10 years of the program. This phase includes evaluation of all programs and ensuring that learnings from key programs such as the Powerline Replacement Fund, Local Infrastructure Assistance Fund, and the Private Overhead Electric Line Scheme will be maintained and built into the future of the PBSP or subsumed into business-as-usual government workstreams.</w:t>
            </w:r>
          </w:p>
        </w:tc>
        <w:tc>
          <w:tcPr>
            <w:cnfStyle w:val="000010000000" w:firstRow="0" w:lastRow="0" w:firstColumn="0" w:lastColumn="0" w:oddVBand="1" w:evenVBand="0" w:oddHBand="0" w:evenHBand="0" w:firstRowFirstColumn="0" w:firstRowLastColumn="0" w:lastRowFirstColumn="0" w:lastRowLastColumn="0"/>
            <w:tcW w:w="817" w:type="pct"/>
          </w:tcPr>
          <w:p w14:paraId="20F30249" w14:textId="7425415C" w:rsidR="00AD1F40" w:rsidRPr="000517A4" w:rsidRDefault="00AD1F40" w:rsidP="00AD1F40">
            <w:pPr>
              <w:pStyle w:val="TableTextLeft"/>
              <w:rPr>
                <w:rFonts w:ascii="Calibri" w:hAnsi="Calibri" w:cs="Calibri"/>
              </w:rPr>
            </w:pPr>
            <w:r w:rsidRPr="000517A4">
              <w:rPr>
                <w:rFonts w:ascii="Calibri" w:hAnsi="Calibri" w:cs="Calibri"/>
                <w:b/>
                <w:bCs/>
              </w:rPr>
              <w:t>On track</w:t>
            </w:r>
            <w:r w:rsidRPr="000517A4">
              <w:rPr>
                <w:rFonts w:ascii="Calibri" w:hAnsi="Calibri" w:cs="Calibri"/>
              </w:rPr>
              <w:t xml:space="preserve"> for completion in 2023-24 including closing out, evaluation and development of </w:t>
            </w:r>
            <w:proofErr w:type="gramStart"/>
            <w:r w:rsidRPr="000517A4">
              <w:rPr>
                <w:rFonts w:ascii="Calibri" w:hAnsi="Calibri" w:cs="Calibri"/>
              </w:rPr>
              <w:t>future plans</w:t>
            </w:r>
            <w:proofErr w:type="gramEnd"/>
            <w:r w:rsidRPr="000517A4">
              <w:rPr>
                <w:rFonts w:ascii="Calibri" w:hAnsi="Calibri" w:cs="Calibri"/>
              </w:rPr>
              <w:t>.</w:t>
            </w:r>
          </w:p>
        </w:tc>
      </w:tr>
      <w:tr w:rsidR="00AD1F40" w:rsidRPr="000517A4" w14:paraId="15A6E250" w14:textId="77777777" w:rsidTr="000A59A8">
        <w:tc>
          <w:tcPr>
            <w:cnfStyle w:val="001000000000" w:firstRow="0" w:lastRow="0" w:firstColumn="1" w:lastColumn="0" w:oddVBand="0" w:evenVBand="0" w:oddHBand="0" w:evenHBand="0" w:firstRowFirstColumn="0" w:firstRowLastColumn="0" w:lastRowFirstColumn="0" w:lastRowLastColumn="0"/>
            <w:tcW w:w="207" w:type="pct"/>
          </w:tcPr>
          <w:p w14:paraId="6AE8F61D" w14:textId="5449516B" w:rsidR="00AD1F40" w:rsidRPr="000517A4" w:rsidRDefault="00AD1F40" w:rsidP="00AD1F40">
            <w:pPr>
              <w:pStyle w:val="TableTextLeft"/>
              <w:rPr>
                <w:rFonts w:ascii="Calibri" w:hAnsi="Calibri" w:cs="Calibri"/>
              </w:rPr>
            </w:pPr>
            <w:r w:rsidRPr="000517A4">
              <w:rPr>
                <w:rFonts w:ascii="Calibri" w:hAnsi="Calibri" w:cs="Calibri"/>
              </w:rPr>
              <w:t>27</w:t>
            </w:r>
          </w:p>
        </w:tc>
        <w:tc>
          <w:tcPr>
            <w:cnfStyle w:val="000010000000" w:firstRow="0" w:lastRow="0" w:firstColumn="0" w:lastColumn="0" w:oddVBand="1" w:evenVBand="0" w:oddHBand="0" w:evenHBand="0" w:firstRowFirstColumn="0" w:firstRowLastColumn="0" w:lastRowFirstColumn="0" w:lastRowLastColumn="0"/>
            <w:tcW w:w="2128" w:type="pct"/>
          </w:tcPr>
          <w:p w14:paraId="1BC55E66" w14:textId="77777777" w:rsidR="00AD1F40" w:rsidRPr="000517A4" w:rsidRDefault="00AD1F40" w:rsidP="00AD1F40">
            <w:pPr>
              <w:pStyle w:val="ListBullet"/>
              <w:numPr>
                <w:ilvl w:val="0"/>
                <w:numId w:val="0"/>
              </w:numPr>
              <w:spacing w:before="20"/>
              <w:jc w:val="both"/>
              <w:rPr>
                <w:rFonts w:ascii="Calibri" w:hAnsi="Calibri" w:cs="Calibri"/>
                <w:i/>
                <w:iCs/>
              </w:rPr>
            </w:pPr>
            <w:r w:rsidRPr="000517A4">
              <w:rPr>
                <w:rFonts w:ascii="Calibri" w:hAnsi="Calibri" w:cs="Calibri"/>
                <w:i/>
                <w:iCs/>
              </w:rPr>
              <w:t>Supported</w:t>
            </w:r>
          </w:p>
          <w:p w14:paraId="0636AE46" w14:textId="7DC33170" w:rsidR="00AD1F40" w:rsidRPr="000517A4" w:rsidRDefault="00AD1F40" w:rsidP="00AD1F40">
            <w:pPr>
              <w:pStyle w:val="TableTextLeft"/>
              <w:rPr>
                <w:rFonts w:ascii="Calibri" w:hAnsi="Calibri" w:cs="Calibri"/>
              </w:rPr>
            </w:pPr>
            <w:r w:rsidRPr="000517A4">
              <w:rPr>
                <w:rFonts w:ascii="Calibri" w:hAnsi="Calibri" w:cs="Calibri"/>
              </w:rPr>
              <w:t xml:space="preserve">The mandate of the Powerline Bushfire Safety Committee should be expanded to require it to provide annual implementation reports on the deployment of REFCL technology to satisfy the Electricity Safety (Bushfire Mitigation) Regulations 2013. The implementation reports should include information on the costs and risk reduction benefits </w:t>
            </w:r>
            <w:proofErr w:type="gramStart"/>
            <w:r w:rsidRPr="000517A4">
              <w:rPr>
                <w:rFonts w:ascii="Calibri" w:hAnsi="Calibri" w:cs="Calibri"/>
              </w:rPr>
              <w:t>in light of</w:t>
            </w:r>
            <w:proofErr w:type="gramEnd"/>
            <w:r w:rsidRPr="000517A4">
              <w:rPr>
                <w:rFonts w:ascii="Calibri" w:hAnsi="Calibri" w:cs="Calibri"/>
              </w:rPr>
              <w:t xml:space="preserve"> actual experience, and an assessment of emerging issues that may require adjustments to program timing or technical requirements. The first </w:t>
            </w:r>
            <w:r w:rsidRPr="000517A4">
              <w:rPr>
                <w:rFonts w:ascii="Calibri" w:hAnsi="Calibri" w:cs="Calibri"/>
              </w:rPr>
              <w:lastRenderedPageBreak/>
              <w:t>report should be provided through the Director of Energy Safety to the Minister for Energy, Environment and Climate Change by May 2018.</w:t>
            </w:r>
          </w:p>
        </w:tc>
        <w:tc>
          <w:tcPr>
            <w:tcW w:w="1848" w:type="pct"/>
          </w:tcPr>
          <w:p w14:paraId="444C9358" w14:textId="03CECA29" w:rsidR="00AD1F40" w:rsidRPr="000517A4" w:rsidRDefault="00AD1F40" w:rsidP="00AD1F40">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color w:val="0070C0"/>
                <w:u w:val="single"/>
              </w:rPr>
            </w:pPr>
            <w:r w:rsidRPr="000517A4">
              <w:rPr>
                <w:rFonts w:ascii="Calibri" w:hAnsi="Calibri" w:cs="Calibri"/>
              </w:rPr>
              <w:lastRenderedPageBreak/>
              <w:t xml:space="preserve">ESV has commissioned independent reports into the costs versus benefits of REFCLs and the functional performance of REFCLs. These have been published on the ESV website: </w:t>
            </w:r>
            <w:proofErr w:type="gramStart"/>
            <w:r w:rsidR="000C2D8D" w:rsidRPr="000C2D8D">
              <w:rPr>
                <w:rFonts w:ascii="Calibri" w:hAnsi="Calibri" w:cs="Calibri"/>
                <w:color w:val="0070C0"/>
              </w:rPr>
              <w:t>https://www.esv.vic.gov.au/media-centre/news/reports-released-refcls</w:t>
            </w:r>
            <w:proofErr w:type="gramEnd"/>
          </w:p>
          <w:p w14:paraId="7AC87118" w14:textId="48BD61F9" w:rsidR="00AD1F40" w:rsidRPr="000517A4" w:rsidRDefault="00AD1F40" w:rsidP="00AD1F40">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0517A4">
              <w:rPr>
                <w:rFonts w:ascii="Calibri" w:hAnsi="Calibri" w:cs="Calibri"/>
              </w:rPr>
              <w:t>As the PBSC has now fulfilled its function and ESV has the internal expertise to provide advice to the Commissioners, ESV has disbanded the PBSC.</w:t>
            </w:r>
          </w:p>
        </w:tc>
        <w:tc>
          <w:tcPr>
            <w:cnfStyle w:val="000010000000" w:firstRow="0" w:lastRow="0" w:firstColumn="0" w:lastColumn="0" w:oddVBand="1" w:evenVBand="0" w:oddHBand="0" w:evenHBand="0" w:firstRowFirstColumn="0" w:firstRowLastColumn="0" w:lastRowFirstColumn="0" w:lastRowLastColumn="0"/>
            <w:tcW w:w="817" w:type="pct"/>
          </w:tcPr>
          <w:p w14:paraId="76A7925D" w14:textId="2464607B" w:rsidR="00AD1F40" w:rsidRPr="000517A4" w:rsidRDefault="00AD1F40" w:rsidP="00AD1F40">
            <w:pPr>
              <w:pStyle w:val="TableTextLeft"/>
              <w:rPr>
                <w:rFonts w:ascii="Calibri" w:hAnsi="Calibri" w:cs="Calibri"/>
              </w:rPr>
            </w:pPr>
            <w:r w:rsidRPr="000517A4">
              <w:rPr>
                <w:rFonts w:ascii="Calibri" w:hAnsi="Calibri" w:cs="Calibri"/>
                <w:b/>
                <w:bCs/>
              </w:rPr>
              <w:t xml:space="preserve">Complete </w:t>
            </w:r>
          </w:p>
        </w:tc>
      </w:tr>
      <w:tr w:rsidR="00AD1F40" w:rsidRPr="000517A4" w14:paraId="19C73735" w14:textId="77777777" w:rsidTr="000A59A8">
        <w:tc>
          <w:tcPr>
            <w:cnfStyle w:val="001000000000" w:firstRow="0" w:lastRow="0" w:firstColumn="1" w:lastColumn="0" w:oddVBand="0" w:evenVBand="0" w:oddHBand="0" w:evenHBand="0" w:firstRowFirstColumn="0" w:firstRowLastColumn="0" w:lastRowFirstColumn="0" w:lastRowLastColumn="0"/>
            <w:tcW w:w="207" w:type="pct"/>
          </w:tcPr>
          <w:p w14:paraId="57E6511B" w14:textId="39D60C0D" w:rsidR="00AD1F40" w:rsidRPr="000517A4" w:rsidRDefault="00AD1F40" w:rsidP="00AD1F40">
            <w:pPr>
              <w:pStyle w:val="TableTextLeft"/>
              <w:rPr>
                <w:rFonts w:ascii="Calibri" w:hAnsi="Calibri" w:cs="Calibri"/>
              </w:rPr>
            </w:pPr>
            <w:r w:rsidRPr="000517A4">
              <w:rPr>
                <w:rFonts w:ascii="Calibri" w:hAnsi="Calibri" w:cs="Calibri"/>
              </w:rPr>
              <w:t>28</w:t>
            </w:r>
          </w:p>
        </w:tc>
        <w:tc>
          <w:tcPr>
            <w:cnfStyle w:val="000010000000" w:firstRow="0" w:lastRow="0" w:firstColumn="0" w:lastColumn="0" w:oddVBand="1" w:evenVBand="0" w:oddHBand="0" w:evenHBand="0" w:firstRowFirstColumn="0" w:firstRowLastColumn="0" w:lastRowFirstColumn="0" w:lastRowLastColumn="0"/>
            <w:tcW w:w="2128" w:type="pct"/>
          </w:tcPr>
          <w:p w14:paraId="63991F7E" w14:textId="77777777" w:rsidR="00AD1F40" w:rsidRPr="000517A4" w:rsidRDefault="00AD1F40" w:rsidP="00AD1F40">
            <w:pPr>
              <w:pStyle w:val="ListBullet"/>
              <w:numPr>
                <w:ilvl w:val="0"/>
                <w:numId w:val="0"/>
              </w:numPr>
              <w:spacing w:before="20"/>
              <w:jc w:val="both"/>
              <w:rPr>
                <w:rFonts w:ascii="Calibri" w:hAnsi="Calibri" w:cs="Calibri"/>
                <w:i/>
                <w:iCs/>
              </w:rPr>
            </w:pPr>
            <w:r w:rsidRPr="000517A4">
              <w:rPr>
                <w:rFonts w:ascii="Calibri" w:hAnsi="Calibri" w:cs="Calibri"/>
                <w:i/>
                <w:iCs/>
              </w:rPr>
              <w:t>Supported</w:t>
            </w:r>
          </w:p>
          <w:p w14:paraId="39C25DD0" w14:textId="045A1DA3" w:rsidR="00AD1F40" w:rsidRPr="000517A4" w:rsidRDefault="00AD1F40" w:rsidP="00AD1F40">
            <w:pPr>
              <w:pStyle w:val="TableTextLeft"/>
              <w:rPr>
                <w:rFonts w:ascii="Calibri" w:hAnsi="Calibri" w:cs="Calibri"/>
              </w:rPr>
            </w:pPr>
            <w:r w:rsidRPr="000517A4">
              <w:rPr>
                <w:rFonts w:ascii="Calibri" w:hAnsi="Calibri" w:cs="Calibri"/>
              </w:rPr>
              <w:t>ESV should continue to work closely with distribution businesses, and with the assistance of the Powerline Bushfire Safety Committee, to provide timely advice to the Minister for Energy, Environment and Climate Change on the need for any exemptions from the performance standards contained in the Electricity Safety (Bushfire Mitigation) Regulations 2013.</w:t>
            </w:r>
          </w:p>
        </w:tc>
        <w:tc>
          <w:tcPr>
            <w:tcW w:w="1848" w:type="pct"/>
          </w:tcPr>
          <w:p w14:paraId="7095C8B4" w14:textId="102FA92B" w:rsidR="00AD1F40" w:rsidRPr="000517A4" w:rsidRDefault="00AD1F40" w:rsidP="00AD1F40">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0517A4">
              <w:rPr>
                <w:rFonts w:ascii="Calibri" w:hAnsi="Calibri" w:cs="Calibri"/>
              </w:rPr>
              <w:t>ESV will provide ongoing advice to the Minister on future electricity distributors’ requests for technical exemptions and work with DEECA to improve the efficiency of the process by which Minister endorsement and / or approval is achieved.</w:t>
            </w:r>
          </w:p>
        </w:tc>
        <w:tc>
          <w:tcPr>
            <w:cnfStyle w:val="000010000000" w:firstRow="0" w:lastRow="0" w:firstColumn="0" w:lastColumn="0" w:oddVBand="1" w:evenVBand="0" w:oddHBand="0" w:evenHBand="0" w:firstRowFirstColumn="0" w:firstRowLastColumn="0" w:lastRowFirstColumn="0" w:lastRowLastColumn="0"/>
            <w:tcW w:w="817" w:type="pct"/>
          </w:tcPr>
          <w:p w14:paraId="0F799DE2" w14:textId="77777777" w:rsidR="00AD1F40" w:rsidRPr="000517A4" w:rsidRDefault="00AD1F40" w:rsidP="00AD1F40">
            <w:pPr>
              <w:pStyle w:val="ListBullet"/>
              <w:numPr>
                <w:ilvl w:val="0"/>
                <w:numId w:val="0"/>
              </w:numPr>
              <w:spacing w:before="20"/>
              <w:jc w:val="both"/>
              <w:rPr>
                <w:rFonts w:ascii="Calibri" w:hAnsi="Calibri" w:cs="Calibri"/>
                <w:b/>
                <w:bCs/>
              </w:rPr>
            </w:pPr>
            <w:r w:rsidRPr="000517A4">
              <w:rPr>
                <w:rFonts w:ascii="Calibri" w:hAnsi="Calibri" w:cs="Calibri"/>
                <w:b/>
                <w:bCs/>
              </w:rPr>
              <w:t xml:space="preserve">Complete </w:t>
            </w:r>
          </w:p>
          <w:p w14:paraId="47AA909D" w14:textId="77777777" w:rsidR="00AD1F40" w:rsidRPr="000517A4" w:rsidRDefault="00AD1F40" w:rsidP="00AD1F40">
            <w:pPr>
              <w:rPr>
                <w:rFonts w:ascii="Calibri" w:hAnsi="Calibri" w:cs="Calibri"/>
              </w:rPr>
            </w:pPr>
          </w:p>
          <w:p w14:paraId="757AA2A3" w14:textId="77777777" w:rsidR="00AD1F40" w:rsidRPr="000517A4" w:rsidRDefault="00AD1F40" w:rsidP="00AD1F40">
            <w:pPr>
              <w:rPr>
                <w:rFonts w:ascii="Calibri" w:hAnsi="Calibri" w:cs="Calibri"/>
              </w:rPr>
            </w:pPr>
          </w:p>
          <w:p w14:paraId="7CBE2B9E" w14:textId="77777777" w:rsidR="00AD1F40" w:rsidRPr="000517A4" w:rsidRDefault="00AD1F40" w:rsidP="00AD1F40">
            <w:pPr>
              <w:rPr>
                <w:rFonts w:ascii="Calibri" w:hAnsi="Calibri" w:cs="Calibri"/>
              </w:rPr>
            </w:pPr>
          </w:p>
          <w:p w14:paraId="269C3586" w14:textId="77777777" w:rsidR="00AD1F40" w:rsidRPr="000517A4" w:rsidRDefault="00AD1F40" w:rsidP="00AD1F40">
            <w:pPr>
              <w:rPr>
                <w:rFonts w:ascii="Calibri" w:hAnsi="Calibri" w:cs="Calibri"/>
              </w:rPr>
            </w:pPr>
          </w:p>
          <w:p w14:paraId="51BE2986" w14:textId="77777777" w:rsidR="00AD1F40" w:rsidRPr="000517A4" w:rsidRDefault="00AD1F40" w:rsidP="00AD1F40">
            <w:pPr>
              <w:rPr>
                <w:rFonts w:ascii="Calibri" w:hAnsi="Calibri" w:cs="Calibri"/>
              </w:rPr>
            </w:pPr>
          </w:p>
          <w:p w14:paraId="074BDD57" w14:textId="77777777" w:rsidR="00AD1F40" w:rsidRPr="000517A4" w:rsidRDefault="00AD1F40" w:rsidP="00AD1F40">
            <w:pPr>
              <w:rPr>
                <w:rFonts w:ascii="Calibri" w:hAnsi="Calibri" w:cs="Calibri"/>
              </w:rPr>
            </w:pPr>
          </w:p>
          <w:p w14:paraId="0476F60D" w14:textId="77777777" w:rsidR="00AD1F40" w:rsidRPr="000517A4" w:rsidRDefault="00AD1F40" w:rsidP="00AD1F40">
            <w:pPr>
              <w:rPr>
                <w:rFonts w:ascii="Calibri" w:hAnsi="Calibri" w:cs="Calibri"/>
              </w:rPr>
            </w:pPr>
          </w:p>
          <w:p w14:paraId="62CA00FA" w14:textId="77777777" w:rsidR="00AD1F40" w:rsidRPr="000517A4" w:rsidRDefault="00AD1F40" w:rsidP="00AD1F40">
            <w:pPr>
              <w:rPr>
                <w:rFonts w:ascii="Calibri" w:hAnsi="Calibri" w:cs="Calibri"/>
              </w:rPr>
            </w:pPr>
          </w:p>
          <w:p w14:paraId="3D41A0EB" w14:textId="77777777" w:rsidR="00AD1F40" w:rsidRPr="000517A4" w:rsidRDefault="00AD1F40" w:rsidP="00AD1F40">
            <w:pPr>
              <w:pStyle w:val="TableTextLeft"/>
              <w:rPr>
                <w:rFonts w:ascii="Calibri" w:hAnsi="Calibri" w:cs="Calibri"/>
              </w:rPr>
            </w:pPr>
          </w:p>
        </w:tc>
      </w:tr>
    </w:tbl>
    <w:p w14:paraId="3CEF754F" w14:textId="77777777" w:rsidR="004A171B" w:rsidRPr="000517A4" w:rsidRDefault="004A171B">
      <w:pPr>
        <w:rPr>
          <w:rFonts w:ascii="Calibri" w:hAnsi="Calibri" w:cs="Calibri"/>
        </w:rPr>
      </w:pPr>
    </w:p>
    <w:p w14:paraId="593FF1D8" w14:textId="78140D88" w:rsidR="00901B00" w:rsidRPr="00BA2E18" w:rsidRDefault="006714CC">
      <w:pPr>
        <w:rPr>
          <w:rFonts w:ascii="Calibri" w:eastAsiaTheme="majorEastAsia" w:hAnsi="Calibri" w:cs="Calibri"/>
          <w:b/>
          <w:bCs/>
          <w:color w:val="201547" w:themeColor="text2"/>
          <w:spacing w:val="-2"/>
          <w:sz w:val="24"/>
          <w:szCs w:val="24"/>
        </w:rPr>
      </w:pPr>
      <w:r w:rsidRPr="000517A4">
        <w:rPr>
          <w:rFonts w:ascii="Calibri" w:eastAsiaTheme="majorEastAsia" w:hAnsi="Calibri" w:cs="Calibri"/>
          <w:b/>
          <w:bCs/>
          <w:color w:val="201547" w:themeColor="text2"/>
          <w:spacing w:val="-2"/>
          <w:sz w:val="24"/>
          <w:szCs w:val="24"/>
        </w:rPr>
        <w:t xml:space="preserve">Delivering enhanced programs to address bushfire safety through further research and development into new technologies to manage bushfire risk from electrical </w:t>
      </w:r>
      <w:proofErr w:type="gramStart"/>
      <w:r w:rsidRPr="000517A4">
        <w:rPr>
          <w:rFonts w:ascii="Calibri" w:eastAsiaTheme="majorEastAsia" w:hAnsi="Calibri" w:cs="Calibri"/>
          <w:b/>
          <w:bCs/>
          <w:color w:val="201547" w:themeColor="text2"/>
          <w:spacing w:val="-2"/>
          <w:sz w:val="24"/>
          <w:szCs w:val="24"/>
        </w:rPr>
        <w:t>asset</w:t>
      </w:r>
      <w:r w:rsidR="00901B00">
        <w:rPr>
          <w:rFonts w:ascii="Calibri" w:eastAsiaTheme="majorEastAsia" w:hAnsi="Calibri" w:cs="Calibri"/>
          <w:b/>
          <w:bCs/>
          <w:color w:val="201547" w:themeColor="text2"/>
          <w:spacing w:val="-2"/>
          <w:sz w:val="24"/>
          <w:szCs w:val="24"/>
        </w:rPr>
        <w:t>s</w:t>
      </w:r>
      <w:proofErr w:type="gramEnd"/>
    </w:p>
    <w:tbl>
      <w:tblPr>
        <w:tblStyle w:val="TableGrid"/>
        <w:tblW w:w="5000" w:type="pct"/>
        <w:tblLook w:val="02A0" w:firstRow="1" w:lastRow="0" w:firstColumn="1" w:lastColumn="0" w:noHBand="1" w:noVBand="0"/>
      </w:tblPr>
      <w:tblGrid>
        <w:gridCol w:w="604"/>
        <w:gridCol w:w="6201"/>
        <w:gridCol w:w="5385"/>
        <w:gridCol w:w="2381"/>
      </w:tblGrid>
      <w:tr w:rsidR="001D6627" w:rsidRPr="000517A4" w14:paraId="053D345D" w14:textId="77777777" w:rsidTr="000A59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 w:type="pct"/>
          </w:tcPr>
          <w:p w14:paraId="0423B6BF" w14:textId="77777777" w:rsidR="001D6627" w:rsidRPr="000517A4" w:rsidRDefault="001D6627" w:rsidP="000A59A8">
            <w:pPr>
              <w:pStyle w:val="TableHeadingLeft"/>
              <w:rPr>
                <w:rFonts w:ascii="Calibri" w:hAnsi="Calibri" w:cs="Calibri"/>
              </w:rPr>
            </w:pPr>
            <w:r w:rsidRPr="000517A4">
              <w:rPr>
                <w:rFonts w:ascii="Calibri" w:hAnsi="Calibri" w:cs="Calibri"/>
              </w:rPr>
              <w:t>Ref.</w:t>
            </w:r>
          </w:p>
        </w:tc>
        <w:tc>
          <w:tcPr>
            <w:cnfStyle w:val="000010000000" w:firstRow="0" w:lastRow="0" w:firstColumn="0" w:lastColumn="0" w:oddVBand="1" w:evenVBand="0" w:oddHBand="0" w:evenHBand="0" w:firstRowFirstColumn="0" w:firstRowLastColumn="0" w:lastRowFirstColumn="0" w:lastRowLastColumn="0"/>
            <w:tcW w:w="2128" w:type="pct"/>
          </w:tcPr>
          <w:p w14:paraId="69265DC1" w14:textId="77777777" w:rsidR="001D6627" w:rsidRPr="000517A4" w:rsidRDefault="001D6627" w:rsidP="000A59A8">
            <w:pPr>
              <w:pStyle w:val="TableHeadingLeft"/>
              <w:rPr>
                <w:rFonts w:ascii="Calibri" w:hAnsi="Calibri" w:cs="Calibri"/>
              </w:rPr>
            </w:pPr>
            <w:r w:rsidRPr="000517A4">
              <w:rPr>
                <w:rFonts w:ascii="Calibri" w:hAnsi="Calibri" w:cs="Calibri"/>
              </w:rPr>
              <w:t>Recommendation</w:t>
            </w:r>
          </w:p>
        </w:tc>
        <w:tc>
          <w:tcPr>
            <w:tcW w:w="1848" w:type="pct"/>
          </w:tcPr>
          <w:p w14:paraId="7FE7A0EE" w14:textId="77777777" w:rsidR="001D6627" w:rsidRPr="000517A4" w:rsidRDefault="001D6627" w:rsidP="000A59A8">
            <w:pPr>
              <w:pStyle w:val="TableHeadingLeft"/>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Actions completed and in progress</w:t>
            </w:r>
          </w:p>
        </w:tc>
        <w:tc>
          <w:tcPr>
            <w:cnfStyle w:val="000010000000" w:firstRow="0" w:lastRow="0" w:firstColumn="0" w:lastColumn="0" w:oddVBand="1" w:evenVBand="0" w:oddHBand="0" w:evenHBand="0" w:firstRowFirstColumn="0" w:firstRowLastColumn="0" w:lastRowFirstColumn="0" w:lastRowLastColumn="0"/>
            <w:tcW w:w="817" w:type="pct"/>
          </w:tcPr>
          <w:p w14:paraId="7415D945" w14:textId="77777777" w:rsidR="001D6627" w:rsidRPr="000517A4" w:rsidRDefault="001D6627" w:rsidP="000A59A8">
            <w:pPr>
              <w:pStyle w:val="TableHeadingLeft"/>
              <w:rPr>
                <w:rFonts w:ascii="Calibri" w:hAnsi="Calibri" w:cs="Calibri"/>
              </w:rPr>
            </w:pPr>
            <w:r w:rsidRPr="000517A4">
              <w:rPr>
                <w:rFonts w:ascii="Calibri" w:hAnsi="Calibri" w:cs="Calibri"/>
              </w:rPr>
              <w:t>Status</w:t>
            </w:r>
          </w:p>
        </w:tc>
      </w:tr>
      <w:tr w:rsidR="00822A8A" w:rsidRPr="000517A4" w14:paraId="17373705" w14:textId="77777777" w:rsidTr="000A59A8">
        <w:tc>
          <w:tcPr>
            <w:cnfStyle w:val="001000000000" w:firstRow="0" w:lastRow="0" w:firstColumn="1" w:lastColumn="0" w:oddVBand="0" w:evenVBand="0" w:oddHBand="0" w:evenHBand="0" w:firstRowFirstColumn="0" w:firstRowLastColumn="0" w:lastRowFirstColumn="0" w:lastRowLastColumn="0"/>
            <w:tcW w:w="207" w:type="pct"/>
          </w:tcPr>
          <w:p w14:paraId="180E96D9" w14:textId="0B030FDD" w:rsidR="00822A8A" w:rsidRPr="000517A4" w:rsidRDefault="00822A8A" w:rsidP="00822A8A">
            <w:pPr>
              <w:pStyle w:val="TableTextLeft"/>
              <w:rPr>
                <w:rFonts w:ascii="Calibri" w:hAnsi="Calibri" w:cs="Calibri"/>
              </w:rPr>
            </w:pPr>
            <w:r w:rsidRPr="000517A4">
              <w:rPr>
                <w:rFonts w:ascii="Calibri" w:hAnsi="Calibri" w:cs="Calibri"/>
              </w:rPr>
              <w:t>29</w:t>
            </w:r>
          </w:p>
        </w:tc>
        <w:tc>
          <w:tcPr>
            <w:cnfStyle w:val="000010000000" w:firstRow="0" w:lastRow="0" w:firstColumn="0" w:lastColumn="0" w:oddVBand="1" w:evenVBand="0" w:oddHBand="0" w:evenHBand="0" w:firstRowFirstColumn="0" w:firstRowLastColumn="0" w:lastRowFirstColumn="0" w:lastRowLastColumn="0"/>
            <w:tcW w:w="2128" w:type="pct"/>
          </w:tcPr>
          <w:p w14:paraId="60B359FC" w14:textId="77777777" w:rsidR="00822A8A" w:rsidRPr="000517A4" w:rsidRDefault="00822A8A" w:rsidP="00822A8A">
            <w:pPr>
              <w:pStyle w:val="ListBullet"/>
              <w:numPr>
                <w:ilvl w:val="0"/>
                <w:numId w:val="0"/>
              </w:numPr>
              <w:spacing w:before="20"/>
              <w:jc w:val="both"/>
              <w:rPr>
                <w:rFonts w:ascii="Calibri" w:hAnsi="Calibri" w:cs="Calibri"/>
                <w:i/>
                <w:iCs/>
              </w:rPr>
            </w:pPr>
            <w:r w:rsidRPr="000517A4">
              <w:rPr>
                <w:rFonts w:ascii="Calibri" w:hAnsi="Calibri" w:cs="Calibri"/>
                <w:i/>
                <w:iCs/>
              </w:rPr>
              <w:t>Supported-in-</w:t>
            </w:r>
            <w:proofErr w:type="gramStart"/>
            <w:r w:rsidRPr="000517A4">
              <w:rPr>
                <w:rFonts w:ascii="Calibri" w:hAnsi="Calibri" w:cs="Calibri"/>
                <w:i/>
                <w:iCs/>
              </w:rPr>
              <w:t>principle</w:t>
            </w:r>
            <w:proofErr w:type="gramEnd"/>
          </w:p>
          <w:p w14:paraId="464C40BD" w14:textId="5B8FFB27" w:rsidR="00822A8A" w:rsidRPr="000517A4" w:rsidRDefault="00822A8A" w:rsidP="00822A8A">
            <w:pPr>
              <w:pStyle w:val="TableTextLeft"/>
              <w:rPr>
                <w:rFonts w:ascii="Calibri" w:hAnsi="Calibri" w:cs="Calibri"/>
              </w:rPr>
            </w:pPr>
            <w:r w:rsidRPr="000517A4">
              <w:rPr>
                <w:rFonts w:ascii="Calibri" w:hAnsi="Calibri" w:cs="Calibri"/>
              </w:rPr>
              <w:t>The Victorian Government should provide ongoing funding for further research and development into new technology to manage the bushfire risk from electric lines. Any funding should be contingent on being at least matched by contributions from distribution companies. The ongoing program should be managed jointly with distribution companies and involve input from university researchers. It should be subject to evaluation at least every four years, with the continued provision of public funding to be contingent on satisfactory research performance.</w:t>
            </w:r>
          </w:p>
        </w:tc>
        <w:tc>
          <w:tcPr>
            <w:tcW w:w="1848" w:type="pct"/>
          </w:tcPr>
          <w:p w14:paraId="2CD858D0" w14:textId="77777777" w:rsidR="00822A8A" w:rsidRPr="000517A4" w:rsidRDefault="00822A8A" w:rsidP="00822A8A">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Following this recommendation, PBSP ran an additional research and development program (R&amp;D-II) to deliver new technology projects to manage bushfire risk from electrical assets. R&amp;D-II ran from June 2020 to June 2022 and had $2 million available in funding for new technology and approaches to mitigating powerline ignition risk. Although the recommendation sought for R&amp;D funding to be ongoing, the grants run by PBSP have had a lasting impact on reducing risk and engaging distribution businesses to invest in new technology on their networks. Distribution businesses are continuing to mature in their approach to bushfire risk reduction.</w:t>
            </w:r>
          </w:p>
          <w:p w14:paraId="765C6215" w14:textId="3DA2E282" w:rsidR="00822A8A" w:rsidRPr="000517A4" w:rsidRDefault="00822A8A" w:rsidP="00822A8A">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p>
        </w:tc>
        <w:tc>
          <w:tcPr>
            <w:cnfStyle w:val="000010000000" w:firstRow="0" w:lastRow="0" w:firstColumn="0" w:lastColumn="0" w:oddVBand="1" w:evenVBand="0" w:oddHBand="0" w:evenHBand="0" w:firstRowFirstColumn="0" w:firstRowLastColumn="0" w:lastRowFirstColumn="0" w:lastRowLastColumn="0"/>
            <w:tcW w:w="817" w:type="pct"/>
          </w:tcPr>
          <w:p w14:paraId="512BC527" w14:textId="18C174B2" w:rsidR="00822A8A" w:rsidRPr="000517A4" w:rsidRDefault="00822A8A" w:rsidP="00822A8A">
            <w:pPr>
              <w:pStyle w:val="TableTextLeft"/>
              <w:rPr>
                <w:rFonts w:ascii="Calibri" w:hAnsi="Calibri" w:cs="Calibri"/>
              </w:rPr>
            </w:pPr>
            <w:r w:rsidRPr="000517A4">
              <w:rPr>
                <w:rFonts w:ascii="Calibri" w:hAnsi="Calibri" w:cs="Calibri"/>
                <w:b/>
                <w:bCs/>
              </w:rPr>
              <w:t>Complete</w:t>
            </w:r>
          </w:p>
        </w:tc>
      </w:tr>
    </w:tbl>
    <w:p w14:paraId="0DDA02D2" w14:textId="77777777" w:rsidR="00C20676" w:rsidRDefault="00C20676" w:rsidP="003107C8">
      <w:pPr>
        <w:pStyle w:val="BodyText12ptBefore"/>
        <w:rPr>
          <w:rFonts w:ascii="Calibri" w:eastAsiaTheme="majorEastAsia" w:hAnsi="Calibri" w:cs="Calibri"/>
          <w:b/>
          <w:bCs/>
          <w:color w:val="201547" w:themeColor="text2"/>
          <w:spacing w:val="-2"/>
          <w:sz w:val="24"/>
          <w:szCs w:val="24"/>
        </w:rPr>
      </w:pPr>
    </w:p>
    <w:p w14:paraId="64B8B600" w14:textId="18C6E7C8" w:rsidR="003107C8" w:rsidRPr="00BA2E18" w:rsidRDefault="00957E3C" w:rsidP="00BA2E18">
      <w:pPr>
        <w:pStyle w:val="BodyText12ptBefore"/>
        <w:rPr>
          <w:rFonts w:ascii="Calibri" w:eastAsiaTheme="majorEastAsia" w:hAnsi="Calibri" w:cs="Calibri"/>
          <w:b/>
          <w:bCs/>
          <w:color w:val="201547" w:themeColor="text2"/>
          <w:spacing w:val="-2"/>
          <w:sz w:val="24"/>
          <w:szCs w:val="24"/>
        </w:rPr>
      </w:pPr>
      <w:r w:rsidRPr="000517A4">
        <w:rPr>
          <w:rFonts w:ascii="Calibri" w:eastAsiaTheme="majorEastAsia" w:hAnsi="Calibri" w:cs="Calibri"/>
          <w:b/>
          <w:bCs/>
          <w:color w:val="201547" w:themeColor="text2"/>
          <w:spacing w:val="-2"/>
          <w:sz w:val="24"/>
          <w:szCs w:val="24"/>
        </w:rPr>
        <w:lastRenderedPageBreak/>
        <w:t>Enhancing the safety of underground assets</w:t>
      </w:r>
    </w:p>
    <w:tbl>
      <w:tblPr>
        <w:tblStyle w:val="TableGrid"/>
        <w:tblW w:w="5000" w:type="pct"/>
        <w:tblLook w:val="02A0" w:firstRow="1" w:lastRow="0" w:firstColumn="1" w:lastColumn="0" w:noHBand="1" w:noVBand="0"/>
      </w:tblPr>
      <w:tblGrid>
        <w:gridCol w:w="604"/>
        <w:gridCol w:w="6201"/>
        <w:gridCol w:w="5385"/>
        <w:gridCol w:w="2381"/>
      </w:tblGrid>
      <w:tr w:rsidR="00957E3C" w:rsidRPr="000517A4" w14:paraId="62212845" w14:textId="77777777" w:rsidTr="000A59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 w:type="pct"/>
          </w:tcPr>
          <w:p w14:paraId="76D3B09A" w14:textId="77777777" w:rsidR="00957E3C" w:rsidRPr="000517A4" w:rsidRDefault="00957E3C" w:rsidP="000A59A8">
            <w:pPr>
              <w:pStyle w:val="TableHeadingLeft"/>
              <w:rPr>
                <w:rFonts w:ascii="Calibri" w:hAnsi="Calibri" w:cs="Calibri"/>
              </w:rPr>
            </w:pPr>
            <w:r w:rsidRPr="000517A4">
              <w:rPr>
                <w:rFonts w:ascii="Calibri" w:hAnsi="Calibri" w:cs="Calibri"/>
              </w:rPr>
              <w:t>Ref.</w:t>
            </w:r>
          </w:p>
        </w:tc>
        <w:tc>
          <w:tcPr>
            <w:cnfStyle w:val="000010000000" w:firstRow="0" w:lastRow="0" w:firstColumn="0" w:lastColumn="0" w:oddVBand="1" w:evenVBand="0" w:oddHBand="0" w:evenHBand="0" w:firstRowFirstColumn="0" w:firstRowLastColumn="0" w:lastRowFirstColumn="0" w:lastRowLastColumn="0"/>
            <w:tcW w:w="2128" w:type="pct"/>
          </w:tcPr>
          <w:p w14:paraId="322AFED5" w14:textId="77777777" w:rsidR="00957E3C" w:rsidRPr="000517A4" w:rsidRDefault="00957E3C" w:rsidP="000A59A8">
            <w:pPr>
              <w:pStyle w:val="TableHeadingLeft"/>
              <w:rPr>
                <w:rFonts w:ascii="Calibri" w:hAnsi="Calibri" w:cs="Calibri"/>
              </w:rPr>
            </w:pPr>
            <w:r w:rsidRPr="000517A4">
              <w:rPr>
                <w:rFonts w:ascii="Calibri" w:hAnsi="Calibri" w:cs="Calibri"/>
              </w:rPr>
              <w:t>Recommendation</w:t>
            </w:r>
          </w:p>
        </w:tc>
        <w:tc>
          <w:tcPr>
            <w:tcW w:w="1848" w:type="pct"/>
          </w:tcPr>
          <w:p w14:paraId="367EF7BD" w14:textId="77777777" w:rsidR="00957E3C" w:rsidRPr="000517A4" w:rsidRDefault="00957E3C" w:rsidP="000A59A8">
            <w:pPr>
              <w:pStyle w:val="TableHeadingLeft"/>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Actions completed and in progress</w:t>
            </w:r>
          </w:p>
        </w:tc>
        <w:tc>
          <w:tcPr>
            <w:cnfStyle w:val="000010000000" w:firstRow="0" w:lastRow="0" w:firstColumn="0" w:lastColumn="0" w:oddVBand="1" w:evenVBand="0" w:oddHBand="0" w:evenHBand="0" w:firstRowFirstColumn="0" w:firstRowLastColumn="0" w:lastRowFirstColumn="0" w:lastRowLastColumn="0"/>
            <w:tcW w:w="817" w:type="pct"/>
          </w:tcPr>
          <w:p w14:paraId="3FF2D6A4" w14:textId="77777777" w:rsidR="00957E3C" w:rsidRPr="000517A4" w:rsidRDefault="00957E3C" w:rsidP="000A59A8">
            <w:pPr>
              <w:pStyle w:val="TableHeadingLeft"/>
              <w:rPr>
                <w:rFonts w:ascii="Calibri" w:hAnsi="Calibri" w:cs="Calibri"/>
              </w:rPr>
            </w:pPr>
            <w:r w:rsidRPr="000517A4">
              <w:rPr>
                <w:rFonts w:ascii="Calibri" w:hAnsi="Calibri" w:cs="Calibri"/>
              </w:rPr>
              <w:t>Status</w:t>
            </w:r>
          </w:p>
        </w:tc>
      </w:tr>
      <w:tr w:rsidR="009D17AD" w:rsidRPr="000517A4" w14:paraId="55898F14" w14:textId="77777777" w:rsidTr="000A59A8">
        <w:tc>
          <w:tcPr>
            <w:cnfStyle w:val="001000000000" w:firstRow="0" w:lastRow="0" w:firstColumn="1" w:lastColumn="0" w:oddVBand="0" w:evenVBand="0" w:oddHBand="0" w:evenHBand="0" w:firstRowFirstColumn="0" w:firstRowLastColumn="0" w:lastRowFirstColumn="0" w:lastRowLastColumn="0"/>
            <w:tcW w:w="207" w:type="pct"/>
          </w:tcPr>
          <w:p w14:paraId="2D12BEFA" w14:textId="1D4316BE" w:rsidR="009D17AD" w:rsidRPr="000517A4" w:rsidRDefault="009D17AD" w:rsidP="009D17AD">
            <w:pPr>
              <w:pStyle w:val="TableTextLeft"/>
              <w:rPr>
                <w:rFonts w:ascii="Calibri" w:hAnsi="Calibri" w:cs="Calibri"/>
              </w:rPr>
            </w:pPr>
            <w:r w:rsidRPr="000517A4">
              <w:rPr>
                <w:rFonts w:ascii="Calibri" w:hAnsi="Calibri" w:cs="Calibri"/>
              </w:rPr>
              <w:t>30</w:t>
            </w:r>
          </w:p>
        </w:tc>
        <w:tc>
          <w:tcPr>
            <w:cnfStyle w:val="000010000000" w:firstRow="0" w:lastRow="0" w:firstColumn="0" w:lastColumn="0" w:oddVBand="1" w:evenVBand="0" w:oddHBand="0" w:evenHBand="0" w:firstRowFirstColumn="0" w:firstRowLastColumn="0" w:lastRowFirstColumn="0" w:lastRowLastColumn="0"/>
            <w:tcW w:w="2128" w:type="pct"/>
          </w:tcPr>
          <w:p w14:paraId="023C2E85" w14:textId="77777777" w:rsidR="009D17AD" w:rsidRPr="000517A4" w:rsidRDefault="009D17AD" w:rsidP="009D17AD">
            <w:pPr>
              <w:pStyle w:val="ListBullet"/>
              <w:numPr>
                <w:ilvl w:val="0"/>
                <w:numId w:val="0"/>
              </w:numPr>
              <w:spacing w:before="20"/>
              <w:jc w:val="both"/>
              <w:rPr>
                <w:rFonts w:ascii="Calibri" w:hAnsi="Calibri" w:cs="Calibri"/>
                <w:i/>
                <w:iCs/>
              </w:rPr>
            </w:pPr>
            <w:r w:rsidRPr="000517A4">
              <w:rPr>
                <w:rFonts w:ascii="Calibri" w:hAnsi="Calibri" w:cs="Calibri"/>
                <w:i/>
                <w:iCs/>
              </w:rPr>
              <w:t>Supported-in-</w:t>
            </w:r>
            <w:proofErr w:type="gramStart"/>
            <w:r w:rsidRPr="000517A4">
              <w:rPr>
                <w:rFonts w:ascii="Calibri" w:hAnsi="Calibri" w:cs="Calibri"/>
                <w:i/>
                <w:iCs/>
              </w:rPr>
              <w:t>principle</w:t>
            </w:r>
            <w:proofErr w:type="gramEnd"/>
          </w:p>
          <w:p w14:paraId="6D6A842C" w14:textId="59D14AC1" w:rsidR="009D17AD" w:rsidRPr="000517A4" w:rsidRDefault="009D17AD" w:rsidP="009D17AD">
            <w:pPr>
              <w:pStyle w:val="TableTextLeft"/>
              <w:rPr>
                <w:rFonts w:ascii="Calibri" w:hAnsi="Calibri" w:cs="Calibri"/>
              </w:rPr>
            </w:pPr>
            <w:r w:rsidRPr="000517A4">
              <w:rPr>
                <w:rFonts w:ascii="Calibri" w:hAnsi="Calibri" w:cs="Calibri"/>
              </w:rPr>
              <w:t>The Victorian Government should note the Review’s support for the Major Hazard Facilities Advisory Committee’s recommendations to formalise the membership and operation of the Land Development Around Pipelines Working Group and to task the working group with providing advice to government to improve planning around high pressure gas pipelines.</w:t>
            </w:r>
          </w:p>
        </w:tc>
        <w:tc>
          <w:tcPr>
            <w:tcW w:w="1848" w:type="pct"/>
          </w:tcPr>
          <w:p w14:paraId="6C9C7849" w14:textId="77777777" w:rsidR="009D17AD" w:rsidRPr="000517A4" w:rsidRDefault="009D17AD" w:rsidP="009D17AD">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 xml:space="preserve">DEECA has consulted with the NSW Department of Planning and Environment, ESV, WorkSafe Victoria, Before You Dig Australia, and industry, and has determined that the risk profile is acceptable. </w:t>
            </w:r>
          </w:p>
          <w:p w14:paraId="2A5D788F" w14:textId="4D2DAEEC" w:rsidR="009D17AD" w:rsidRPr="000517A4" w:rsidRDefault="009D17AD" w:rsidP="009D17AD">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p>
        </w:tc>
        <w:tc>
          <w:tcPr>
            <w:cnfStyle w:val="000010000000" w:firstRow="0" w:lastRow="0" w:firstColumn="0" w:lastColumn="0" w:oddVBand="1" w:evenVBand="0" w:oddHBand="0" w:evenHBand="0" w:firstRowFirstColumn="0" w:firstRowLastColumn="0" w:lastRowFirstColumn="0" w:lastRowLastColumn="0"/>
            <w:tcW w:w="817" w:type="pct"/>
          </w:tcPr>
          <w:p w14:paraId="5EE6C111" w14:textId="528E42BB" w:rsidR="009D17AD" w:rsidRPr="000517A4" w:rsidRDefault="009D17AD" w:rsidP="009D17AD">
            <w:pPr>
              <w:pStyle w:val="TableTextLeft"/>
              <w:rPr>
                <w:rFonts w:ascii="Calibri" w:hAnsi="Calibri" w:cs="Calibri"/>
              </w:rPr>
            </w:pPr>
            <w:r w:rsidRPr="000517A4">
              <w:rPr>
                <w:rFonts w:ascii="Calibri" w:hAnsi="Calibri" w:cs="Calibri"/>
                <w:b/>
                <w:bCs/>
              </w:rPr>
              <w:t>Complete</w:t>
            </w:r>
          </w:p>
        </w:tc>
      </w:tr>
      <w:tr w:rsidR="009D17AD" w:rsidRPr="000517A4" w14:paraId="2881E95B" w14:textId="77777777" w:rsidTr="000A59A8">
        <w:tc>
          <w:tcPr>
            <w:cnfStyle w:val="001000000000" w:firstRow="0" w:lastRow="0" w:firstColumn="1" w:lastColumn="0" w:oddVBand="0" w:evenVBand="0" w:oddHBand="0" w:evenHBand="0" w:firstRowFirstColumn="0" w:firstRowLastColumn="0" w:lastRowFirstColumn="0" w:lastRowLastColumn="0"/>
            <w:tcW w:w="207" w:type="pct"/>
          </w:tcPr>
          <w:p w14:paraId="1942CD4E" w14:textId="221EA05E" w:rsidR="009D17AD" w:rsidRPr="000517A4" w:rsidRDefault="009D17AD" w:rsidP="009D17AD">
            <w:pPr>
              <w:pStyle w:val="TableTextLeft"/>
              <w:rPr>
                <w:rFonts w:ascii="Calibri" w:hAnsi="Calibri" w:cs="Calibri"/>
              </w:rPr>
            </w:pPr>
            <w:r w:rsidRPr="000517A4">
              <w:rPr>
                <w:rFonts w:ascii="Calibri" w:hAnsi="Calibri" w:cs="Calibri"/>
              </w:rPr>
              <w:t>31</w:t>
            </w:r>
          </w:p>
        </w:tc>
        <w:tc>
          <w:tcPr>
            <w:cnfStyle w:val="000010000000" w:firstRow="0" w:lastRow="0" w:firstColumn="0" w:lastColumn="0" w:oddVBand="1" w:evenVBand="0" w:oddHBand="0" w:evenHBand="0" w:firstRowFirstColumn="0" w:firstRowLastColumn="0" w:lastRowFirstColumn="0" w:lastRowLastColumn="0"/>
            <w:tcW w:w="2128" w:type="pct"/>
          </w:tcPr>
          <w:p w14:paraId="38B8590F" w14:textId="77777777" w:rsidR="009D17AD" w:rsidRPr="000517A4" w:rsidRDefault="009D17AD" w:rsidP="009D17AD">
            <w:pPr>
              <w:pStyle w:val="ListBullet"/>
              <w:numPr>
                <w:ilvl w:val="0"/>
                <w:numId w:val="0"/>
              </w:numPr>
              <w:spacing w:before="20"/>
              <w:jc w:val="both"/>
              <w:rPr>
                <w:rFonts w:ascii="Calibri" w:hAnsi="Calibri" w:cs="Calibri"/>
                <w:i/>
                <w:iCs/>
              </w:rPr>
            </w:pPr>
            <w:r w:rsidRPr="000517A4">
              <w:rPr>
                <w:rFonts w:ascii="Calibri" w:hAnsi="Calibri" w:cs="Calibri"/>
                <w:i/>
                <w:iCs/>
              </w:rPr>
              <w:t>Supported-in-</w:t>
            </w:r>
            <w:proofErr w:type="gramStart"/>
            <w:r w:rsidRPr="000517A4">
              <w:rPr>
                <w:rFonts w:ascii="Calibri" w:hAnsi="Calibri" w:cs="Calibri"/>
                <w:i/>
                <w:iCs/>
              </w:rPr>
              <w:t>principle</w:t>
            </w:r>
            <w:proofErr w:type="gramEnd"/>
          </w:p>
          <w:p w14:paraId="2F825B53" w14:textId="133D6261" w:rsidR="009D17AD" w:rsidRPr="000517A4" w:rsidRDefault="009D17AD" w:rsidP="009D17AD">
            <w:pPr>
              <w:pStyle w:val="TableTextLeft"/>
              <w:rPr>
                <w:rFonts w:ascii="Calibri" w:hAnsi="Calibri" w:cs="Calibri"/>
              </w:rPr>
            </w:pPr>
            <w:r w:rsidRPr="000517A4">
              <w:rPr>
                <w:rFonts w:ascii="Calibri" w:hAnsi="Calibri" w:cs="Calibri"/>
              </w:rPr>
              <w:t>Subject to the completion of a positive regulation impact assessment, Dial Before You Dig should be made mandatory in Victoria following the approach that has been adopted in New South Wales.</w:t>
            </w:r>
          </w:p>
        </w:tc>
        <w:tc>
          <w:tcPr>
            <w:tcW w:w="1848" w:type="pct"/>
          </w:tcPr>
          <w:p w14:paraId="22E943A6" w14:textId="7FAAEDDA" w:rsidR="009D17AD" w:rsidRPr="00C20676" w:rsidRDefault="009D17AD" w:rsidP="00C20676">
            <w:pPr>
              <w:spacing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 xml:space="preserve">DEECA has consulted with the NSW Department of Planning and Environment, ESV, WorkSafe Victoria and Before You Dig Australia, and determined that the Occupational Health and Safety regulatory framework already mandates identification of underground services prior to excavation or ground penetration work. Asset plans from the Before You Dig service and other sources (such as asset owners) form part of an obligation to complete a safe work method statement, ensuring employees are supplied with a workplace that is as safe as reasonably practicable.  </w:t>
            </w:r>
          </w:p>
        </w:tc>
        <w:tc>
          <w:tcPr>
            <w:cnfStyle w:val="000010000000" w:firstRow="0" w:lastRow="0" w:firstColumn="0" w:lastColumn="0" w:oddVBand="1" w:evenVBand="0" w:oddHBand="0" w:evenHBand="0" w:firstRowFirstColumn="0" w:firstRowLastColumn="0" w:lastRowFirstColumn="0" w:lastRowLastColumn="0"/>
            <w:tcW w:w="817" w:type="pct"/>
          </w:tcPr>
          <w:p w14:paraId="69D4EC80" w14:textId="4D355B71" w:rsidR="009D17AD" w:rsidRPr="000517A4" w:rsidRDefault="009D17AD" w:rsidP="009D17AD">
            <w:pPr>
              <w:pStyle w:val="TableTextLeft"/>
              <w:rPr>
                <w:rFonts w:ascii="Calibri" w:hAnsi="Calibri" w:cs="Calibri"/>
              </w:rPr>
            </w:pPr>
            <w:r w:rsidRPr="000517A4">
              <w:rPr>
                <w:rFonts w:ascii="Calibri" w:hAnsi="Calibri" w:cs="Calibri"/>
                <w:b/>
              </w:rPr>
              <w:t xml:space="preserve">Complete </w:t>
            </w:r>
            <w:r w:rsidRPr="000517A4">
              <w:rPr>
                <w:rFonts w:ascii="Calibri" w:hAnsi="Calibri" w:cs="Calibri"/>
              </w:rPr>
              <w:t xml:space="preserve"> </w:t>
            </w:r>
          </w:p>
        </w:tc>
      </w:tr>
    </w:tbl>
    <w:p w14:paraId="3497EC7D" w14:textId="749467BD" w:rsidR="00C20676" w:rsidRDefault="00C20676" w:rsidP="00C20676">
      <w:pPr>
        <w:pStyle w:val="BodyText"/>
        <w:rPr>
          <w:rFonts w:eastAsiaTheme="majorEastAsia"/>
        </w:rPr>
      </w:pPr>
    </w:p>
    <w:p w14:paraId="7C5CA0DD" w14:textId="08942B03" w:rsidR="00BA2E18" w:rsidRDefault="00BA2E18" w:rsidP="00C20676">
      <w:pPr>
        <w:pStyle w:val="BodyText"/>
        <w:rPr>
          <w:rFonts w:eastAsiaTheme="majorEastAsia"/>
        </w:rPr>
      </w:pPr>
    </w:p>
    <w:p w14:paraId="3742B4C8" w14:textId="77777777" w:rsidR="00BA2E18" w:rsidRDefault="00BA2E18" w:rsidP="00C20676">
      <w:pPr>
        <w:pStyle w:val="BodyText"/>
        <w:rPr>
          <w:rFonts w:eastAsiaTheme="majorEastAsia"/>
        </w:rPr>
      </w:pPr>
    </w:p>
    <w:p w14:paraId="33714231" w14:textId="21B69590" w:rsidR="003107C8" w:rsidRPr="00BA2E18" w:rsidRDefault="0016782F" w:rsidP="00BA2E18">
      <w:pPr>
        <w:pStyle w:val="BodyText12ptBefore"/>
        <w:rPr>
          <w:rFonts w:ascii="Calibri" w:eastAsiaTheme="majorEastAsia" w:hAnsi="Calibri" w:cs="Calibri"/>
          <w:b/>
          <w:bCs/>
          <w:color w:val="201547" w:themeColor="text2"/>
          <w:spacing w:val="-2"/>
          <w:sz w:val="24"/>
          <w:szCs w:val="24"/>
        </w:rPr>
      </w:pPr>
      <w:r w:rsidRPr="000517A4">
        <w:rPr>
          <w:rFonts w:ascii="Calibri" w:eastAsiaTheme="majorEastAsia" w:hAnsi="Calibri" w:cs="Calibri"/>
          <w:b/>
          <w:bCs/>
          <w:color w:val="201547" w:themeColor="text2"/>
          <w:spacing w:val="-2"/>
          <w:sz w:val="24"/>
          <w:szCs w:val="24"/>
        </w:rPr>
        <w:t xml:space="preserve">Ensuring the regulatory safety framework manages new sources of safety risk as our energy system </w:t>
      </w:r>
      <w:proofErr w:type="gramStart"/>
      <w:r w:rsidR="00901B00" w:rsidRPr="000517A4">
        <w:rPr>
          <w:rFonts w:ascii="Calibri" w:eastAsiaTheme="majorEastAsia" w:hAnsi="Calibri" w:cs="Calibri"/>
          <w:b/>
          <w:bCs/>
          <w:color w:val="201547" w:themeColor="text2"/>
          <w:spacing w:val="-2"/>
          <w:sz w:val="24"/>
          <w:szCs w:val="24"/>
        </w:rPr>
        <w:t>transitions</w:t>
      </w:r>
      <w:proofErr w:type="gramEnd"/>
    </w:p>
    <w:tbl>
      <w:tblPr>
        <w:tblStyle w:val="TableGrid"/>
        <w:tblW w:w="5000" w:type="pct"/>
        <w:tblLook w:val="02A0" w:firstRow="1" w:lastRow="0" w:firstColumn="1" w:lastColumn="0" w:noHBand="1" w:noVBand="0"/>
      </w:tblPr>
      <w:tblGrid>
        <w:gridCol w:w="604"/>
        <w:gridCol w:w="6201"/>
        <w:gridCol w:w="5385"/>
        <w:gridCol w:w="2381"/>
      </w:tblGrid>
      <w:tr w:rsidR="0016782F" w:rsidRPr="000517A4" w14:paraId="14430621" w14:textId="77777777" w:rsidTr="000A59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 w:type="pct"/>
          </w:tcPr>
          <w:p w14:paraId="485E10DB" w14:textId="77777777" w:rsidR="0016782F" w:rsidRPr="000517A4" w:rsidRDefault="0016782F" w:rsidP="000A59A8">
            <w:pPr>
              <w:pStyle w:val="TableHeadingLeft"/>
              <w:rPr>
                <w:rFonts w:ascii="Calibri" w:hAnsi="Calibri" w:cs="Calibri"/>
              </w:rPr>
            </w:pPr>
            <w:r w:rsidRPr="000517A4">
              <w:rPr>
                <w:rFonts w:ascii="Calibri" w:hAnsi="Calibri" w:cs="Calibri"/>
              </w:rPr>
              <w:t>Ref.</w:t>
            </w:r>
          </w:p>
        </w:tc>
        <w:tc>
          <w:tcPr>
            <w:cnfStyle w:val="000010000000" w:firstRow="0" w:lastRow="0" w:firstColumn="0" w:lastColumn="0" w:oddVBand="1" w:evenVBand="0" w:oddHBand="0" w:evenHBand="0" w:firstRowFirstColumn="0" w:firstRowLastColumn="0" w:lastRowFirstColumn="0" w:lastRowLastColumn="0"/>
            <w:tcW w:w="2128" w:type="pct"/>
          </w:tcPr>
          <w:p w14:paraId="5BB97015" w14:textId="77777777" w:rsidR="0016782F" w:rsidRPr="000517A4" w:rsidRDefault="0016782F" w:rsidP="000A59A8">
            <w:pPr>
              <w:pStyle w:val="TableHeadingLeft"/>
              <w:rPr>
                <w:rFonts w:ascii="Calibri" w:hAnsi="Calibri" w:cs="Calibri"/>
              </w:rPr>
            </w:pPr>
            <w:r w:rsidRPr="000517A4">
              <w:rPr>
                <w:rFonts w:ascii="Calibri" w:hAnsi="Calibri" w:cs="Calibri"/>
              </w:rPr>
              <w:t>Recommendation</w:t>
            </w:r>
          </w:p>
        </w:tc>
        <w:tc>
          <w:tcPr>
            <w:tcW w:w="1848" w:type="pct"/>
          </w:tcPr>
          <w:p w14:paraId="740DBD40" w14:textId="77777777" w:rsidR="0016782F" w:rsidRPr="000517A4" w:rsidRDefault="0016782F" w:rsidP="000A59A8">
            <w:pPr>
              <w:pStyle w:val="TableHeadingLeft"/>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Actions completed and in progress</w:t>
            </w:r>
          </w:p>
        </w:tc>
        <w:tc>
          <w:tcPr>
            <w:cnfStyle w:val="000010000000" w:firstRow="0" w:lastRow="0" w:firstColumn="0" w:lastColumn="0" w:oddVBand="1" w:evenVBand="0" w:oddHBand="0" w:evenHBand="0" w:firstRowFirstColumn="0" w:firstRowLastColumn="0" w:lastRowFirstColumn="0" w:lastRowLastColumn="0"/>
            <w:tcW w:w="817" w:type="pct"/>
          </w:tcPr>
          <w:p w14:paraId="4E224878" w14:textId="77777777" w:rsidR="0016782F" w:rsidRPr="000517A4" w:rsidRDefault="0016782F" w:rsidP="000A59A8">
            <w:pPr>
              <w:pStyle w:val="TableHeadingLeft"/>
              <w:rPr>
                <w:rFonts w:ascii="Calibri" w:hAnsi="Calibri" w:cs="Calibri"/>
              </w:rPr>
            </w:pPr>
            <w:r w:rsidRPr="000517A4">
              <w:rPr>
                <w:rFonts w:ascii="Calibri" w:hAnsi="Calibri" w:cs="Calibri"/>
              </w:rPr>
              <w:t>Status</w:t>
            </w:r>
          </w:p>
        </w:tc>
      </w:tr>
      <w:tr w:rsidR="002434B7" w:rsidRPr="000517A4" w14:paraId="31445355" w14:textId="77777777" w:rsidTr="005048DB">
        <w:trPr>
          <w:trHeight w:val="1933"/>
        </w:trPr>
        <w:tc>
          <w:tcPr>
            <w:cnfStyle w:val="001000000000" w:firstRow="0" w:lastRow="0" w:firstColumn="1" w:lastColumn="0" w:oddVBand="0" w:evenVBand="0" w:oddHBand="0" w:evenHBand="0" w:firstRowFirstColumn="0" w:firstRowLastColumn="0" w:lastRowFirstColumn="0" w:lastRowLastColumn="0"/>
            <w:tcW w:w="207" w:type="pct"/>
          </w:tcPr>
          <w:p w14:paraId="6A4ECDFE" w14:textId="51B480C4" w:rsidR="002434B7" w:rsidRPr="000517A4" w:rsidRDefault="002434B7" w:rsidP="002434B7">
            <w:pPr>
              <w:pStyle w:val="TableTextLeft"/>
              <w:rPr>
                <w:rFonts w:ascii="Calibri" w:hAnsi="Calibri" w:cs="Calibri"/>
              </w:rPr>
            </w:pPr>
            <w:r w:rsidRPr="000517A4">
              <w:rPr>
                <w:rFonts w:ascii="Calibri" w:hAnsi="Calibri" w:cs="Calibri"/>
              </w:rPr>
              <w:t>32</w:t>
            </w:r>
          </w:p>
        </w:tc>
        <w:tc>
          <w:tcPr>
            <w:cnfStyle w:val="000010000000" w:firstRow="0" w:lastRow="0" w:firstColumn="0" w:lastColumn="0" w:oddVBand="1" w:evenVBand="0" w:oddHBand="0" w:evenHBand="0" w:firstRowFirstColumn="0" w:firstRowLastColumn="0" w:lastRowFirstColumn="0" w:lastRowLastColumn="0"/>
            <w:tcW w:w="2128" w:type="pct"/>
          </w:tcPr>
          <w:p w14:paraId="14BCAFD4" w14:textId="77777777" w:rsidR="002434B7" w:rsidRPr="000517A4" w:rsidRDefault="002434B7" w:rsidP="002434B7">
            <w:pPr>
              <w:pStyle w:val="ListBullet"/>
              <w:numPr>
                <w:ilvl w:val="0"/>
                <w:numId w:val="0"/>
              </w:numPr>
              <w:spacing w:before="20"/>
              <w:jc w:val="both"/>
              <w:rPr>
                <w:rFonts w:ascii="Calibri" w:hAnsi="Calibri" w:cs="Calibri"/>
                <w:i/>
                <w:iCs/>
              </w:rPr>
            </w:pPr>
            <w:r w:rsidRPr="000517A4">
              <w:rPr>
                <w:rFonts w:ascii="Calibri" w:hAnsi="Calibri" w:cs="Calibri"/>
                <w:i/>
                <w:iCs/>
              </w:rPr>
              <w:t>Supported</w:t>
            </w:r>
          </w:p>
          <w:p w14:paraId="268C3E4A" w14:textId="25B21C94" w:rsidR="002434B7" w:rsidRPr="000517A4" w:rsidRDefault="002434B7" w:rsidP="002434B7">
            <w:pPr>
              <w:pStyle w:val="TableTextLeft"/>
              <w:rPr>
                <w:rFonts w:ascii="Calibri" w:hAnsi="Calibri" w:cs="Calibri"/>
              </w:rPr>
            </w:pPr>
            <w:r w:rsidRPr="000517A4">
              <w:rPr>
                <w:rFonts w:ascii="Calibri" w:hAnsi="Calibri" w:cs="Calibri"/>
              </w:rPr>
              <w:t xml:space="preserve">ESV should establish an expert advisory committee under Section 8 of the </w:t>
            </w:r>
            <w:r w:rsidRPr="000517A4">
              <w:rPr>
                <w:rFonts w:ascii="Calibri" w:hAnsi="Calibri" w:cs="Calibri"/>
                <w:i/>
              </w:rPr>
              <w:t>Energy Safe Victoria Act 2005</w:t>
            </w:r>
            <w:r w:rsidRPr="000517A4">
              <w:rPr>
                <w:rFonts w:ascii="Calibri" w:hAnsi="Calibri" w:cs="Calibri"/>
              </w:rPr>
              <w:t xml:space="preserve"> to advise on emerging trends in electricity and gas networks and possible changes to regulatory settings that might be considered necessary to manage new sources of safety risk.</w:t>
            </w:r>
          </w:p>
        </w:tc>
        <w:tc>
          <w:tcPr>
            <w:tcW w:w="1848" w:type="pct"/>
          </w:tcPr>
          <w:p w14:paraId="3CFF14F6" w14:textId="77777777" w:rsidR="002434B7" w:rsidRPr="000517A4" w:rsidRDefault="002434B7" w:rsidP="002434B7">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 xml:space="preserve">The Future Trends Advisory Committee has been established to identify and assess trends </w:t>
            </w:r>
            <w:proofErr w:type="gramStart"/>
            <w:r w:rsidRPr="000517A4">
              <w:rPr>
                <w:rFonts w:ascii="Calibri" w:hAnsi="Calibri" w:cs="Calibri"/>
              </w:rPr>
              <w:t>in:</w:t>
            </w:r>
            <w:proofErr w:type="gramEnd"/>
            <w:r w:rsidRPr="000517A4">
              <w:rPr>
                <w:rFonts w:ascii="Calibri" w:hAnsi="Calibri" w:cs="Calibri"/>
              </w:rPr>
              <w:t xml:space="preserve"> new and disruptive electricity and gas technologies; products; and, other broader trends. </w:t>
            </w:r>
          </w:p>
          <w:p w14:paraId="104669EB" w14:textId="70FCE775" w:rsidR="002434B7" w:rsidRPr="005048DB" w:rsidRDefault="00000000" w:rsidP="005048DB">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color w:val="0070C0"/>
                <w:u w:val="single"/>
              </w:rPr>
            </w:pPr>
            <w:hyperlink r:id="rId31" w:history="1">
              <w:r w:rsidR="002434B7" w:rsidRPr="000517A4">
                <w:rPr>
                  <w:rStyle w:val="Hyperlink"/>
                  <w:rFonts w:ascii="Calibri" w:eastAsiaTheme="majorEastAsia" w:hAnsi="Calibri" w:cs="Calibri"/>
                  <w:color w:val="0070C0"/>
                </w:rPr>
                <w:t>https://www.esv.vic.gov.au/about-us/our-organisation/people-and-values/governance-and-commission</w:t>
              </w:r>
            </w:hyperlink>
            <w:r w:rsidR="002434B7" w:rsidRPr="000517A4">
              <w:rPr>
                <w:rStyle w:val="Hyperlink"/>
                <w:rFonts w:ascii="Calibri" w:eastAsiaTheme="majorEastAsia" w:hAnsi="Calibri" w:cs="Calibri"/>
                <w:color w:val="0070C0"/>
              </w:rPr>
              <w:t xml:space="preserve"> </w:t>
            </w:r>
          </w:p>
        </w:tc>
        <w:tc>
          <w:tcPr>
            <w:cnfStyle w:val="000010000000" w:firstRow="0" w:lastRow="0" w:firstColumn="0" w:lastColumn="0" w:oddVBand="1" w:evenVBand="0" w:oddHBand="0" w:evenHBand="0" w:firstRowFirstColumn="0" w:firstRowLastColumn="0" w:lastRowFirstColumn="0" w:lastRowLastColumn="0"/>
            <w:tcW w:w="817" w:type="pct"/>
          </w:tcPr>
          <w:p w14:paraId="785A0A26" w14:textId="7C73534A" w:rsidR="002434B7" w:rsidRPr="000517A4" w:rsidRDefault="002434B7" w:rsidP="002434B7">
            <w:pPr>
              <w:pStyle w:val="TableTextLeft"/>
              <w:rPr>
                <w:rFonts w:ascii="Calibri" w:hAnsi="Calibri" w:cs="Calibri"/>
              </w:rPr>
            </w:pPr>
            <w:r w:rsidRPr="000517A4">
              <w:rPr>
                <w:rFonts w:ascii="Calibri" w:hAnsi="Calibri" w:cs="Calibri"/>
                <w:b/>
                <w:bCs/>
              </w:rPr>
              <w:t>Complete</w:t>
            </w:r>
            <w:r w:rsidRPr="000517A4">
              <w:rPr>
                <w:rFonts w:ascii="Calibri" w:hAnsi="Calibri" w:cs="Calibri"/>
              </w:rPr>
              <w:t xml:space="preserve"> </w:t>
            </w:r>
          </w:p>
        </w:tc>
      </w:tr>
      <w:tr w:rsidR="002434B7" w:rsidRPr="000517A4" w14:paraId="20141B93" w14:textId="77777777" w:rsidTr="000A59A8">
        <w:tc>
          <w:tcPr>
            <w:cnfStyle w:val="001000000000" w:firstRow="0" w:lastRow="0" w:firstColumn="1" w:lastColumn="0" w:oddVBand="0" w:evenVBand="0" w:oddHBand="0" w:evenHBand="0" w:firstRowFirstColumn="0" w:firstRowLastColumn="0" w:lastRowFirstColumn="0" w:lastRowLastColumn="0"/>
            <w:tcW w:w="207" w:type="pct"/>
          </w:tcPr>
          <w:p w14:paraId="253DC3B7" w14:textId="6F4F32B2" w:rsidR="002434B7" w:rsidRPr="000517A4" w:rsidRDefault="002434B7" w:rsidP="002434B7">
            <w:pPr>
              <w:pStyle w:val="TableTextLeft"/>
              <w:rPr>
                <w:rFonts w:ascii="Calibri" w:hAnsi="Calibri" w:cs="Calibri"/>
              </w:rPr>
            </w:pPr>
            <w:r w:rsidRPr="000517A4">
              <w:rPr>
                <w:rFonts w:ascii="Calibri" w:hAnsi="Calibri" w:cs="Calibri"/>
              </w:rPr>
              <w:lastRenderedPageBreak/>
              <w:t>33</w:t>
            </w:r>
          </w:p>
        </w:tc>
        <w:tc>
          <w:tcPr>
            <w:cnfStyle w:val="000010000000" w:firstRow="0" w:lastRow="0" w:firstColumn="0" w:lastColumn="0" w:oddVBand="1" w:evenVBand="0" w:oddHBand="0" w:evenHBand="0" w:firstRowFirstColumn="0" w:firstRowLastColumn="0" w:lastRowFirstColumn="0" w:lastRowLastColumn="0"/>
            <w:tcW w:w="2128" w:type="pct"/>
          </w:tcPr>
          <w:p w14:paraId="4C58B765" w14:textId="77777777" w:rsidR="002434B7" w:rsidRPr="000517A4" w:rsidRDefault="002434B7" w:rsidP="002434B7">
            <w:pPr>
              <w:pStyle w:val="ListBullet"/>
              <w:numPr>
                <w:ilvl w:val="0"/>
                <w:numId w:val="0"/>
              </w:numPr>
              <w:spacing w:before="20"/>
              <w:jc w:val="both"/>
              <w:rPr>
                <w:rFonts w:ascii="Calibri" w:hAnsi="Calibri" w:cs="Calibri"/>
                <w:i/>
                <w:iCs/>
              </w:rPr>
            </w:pPr>
            <w:r w:rsidRPr="000517A4">
              <w:rPr>
                <w:rFonts w:ascii="Calibri" w:hAnsi="Calibri" w:cs="Calibri"/>
                <w:i/>
                <w:iCs/>
              </w:rPr>
              <w:t>Supported</w:t>
            </w:r>
          </w:p>
          <w:p w14:paraId="42A87199" w14:textId="02808AB7" w:rsidR="002434B7" w:rsidRPr="000517A4" w:rsidRDefault="002434B7" w:rsidP="002434B7">
            <w:pPr>
              <w:pStyle w:val="TableTextLeft"/>
              <w:rPr>
                <w:rFonts w:ascii="Calibri" w:hAnsi="Calibri" w:cs="Calibri"/>
              </w:rPr>
            </w:pPr>
            <w:r w:rsidRPr="000517A4">
              <w:rPr>
                <w:rFonts w:ascii="Calibri" w:hAnsi="Calibri" w:cs="Calibri"/>
              </w:rPr>
              <w:t>ESV should develop a roadmap of emerging issues and proposed actions to ensure the safety risks arising from new technologies and network structures are identified early and managed effectively. Progress against the roadmap should be reported annually in ESV’s Annual Report and network safety performance reports.</w:t>
            </w:r>
          </w:p>
        </w:tc>
        <w:tc>
          <w:tcPr>
            <w:tcW w:w="1848" w:type="pct"/>
          </w:tcPr>
          <w:p w14:paraId="18564CF9" w14:textId="77777777" w:rsidR="002434B7" w:rsidRPr="000517A4" w:rsidRDefault="002434B7" w:rsidP="002434B7">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 xml:space="preserve">ESV engaged an international consultant to develop a roadmap of potential and emerging safety issues and proposed actions in consultation with Australian and international experts. </w:t>
            </w:r>
          </w:p>
          <w:p w14:paraId="41D3B2AB" w14:textId="77777777" w:rsidR="002434B7" w:rsidRPr="000517A4" w:rsidRDefault="002434B7" w:rsidP="002434B7">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 xml:space="preserve">ESV published the Future Energy Strategy in 2020 </w:t>
            </w:r>
            <w:hyperlink r:id="rId32" w:history="1">
              <w:r w:rsidRPr="000517A4">
                <w:rPr>
                  <w:rStyle w:val="Hyperlink"/>
                  <w:rFonts w:ascii="Calibri" w:eastAsiaTheme="majorEastAsia" w:hAnsi="Calibri" w:cs="Calibri"/>
                  <w:color w:val="0070C0"/>
                </w:rPr>
                <w:t>https://www.esv.vic.gov.au/sites/default/files/2022-12/ESV_Future_Energy_Strategic_Plan_2020.pdf</w:t>
              </w:r>
            </w:hyperlink>
          </w:p>
          <w:p w14:paraId="44548770" w14:textId="4235A7D1" w:rsidR="002434B7" w:rsidRPr="005048DB" w:rsidRDefault="002434B7" w:rsidP="005048DB">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 xml:space="preserve">ESV has reported on the roadmap’s progress in 2022 </w:t>
            </w:r>
            <w:hyperlink r:id="rId33" w:history="1">
              <w:r w:rsidRPr="000517A4">
                <w:rPr>
                  <w:rStyle w:val="Hyperlink"/>
                  <w:rFonts w:ascii="Calibri" w:eastAsiaTheme="majorEastAsia" w:hAnsi="Calibri" w:cs="Calibri"/>
                  <w:color w:val="0070C0"/>
                </w:rPr>
                <w:t>https://www.esv.vic.gov.au/sites/default/files/2022-12/Adaptive-Strategic-Roadmap-2022.pdf</w:t>
              </w:r>
            </w:hyperlink>
            <w:r w:rsidRPr="000517A4">
              <w:rPr>
                <w:rFonts w:ascii="Calibri" w:hAnsi="Calibri" w:cs="Calibri"/>
                <w:color w:val="0070C0"/>
              </w:rPr>
              <w:t xml:space="preserve"> </w:t>
            </w:r>
          </w:p>
        </w:tc>
        <w:tc>
          <w:tcPr>
            <w:cnfStyle w:val="000010000000" w:firstRow="0" w:lastRow="0" w:firstColumn="0" w:lastColumn="0" w:oddVBand="1" w:evenVBand="0" w:oddHBand="0" w:evenHBand="0" w:firstRowFirstColumn="0" w:firstRowLastColumn="0" w:lastRowFirstColumn="0" w:lastRowLastColumn="0"/>
            <w:tcW w:w="817" w:type="pct"/>
          </w:tcPr>
          <w:p w14:paraId="7136628A" w14:textId="77777777" w:rsidR="002434B7" w:rsidRPr="000517A4" w:rsidRDefault="002434B7" w:rsidP="002434B7">
            <w:pPr>
              <w:pStyle w:val="ListBullet"/>
              <w:numPr>
                <w:ilvl w:val="0"/>
                <w:numId w:val="0"/>
              </w:numPr>
              <w:spacing w:before="20"/>
              <w:rPr>
                <w:rFonts w:ascii="Calibri" w:hAnsi="Calibri" w:cs="Calibri"/>
              </w:rPr>
            </w:pPr>
            <w:bookmarkStart w:id="54" w:name="_Hlk62733483"/>
            <w:r w:rsidRPr="000517A4">
              <w:rPr>
                <w:rFonts w:ascii="Calibri" w:hAnsi="Calibri" w:cs="Calibri"/>
                <w:b/>
                <w:bCs/>
              </w:rPr>
              <w:t>Complete</w:t>
            </w:r>
            <w:r w:rsidRPr="000517A4">
              <w:rPr>
                <w:rFonts w:ascii="Calibri" w:hAnsi="Calibri" w:cs="Calibri"/>
              </w:rPr>
              <w:t xml:space="preserve"> </w:t>
            </w:r>
          </w:p>
          <w:bookmarkEnd w:id="54"/>
          <w:p w14:paraId="79DCA0DC" w14:textId="7DE9E82B" w:rsidR="002434B7" w:rsidRPr="000517A4" w:rsidRDefault="002434B7" w:rsidP="002434B7">
            <w:pPr>
              <w:pStyle w:val="TableTextLeft"/>
              <w:rPr>
                <w:rFonts w:ascii="Calibri" w:hAnsi="Calibri" w:cs="Calibri"/>
              </w:rPr>
            </w:pPr>
          </w:p>
        </w:tc>
      </w:tr>
      <w:tr w:rsidR="002434B7" w:rsidRPr="000517A4" w14:paraId="2D959EA8" w14:textId="77777777" w:rsidTr="000A59A8">
        <w:tc>
          <w:tcPr>
            <w:cnfStyle w:val="001000000000" w:firstRow="0" w:lastRow="0" w:firstColumn="1" w:lastColumn="0" w:oddVBand="0" w:evenVBand="0" w:oddHBand="0" w:evenHBand="0" w:firstRowFirstColumn="0" w:firstRowLastColumn="0" w:lastRowFirstColumn="0" w:lastRowLastColumn="0"/>
            <w:tcW w:w="207" w:type="pct"/>
          </w:tcPr>
          <w:p w14:paraId="49C525D3" w14:textId="4E6F4A22" w:rsidR="002434B7" w:rsidRPr="000517A4" w:rsidRDefault="002434B7" w:rsidP="002434B7">
            <w:pPr>
              <w:pStyle w:val="TableTextLeft"/>
              <w:rPr>
                <w:rFonts w:ascii="Calibri" w:hAnsi="Calibri" w:cs="Calibri"/>
              </w:rPr>
            </w:pPr>
            <w:r w:rsidRPr="000517A4">
              <w:rPr>
                <w:rFonts w:ascii="Calibri" w:hAnsi="Calibri" w:cs="Calibri"/>
              </w:rPr>
              <w:t>34</w:t>
            </w:r>
          </w:p>
        </w:tc>
        <w:tc>
          <w:tcPr>
            <w:cnfStyle w:val="000010000000" w:firstRow="0" w:lastRow="0" w:firstColumn="0" w:lastColumn="0" w:oddVBand="1" w:evenVBand="0" w:oddHBand="0" w:evenHBand="0" w:firstRowFirstColumn="0" w:firstRowLastColumn="0" w:lastRowFirstColumn="0" w:lastRowLastColumn="0"/>
            <w:tcW w:w="2128" w:type="pct"/>
          </w:tcPr>
          <w:p w14:paraId="1E7BD9E3" w14:textId="77777777" w:rsidR="002434B7" w:rsidRPr="000517A4" w:rsidRDefault="002434B7" w:rsidP="002434B7">
            <w:pPr>
              <w:pStyle w:val="ListBullet"/>
              <w:numPr>
                <w:ilvl w:val="0"/>
                <w:numId w:val="0"/>
              </w:numPr>
              <w:spacing w:before="20"/>
              <w:jc w:val="both"/>
              <w:rPr>
                <w:rFonts w:ascii="Calibri" w:hAnsi="Calibri" w:cs="Calibri"/>
                <w:i/>
                <w:iCs/>
              </w:rPr>
            </w:pPr>
            <w:r w:rsidRPr="000517A4">
              <w:rPr>
                <w:rFonts w:ascii="Calibri" w:hAnsi="Calibri" w:cs="Calibri"/>
                <w:i/>
                <w:iCs/>
              </w:rPr>
              <w:t>Supported-in-</w:t>
            </w:r>
            <w:proofErr w:type="gramStart"/>
            <w:r w:rsidRPr="000517A4">
              <w:rPr>
                <w:rFonts w:ascii="Calibri" w:hAnsi="Calibri" w:cs="Calibri"/>
                <w:i/>
                <w:iCs/>
              </w:rPr>
              <w:t>principle</w:t>
            </w:r>
            <w:proofErr w:type="gramEnd"/>
          </w:p>
          <w:p w14:paraId="2B48D915" w14:textId="1062A3A6" w:rsidR="002434B7" w:rsidRPr="000517A4" w:rsidRDefault="002434B7" w:rsidP="002434B7">
            <w:pPr>
              <w:pStyle w:val="TableTextLeft"/>
              <w:rPr>
                <w:rFonts w:ascii="Calibri" w:hAnsi="Calibri" w:cs="Calibri"/>
              </w:rPr>
            </w:pPr>
            <w:r w:rsidRPr="000517A4">
              <w:rPr>
                <w:rFonts w:ascii="Calibri" w:hAnsi="Calibri" w:cs="Calibri"/>
              </w:rPr>
              <w:t xml:space="preserve">All energy safety legislation should be consolidated in a single new energy safety Act, replacing the </w:t>
            </w:r>
            <w:r w:rsidRPr="000517A4">
              <w:rPr>
                <w:rFonts w:ascii="Calibri" w:hAnsi="Calibri" w:cs="Calibri"/>
                <w:i/>
                <w:iCs/>
              </w:rPr>
              <w:t>Gas Safety Act 1997</w:t>
            </w:r>
            <w:r w:rsidRPr="000517A4">
              <w:rPr>
                <w:rFonts w:ascii="Calibri" w:hAnsi="Calibri" w:cs="Calibri"/>
              </w:rPr>
              <w:t xml:space="preserve">, </w:t>
            </w:r>
            <w:r w:rsidRPr="000517A4">
              <w:rPr>
                <w:rFonts w:ascii="Calibri" w:hAnsi="Calibri" w:cs="Calibri"/>
                <w:i/>
                <w:iCs/>
              </w:rPr>
              <w:t>Electricity Safety Act 1998</w:t>
            </w:r>
            <w:r w:rsidRPr="000517A4">
              <w:rPr>
                <w:rFonts w:ascii="Calibri" w:hAnsi="Calibri" w:cs="Calibri"/>
              </w:rPr>
              <w:t xml:space="preserve">, those elements of the </w:t>
            </w:r>
            <w:r w:rsidRPr="000517A4">
              <w:rPr>
                <w:rFonts w:ascii="Calibri" w:hAnsi="Calibri" w:cs="Calibri"/>
                <w:i/>
                <w:iCs/>
              </w:rPr>
              <w:t>Pipelines Act 2005</w:t>
            </w:r>
            <w:r w:rsidRPr="000517A4">
              <w:rPr>
                <w:rFonts w:ascii="Calibri" w:hAnsi="Calibri" w:cs="Calibri"/>
              </w:rPr>
              <w:t xml:space="preserve"> that relate to safety, and the </w:t>
            </w:r>
            <w:r w:rsidRPr="000517A4">
              <w:rPr>
                <w:rFonts w:ascii="Calibri" w:hAnsi="Calibri" w:cs="Calibri"/>
                <w:i/>
                <w:iCs/>
              </w:rPr>
              <w:t>Energy Safe Victoria Act 2005</w:t>
            </w:r>
            <w:r w:rsidRPr="000517A4">
              <w:rPr>
                <w:rFonts w:ascii="Calibri" w:hAnsi="Calibri" w:cs="Calibri"/>
              </w:rPr>
              <w:t>.</w:t>
            </w:r>
          </w:p>
        </w:tc>
        <w:tc>
          <w:tcPr>
            <w:tcW w:w="1848" w:type="pct"/>
          </w:tcPr>
          <w:p w14:paraId="332CC40A" w14:textId="77777777" w:rsidR="002434B7" w:rsidRPr="000517A4" w:rsidRDefault="002434B7" w:rsidP="002434B7">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 xml:space="preserve">On 21 October 2022, the Victorian </w:t>
            </w:r>
            <w:proofErr w:type="spellStart"/>
            <w:r w:rsidRPr="000517A4">
              <w:rPr>
                <w:rFonts w:ascii="Calibri" w:hAnsi="Calibri" w:cs="Calibri"/>
              </w:rPr>
              <w:t>Labor</w:t>
            </w:r>
            <w:proofErr w:type="spellEnd"/>
            <w:r w:rsidRPr="000517A4">
              <w:rPr>
                <w:rFonts w:ascii="Calibri" w:hAnsi="Calibri" w:cs="Calibri"/>
              </w:rPr>
              <w:t xml:space="preserve"> Party announced that the government would undertake a review into regulatory and licencing requirements for renewable energy systems. This review would make sure the legislative framework is keeping pace with emerging technologies to protect worker and community safety. </w:t>
            </w:r>
          </w:p>
          <w:p w14:paraId="2B925E40" w14:textId="77777777" w:rsidR="00BF614C" w:rsidRDefault="002434B7" w:rsidP="002434B7">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In May 2023, the State Budget allocated $7.031 million to the Energy Safety Review project, spread evenly across four financial years (2023-4 to 2026-7) under the banner ‘A safe and just community transition to renewable energy’.</w:t>
            </w:r>
          </w:p>
          <w:p w14:paraId="24BCD4C5" w14:textId="7E12BAF1" w:rsidR="002434B7" w:rsidRPr="00103CFB" w:rsidRDefault="00BF614C" w:rsidP="00103CFB">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F614C">
              <w:rPr>
                <w:rFonts w:ascii="Calibri" w:hAnsi="Calibri" w:cs="Calibri"/>
              </w:rPr>
              <w:t>DEECA is establishing an Energy Safety Review, which expects to include a Bill in 2024, to build on the Energy Legislation Amendment (Energy Safety) Act 2023 to ensure that the energy legislative framework is equipped</w:t>
            </w:r>
            <w:r w:rsidR="002434B7" w:rsidRPr="000517A4">
              <w:rPr>
                <w:rFonts w:ascii="Calibri" w:hAnsi="Calibri" w:cs="Calibri"/>
              </w:rPr>
              <w:t xml:space="preserve"> </w:t>
            </w:r>
            <w:r>
              <w:rPr>
                <w:rFonts w:ascii="Calibri" w:hAnsi="Calibri" w:cs="Calibri"/>
              </w:rPr>
              <w:t>for the energy transitio</w:t>
            </w:r>
            <w:r w:rsidR="00103CFB">
              <w:rPr>
                <w:rFonts w:ascii="Calibri" w:hAnsi="Calibri" w:cs="Calibri"/>
              </w:rPr>
              <w:t xml:space="preserve">n. </w:t>
            </w:r>
            <w:r w:rsidR="002434B7" w:rsidRPr="000517A4">
              <w:rPr>
                <w:rFonts w:ascii="Calibri" w:hAnsi="Calibri" w:cs="Calibri"/>
              </w:rPr>
              <w:t xml:space="preserve">                                                                                                                                   </w:t>
            </w:r>
          </w:p>
        </w:tc>
        <w:tc>
          <w:tcPr>
            <w:cnfStyle w:val="000010000000" w:firstRow="0" w:lastRow="0" w:firstColumn="0" w:lastColumn="0" w:oddVBand="1" w:evenVBand="0" w:oddHBand="0" w:evenHBand="0" w:firstRowFirstColumn="0" w:firstRowLastColumn="0" w:lastRowFirstColumn="0" w:lastRowLastColumn="0"/>
            <w:tcW w:w="817" w:type="pct"/>
          </w:tcPr>
          <w:p w14:paraId="7B3B50BF" w14:textId="2E7D3F42" w:rsidR="002434B7" w:rsidRPr="000517A4" w:rsidRDefault="002434B7" w:rsidP="002434B7">
            <w:pPr>
              <w:pStyle w:val="TableTextLeft"/>
              <w:rPr>
                <w:rFonts w:ascii="Calibri" w:hAnsi="Calibri" w:cs="Calibri"/>
              </w:rPr>
            </w:pPr>
            <w:r w:rsidRPr="000517A4">
              <w:rPr>
                <w:rFonts w:ascii="Calibri" w:hAnsi="Calibri" w:cs="Calibri"/>
                <w:b/>
                <w:bCs/>
              </w:rPr>
              <w:t xml:space="preserve">On track </w:t>
            </w:r>
            <w:r w:rsidRPr="000517A4">
              <w:rPr>
                <w:rFonts w:ascii="Calibri" w:hAnsi="Calibri" w:cs="Calibri"/>
              </w:rPr>
              <w:t>– for completion by 2026</w:t>
            </w:r>
          </w:p>
        </w:tc>
      </w:tr>
      <w:tr w:rsidR="002434B7" w:rsidRPr="000517A4" w14:paraId="29CAAA5F" w14:textId="77777777" w:rsidTr="000A59A8">
        <w:tc>
          <w:tcPr>
            <w:cnfStyle w:val="001000000000" w:firstRow="0" w:lastRow="0" w:firstColumn="1" w:lastColumn="0" w:oddVBand="0" w:evenVBand="0" w:oddHBand="0" w:evenHBand="0" w:firstRowFirstColumn="0" w:firstRowLastColumn="0" w:lastRowFirstColumn="0" w:lastRowLastColumn="0"/>
            <w:tcW w:w="207" w:type="pct"/>
          </w:tcPr>
          <w:p w14:paraId="49DE2E76" w14:textId="15F09CC6" w:rsidR="002434B7" w:rsidRPr="000517A4" w:rsidRDefault="002434B7" w:rsidP="002434B7">
            <w:pPr>
              <w:pStyle w:val="TableTextLeft"/>
              <w:rPr>
                <w:rFonts w:ascii="Calibri" w:hAnsi="Calibri" w:cs="Calibri"/>
              </w:rPr>
            </w:pPr>
            <w:r w:rsidRPr="000517A4">
              <w:rPr>
                <w:rFonts w:ascii="Calibri" w:hAnsi="Calibri" w:cs="Calibri"/>
              </w:rPr>
              <w:t>35</w:t>
            </w:r>
          </w:p>
        </w:tc>
        <w:tc>
          <w:tcPr>
            <w:cnfStyle w:val="000010000000" w:firstRow="0" w:lastRow="0" w:firstColumn="0" w:lastColumn="0" w:oddVBand="1" w:evenVBand="0" w:oddHBand="0" w:evenHBand="0" w:firstRowFirstColumn="0" w:firstRowLastColumn="0" w:lastRowFirstColumn="0" w:lastRowLastColumn="0"/>
            <w:tcW w:w="2128" w:type="pct"/>
          </w:tcPr>
          <w:p w14:paraId="4ABB0A95" w14:textId="77777777" w:rsidR="002434B7" w:rsidRPr="000517A4" w:rsidRDefault="002434B7" w:rsidP="002434B7">
            <w:pPr>
              <w:pStyle w:val="ListBullet"/>
              <w:numPr>
                <w:ilvl w:val="0"/>
                <w:numId w:val="0"/>
              </w:numPr>
              <w:spacing w:before="20"/>
              <w:jc w:val="both"/>
              <w:rPr>
                <w:rFonts w:ascii="Calibri" w:hAnsi="Calibri" w:cs="Calibri"/>
                <w:i/>
                <w:iCs/>
              </w:rPr>
            </w:pPr>
            <w:r w:rsidRPr="000517A4">
              <w:rPr>
                <w:rFonts w:ascii="Calibri" w:hAnsi="Calibri" w:cs="Calibri"/>
                <w:i/>
                <w:iCs/>
              </w:rPr>
              <w:t>Supported-in-</w:t>
            </w:r>
            <w:proofErr w:type="gramStart"/>
            <w:r w:rsidRPr="000517A4">
              <w:rPr>
                <w:rFonts w:ascii="Calibri" w:hAnsi="Calibri" w:cs="Calibri"/>
                <w:i/>
                <w:iCs/>
              </w:rPr>
              <w:t>principle</w:t>
            </w:r>
            <w:proofErr w:type="gramEnd"/>
          </w:p>
          <w:p w14:paraId="6BA93DBB" w14:textId="0491C7E1" w:rsidR="002434B7" w:rsidRPr="000517A4" w:rsidRDefault="002434B7" w:rsidP="002434B7">
            <w:pPr>
              <w:pStyle w:val="TableTextLeft"/>
              <w:rPr>
                <w:rFonts w:ascii="Calibri" w:hAnsi="Calibri" w:cs="Calibri"/>
              </w:rPr>
            </w:pPr>
            <w:r w:rsidRPr="000517A4">
              <w:rPr>
                <w:rFonts w:ascii="Calibri" w:hAnsi="Calibri" w:cs="Calibri"/>
              </w:rPr>
              <w:t xml:space="preserve">The general safety duties within the new consolidated energy safety legislation should be based around a consistent application of the principle that risks should be reduced so far as is “reasonably practicable” aligning with the definition adopted in the </w:t>
            </w:r>
            <w:r w:rsidRPr="000517A4">
              <w:rPr>
                <w:rFonts w:ascii="Calibri" w:hAnsi="Calibri" w:cs="Calibri"/>
                <w:i/>
                <w:iCs/>
              </w:rPr>
              <w:t>Occupational Health and Safety Act 2004</w:t>
            </w:r>
            <w:r w:rsidRPr="000517A4">
              <w:rPr>
                <w:rFonts w:ascii="Calibri" w:hAnsi="Calibri" w:cs="Calibri"/>
              </w:rPr>
              <w:t>.</w:t>
            </w:r>
          </w:p>
        </w:tc>
        <w:tc>
          <w:tcPr>
            <w:tcW w:w="1848" w:type="pct"/>
          </w:tcPr>
          <w:p w14:paraId="56B2191B" w14:textId="67ADBCBB" w:rsidR="002434B7" w:rsidRPr="000517A4" w:rsidRDefault="002434B7" w:rsidP="002434B7">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0517A4">
              <w:rPr>
                <w:rFonts w:ascii="Calibri" w:hAnsi="Calibri" w:cs="Calibri"/>
                <w:i/>
                <w:iCs/>
              </w:rPr>
              <w:t xml:space="preserve">The Energy Legislation Amendment (Energy Safety) Act 2023 </w:t>
            </w:r>
            <w:r w:rsidRPr="000517A4">
              <w:rPr>
                <w:rFonts w:ascii="Calibri" w:hAnsi="Calibri" w:cs="Calibri"/>
              </w:rPr>
              <w:t>aligns the general duties for owners and operators of complex installations and railways to be consistent with the duties of major electricity companies and gas companies. The change means that owners and operators of complex installations, railways, major electricity companies, and gas companies, have a consistent duty to reduce risks as far as practicable.</w:t>
            </w:r>
          </w:p>
        </w:tc>
        <w:tc>
          <w:tcPr>
            <w:cnfStyle w:val="000010000000" w:firstRow="0" w:lastRow="0" w:firstColumn="0" w:lastColumn="0" w:oddVBand="1" w:evenVBand="0" w:oddHBand="0" w:evenHBand="0" w:firstRowFirstColumn="0" w:firstRowLastColumn="0" w:lastRowFirstColumn="0" w:lastRowLastColumn="0"/>
            <w:tcW w:w="817" w:type="pct"/>
          </w:tcPr>
          <w:p w14:paraId="097A097D" w14:textId="0F2E4267" w:rsidR="002434B7" w:rsidRPr="000517A4" w:rsidRDefault="002434B7" w:rsidP="002434B7">
            <w:pPr>
              <w:pStyle w:val="TableTextLeft"/>
              <w:rPr>
                <w:rFonts w:ascii="Calibri" w:hAnsi="Calibri" w:cs="Calibri"/>
              </w:rPr>
            </w:pPr>
            <w:r w:rsidRPr="000517A4">
              <w:rPr>
                <w:rFonts w:ascii="Calibri" w:hAnsi="Calibri" w:cs="Calibri"/>
                <w:b/>
                <w:bCs/>
              </w:rPr>
              <w:t>Complete</w:t>
            </w:r>
          </w:p>
        </w:tc>
      </w:tr>
      <w:tr w:rsidR="002434B7" w:rsidRPr="000517A4" w14:paraId="56DD8223" w14:textId="77777777" w:rsidTr="000A59A8">
        <w:tc>
          <w:tcPr>
            <w:cnfStyle w:val="001000000000" w:firstRow="0" w:lastRow="0" w:firstColumn="1" w:lastColumn="0" w:oddVBand="0" w:evenVBand="0" w:oddHBand="0" w:evenHBand="0" w:firstRowFirstColumn="0" w:firstRowLastColumn="0" w:lastRowFirstColumn="0" w:lastRowLastColumn="0"/>
            <w:tcW w:w="207" w:type="pct"/>
          </w:tcPr>
          <w:p w14:paraId="66AE0109" w14:textId="7CB6358B" w:rsidR="002434B7" w:rsidRPr="000517A4" w:rsidRDefault="002434B7" w:rsidP="002434B7">
            <w:pPr>
              <w:pStyle w:val="TableTextLeft"/>
              <w:rPr>
                <w:rFonts w:ascii="Calibri" w:hAnsi="Calibri" w:cs="Calibri"/>
              </w:rPr>
            </w:pPr>
            <w:r w:rsidRPr="000517A4">
              <w:rPr>
                <w:rFonts w:ascii="Calibri" w:hAnsi="Calibri" w:cs="Calibri"/>
              </w:rPr>
              <w:t>36</w:t>
            </w:r>
          </w:p>
        </w:tc>
        <w:tc>
          <w:tcPr>
            <w:cnfStyle w:val="000010000000" w:firstRow="0" w:lastRow="0" w:firstColumn="0" w:lastColumn="0" w:oddVBand="1" w:evenVBand="0" w:oddHBand="0" w:evenHBand="0" w:firstRowFirstColumn="0" w:firstRowLastColumn="0" w:lastRowFirstColumn="0" w:lastRowLastColumn="0"/>
            <w:tcW w:w="2128" w:type="pct"/>
          </w:tcPr>
          <w:p w14:paraId="75310450" w14:textId="77777777" w:rsidR="002434B7" w:rsidRPr="000517A4" w:rsidRDefault="002434B7" w:rsidP="002434B7">
            <w:pPr>
              <w:pStyle w:val="ListBullet"/>
              <w:numPr>
                <w:ilvl w:val="0"/>
                <w:numId w:val="0"/>
              </w:numPr>
              <w:spacing w:before="20"/>
              <w:jc w:val="both"/>
              <w:rPr>
                <w:rFonts w:ascii="Calibri" w:hAnsi="Calibri" w:cs="Calibri"/>
                <w:i/>
                <w:iCs/>
              </w:rPr>
            </w:pPr>
            <w:r w:rsidRPr="000517A4">
              <w:rPr>
                <w:rFonts w:ascii="Calibri" w:hAnsi="Calibri" w:cs="Calibri"/>
                <w:i/>
                <w:iCs/>
              </w:rPr>
              <w:t>Supported-in-</w:t>
            </w:r>
            <w:proofErr w:type="gramStart"/>
            <w:r w:rsidRPr="000517A4">
              <w:rPr>
                <w:rFonts w:ascii="Calibri" w:hAnsi="Calibri" w:cs="Calibri"/>
                <w:i/>
                <w:iCs/>
              </w:rPr>
              <w:t>principle</w:t>
            </w:r>
            <w:proofErr w:type="gramEnd"/>
          </w:p>
          <w:p w14:paraId="747F63C6" w14:textId="77777777" w:rsidR="002434B7" w:rsidRPr="000517A4" w:rsidRDefault="002434B7" w:rsidP="002434B7">
            <w:pPr>
              <w:pStyle w:val="ListBullet"/>
              <w:numPr>
                <w:ilvl w:val="0"/>
                <w:numId w:val="0"/>
              </w:numPr>
              <w:spacing w:before="20"/>
              <w:rPr>
                <w:rFonts w:ascii="Calibri" w:hAnsi="Calibri" w:cs="Calibri"/>
              </w:rPr>
            </w:pPr>
            <w:r w:rsidRPr="000517A4">
              <w:rPr>
                <w:rFonts w:ascii="Calibri" w:hAnsi="Calibri" w:cs="Calibri"/>
              </w:rPr>
              <w:t xml:space="preserve">The general safety duties within the new consolidated energy safety legislation should be presented clearly, with the aim that they: </w:t>
            </w:r>
          </w:p>
          <w:p w14:paraId="5623A6BA" w14:textId="77777777" w:rsidR="002434B7" w:rsidRPr="000517A4" w:rsidRDefault="002434B7" w:rsidP="002434B7">
            <w:pPr>
              <w:pStyle w:val="ListBullet"/>
              <w:numPr>
                <w:ilvl w:val="0"/>
                <w:numId w:val="50"/>
              </w:numPr>
              <w:spacing w:before="20"/>
              <w:ind w:right="113"/>
              <w:rPr>
                <w:rFonts w:ascii="Calibri" w:hAnsi="Calibri" w:cs="Calibri"/>
              </w:rPr>
            </w:pPr>
            <w:r w:rsidRPr="000517A4">
              <w:rPr>
                <w:rFonts w:ascii="Calibri" w:hAnsi="Calibri" w:cs="Calibri"/>
              </w:rPr>
              <w:lastRenderedPageBreak/>
              <w:t xml:space="preserve">are aligned, but retain necessary sector-specific </w:t>
            </w:r>
            <w:proofErr w:type="gramStart"/>
            <w:r w:rsidRPr="000517A4">
              <w:rPr>
                <w:rFonts w:ascii="Calibri" w:hAnsi="Calibri" w:cs="Calibri"/>
              </w:rPr>
              <w:t>differences;</w:t>
            </w:r>
            <w:proofErr w:type="gramEnd"/>
            <w:r w:rsidRPr="000517A4">
              <w:rPr>
                <w:rFonts w:ascii="Calibri" w:hAnsi="Calibri" w:cs="Calibri"/>
              </w:rPr>
              <w:t xml:space="preserve"> </w:t>
            </w:r>
          </w:p>
          <w:p w14:paraId="30C01AE4" w14:textId="77777777" w:rsidR="002434B7" w:rsidRPr="000517A4" w:rsidRDefault="002434B7" w:rsidP="002434B7">
            <w:pPr>
              <w:pStyle w:val="ListBullet"/>
              <w:numPr>
                <w:ilvl w:val="0"/>
                <w:numId w:val="50"/>
              </w:numPr>
              <w:spacing w:before="20"/>
              <w:ind w:right="113"/>
              <w:rPr>
                <w:rFonts w:ascii="Calibri" w:hAnsi="Calibri" w:cs="Calibri"/>
              </w:rPr>
            </w:pPr>
            <w:r w:rsidRPr="000517A4">
              <w:rPr>
                <w:rFonts w:ascii="Calibri" w:hAnsi="Calibri" w:cs="Calibri"/>
              </w:rPr>
              <w:t xml:space="preserve">cover a range of circumstances in energy network </w:t>
            </w:r>
            <w:proofErr w:type="gramStart"/>
            <w:r w:rsidRPr="000517A4">
              <w:rPr>
                <w:rFonts w:ascii="Calibri" w:hAnsi="Calibri" w:cs="Calibri"/>
              </w:rPr>
              <w:t>safety;</w:t>
            </w:r>
            <w:proofErr w:type="gramEnd"/>
          </w:p>
          <w:p w14:paraId="54D47731" w14:textId="77777777" w:rsidR="002434B7" w:rsidRPr="000517A4" w:rsidRDefault="002434B7" w:rsidP="002434B7">
            <w:pPr>
              <w:pStyle w:val="ListBullet"/>
              <w:numPr>
                <w:ilvl w:val="0"/>
                <w:numId w:val="50"/>
              </w:numPr>
              <w:spacing w:before="20"/>
              <w:ind w:right="113"/>
              <w:rPr>
                <w:rFonts w:ascii="Calibri" w:hAnsi="Calibri" w:cs="Calibri"/>
              </w:rPr>
            </w:pPr>
            <w:r w:rsidRPr="000517A4">
              <w:rPr>
                <w:rFonts w:ascii="Calibri" w:hAnsi="Calibri" w:cs="Calibri"/>
              </w:rPr>
              <w:t xml:space="preserve"> do not easily become outdated and can cover emerging risks and industry </w:t>
            </w:r>
            <w:proofErr w:type="gramStart"/>
            <w:r w:rsidRPr="000517A4">
              <w:rPr>
                <w:rFonts w:ascii="Calibri" w:hAnsi="Calibri" w:cs="Calibri"/>
              </w:rPr>
              <w:t>changes;</w:t>
            </w:r>
            <w:proofErr w:type="gramEnd"/>
            <w:r w:rsidRPr="000517A4">
              <w:rPr>
                <w:rFonts w:ascii="Calibri" w:hAnsi="Calibri" w:cs="Calibri"/>
              </w:rPr>
              <w:t xml:space="preserve"> </w:t>
            </w:r>
          </w:p>
          <w:p w14:paraId="75ED6EE2" w14:textId="77777777" w:rsidR="002434B7" w:rsidRPr="000517A4" w:rsidRDefault="002434B7" w:rsidP="002434B7">
            <w:pPr>
              <w:pStyle w:val="ListBullet"/>
              <w:numPr>
                <w:ilvl w:val="0"/>
                <w:numId w:val="50"/>
              </w:numPr>
              <w:spacing w:before="20"/>
              <w:ind w:right="113"/>
              <w:rPr>
                <w:rFonts w:ascii="Calibri" w:hAnsi="Calibri" w:cs="Calibri"/>
              </w:rPr>
            </w:pPr>
            <w:r w:rsidRPr="000517A4">
              <w:rPr>
                <w:rFonts w:ascii="Calibri" w:hAnsi="Calibri" w:cs="Calibri"/>
              </w:rPr>
              <w:t xml:space="preserve">are clearly expressed as to the obligations imposed and classes of duty </w:t>
            </w:r>
            <w:proofErr w:type="gramStart"/>
            <w:r w:rsidRPr="000517A4">
              <w:rPr>
                <w:rFonts w:ascii="Calibri" w:hAnsi="Calibri" w:cs="Calibri"/>
              </w:rPr>
              <w:t>holders;</w:t>
            </w:r>
            <w:proofErr w:type="gramEnd"/>
            <w:r w:rsidRPr="000517A4">
              <w:rPr>
                <w:rFonts w:ascii="Calibri" w:hAnsi="Calibri" w:cs="Calibri"/>
              </w:rPr>
              <w:t xml:space="preserve"> </w:t>
            </w:r>
          </w:p>
          <w:p w14:paraId="30C3DD5F" w14:textId="77777777" w:rsidR="002434B7" w:rsidRPr="000517A4" w:rsidRDefault="002434B7" w:rsidP="002434B7">
            <w:pPr>
              <w:pStyle w:val="ListBullet"/>
              <w:numPr>
                <w:ilvl w:val="0"/>
                <w:numId w:val="50"/>
              </w:numPr>
              <w:spacing w:before="20"/>
              <w:ind w:right="113"/>
              <w:rPr>
                <w:rFonts w:ascii="Calibri" w:hAnsi="Calibri" w:cs="Calibri"/>
              </w:rPr>
            </w:pPr>
            <w:r w:rsidRPr="000517A4">
              <w:rPr>
                <w:rFonts w:ascii="Calibri" w:hAnsi="Calibri" w:cs="Calibri"/>
              </w:rPr>
              <w:t xml:space="preserve">are enforceable in </w:t>
            </w:r>
            <w:proofErr w:type="gramStart"/>
            <w:r w:rsidRPr="000517A4">
              <w:rPr>
                <w:rFonts w:ascii="Calibri" w:hAnsi="Calibri" w:cs="Calibri"/>
              </w:rPr>
              <w:t>practice;</w:t>
            </w:r>
            <w:proofErr w:type="gramEnd"/>
            <w:r w:rsidRPr="000517A4">
              <w:rPr>
                <w:rFonts w:ascii="Calibri" w:hAnsi="Calibri" w:cs="Calibri"/>
              </w:rPr>
              <w:t xml:space="preserve"> </w:t>
            </w:r>
          </w:p>
          <w:p w14:paraId="27B23E68" w14:textId="77777777" w:rsidR="006A458B" w:rsidRPr="000517A4" w:rsidRDefault="002434B7" w:rsidP="002434B7">
            <w:pPr>
              <w:pStyle w:val="ListBullet"/>
              <w:numPr>
                <w:ilvl w:val="0"/>
                <w:numId w:val="50"/>
              </w:numPr>
              <w:spacing w:before="20"/>
              <w:ind w:right="113"/>
              <w:rPr>
                <w:rFonts w:ascii="Calibri" w:hAnsi="Calibri" w:cs="Calibri"/>
              </w:rPr>
            </w:pPr>
            <w:r w:rsidRPr="000517A4">
              <w:rPr>
                <w:rFonts w:ascii="Calibri" w:hAnsi="Calibri" w:cs="Calibri"/>
              </w:rPr>
              <w:t xml:space="preserve">function effectively with safety case provisions under the Act, including enabling the regulator to take compliance and enforcement action in response to unacceptable risk; and </w:t>
            </w:r>
          </w:p>
          <w:p w14:paraId="3C6AB5CC" w14:textId="4B877C24" w:rsidR="002434B7" w:rsidRPr="000517A4" w:rsidRDefault="002434B7" w:rsidP="002434B7">
            <w:pPr>
              <w:pStyle w:val="ListBullet"/>
              <w:numPr>
                <w:ilvl w:val="0"/>
                <w:numId w:val="50"/>
              </w:numPr>
              <w:spacing w:before="20"/>
              <w:ind w:right="113"/>
              <w:rPr>
                <w:rFonts w:ascii="Calibri" w:hAnsi="Calibri" w:cs="Calibri"/>
              </w:rPr>
            </w:pPr>
            <w:r w:rsidRPr="000517A4">
              <w:rPr>
                <w:rFonts w:ascii="Calibri" w:hAnsi="Calibri" w:cs="Calibri"/>
              </w:rPr>
              <w:t>remain outcomes-based allowing flexibility in compliance arrangements.</w:t>
            </w:r>
          </w:p>
        </w:tc>
        <w:tc>
          <w:tcPr>
            <w:tcW w:w="1848" w:type="pct"/>
          </w:tcPr>
          <w:p w14:paraId="7B3939A8" w14:textId="77777777" w:rsidR="002434B7" w:rsidRPr="000517A4" w:rsidRDefault="002434B7" w:rsidP="002434B7">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lastRenderedPageBreak/>
              <w:t xml:space="preserve">The </w:t>
            </w:r>
            <w:r w:rsidRPr="000517A4">
              <w:rPr>
                <w:rFonts w:ascii="Calibri" w:hAnsi="Calibri" w:cs="Calibri"/>
                <w:i/>
                <w:iCs/>
              </w:rPr>
              <w:t xml:space="preserve">Energy Legislation Amendment (Energy Safety) Act 2023 </w:t>
            </w:r>
            <w:r w:rsidRPr="000517A4">
              <w:rPr>
                <w:rFonts w:ascii="Calibri" w:hAnsi="Calibri" w:cs="Calibri"/>
              </w:rPr>
              <w:t xml:space="preserve">makes critical amendments to the </w:t>
            </w:r>
            <w:r w:rsidRPr="000517A4">
              <w:rPr>
                <w:rFonts w:ascii="Calibri" w:hAnsi="Calibri" w:cs="Calibri"/>
                <w:i/>
                <w:iCs/>
              </w:rPr>
              <w:t>Electricity Safety Act 1998</w:t>
            </w:r>
            <w:r w:rsidRPr="000517A4">
              <w:rPr>
                <w:rFonts w:ascii="Calibri" w:hAnsi="Calibri" w:cs="Calibri"/>
              </w:rPr>
              <w:t xml:space="preserve">, </w:t>
            </w:r>
            <w:r w:rsidRPr="000517A4">
              <w:rPr>
                <w:rFonts w:ascii="Calibri" w:hAnsi="Calibri" w:cs="Calibri"/>
                <w:i/>
                <w:iCs/>
              </w:rPr>
              <w:t>Gas Safety Act 1997</w:t>
            </w:r>
            <w:r w:rsidRPr="000517A4">
              <w:rPr>
                <w:rFonts w:ascii="Calibri" w:hAnsi="Calibri" w:cs="Calibri"/>
              </w:rPr>
              <w:t xml:space="preserve">, and </w:t>
            </w:r>
            <w:r w:rsidRPr="000517A4">
              <w:rPr>
                <w:rFonts w:ascii="Calibri" w:hAnsi="Calibri" w:cs="Calibri"/>
                <w:i/>
                <w:iCs/>
              </w:rPr>
              <w:t>Pipelines Act 2005</w:t>
            </w:r>
            <w:r w:rsidRPr="000517A4">
              <w:rPr>
                <w:rFonts w:ascii="Calibri" w:hAnsi="Calibri" w:cs="Calibri"/>
              </w:rPr>
              <w:t xml:space="preserve"> to </w:t>
            </w:r>
            <w:r w:rsidRPr="000517A4">
              <w:rPr>
                <w:rFonts w:ascii="Calibri" w:hAnsi="Calibri" w:cs="Calibri"/>
              </w:rPr>
              <w:lastRenderedPageBreak/>
              <w:t>address the most urgent significant gaps and weaknesses in the energy safety legislation.</w:t>
            </w:r>
          </w:p>
          <w:p w14:paraId="5D65D006" w14:textId="77777777" w:rsidR="002434B7" w:rsidRPr="000517A4" w:rsidRDefault="002434B7" w:rsidP="002434B7">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The key change is that certain owners and operators of high-risk complex electrical installations, such as utility-scale renewable generators, will be able to be declared to have certain duties and obligations, commensurate with a major electricity company.</w:t>
            </w:r>
          </w:p>
          <w:p w14:paraId="25EA68E6" w14:textId="77777777" w:rsidR="002434B7" w:rsidRPr="000517A4" w:rsidRDefault="002434B7" w:rsidP="002434B7">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The other key changes include giving ESV and the Minister for Energy and Resources the power to enter enforceable undertakings with regulated entities; along with increasing maximum penalties for offences relating to maintaining safe networks.</w:t>
            </w:r>
          </w:p>
          <w:p w14:paraId="64CD32CA" w14:textId="1F73CE00" w:rsidR="002434B7" w:rsidRPr="005048DB" w:rsidRDefault="002434B7" w:rsidP="005048DB">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The Bill will also strengthen ESV’s ability to enforce energy businesses’ compliance with their safety plans, and when an incident occurs.</w:t>
            </w:r>
          </w:p>
        </w:tc>
        <w:tc>
          <w:tcPr>
            <w:cnfStyle w:val="000010000000" w:firstRow="0" w:lastRow="0" w:firstColumn="0" w:lastColumn="0" w:oddVBand="1" w:evenVBand="0" w:oddHBand="0" w:evenHBand="0" w:firstRowFirstColumn="0" w:firstRowLastColumn="0" w:lastRowFirstColumn="0" w:lastRowLastColumn="0"/>
            <w:tcW w:w="817" w:type="pct"/>
          </w:tcPr>
          <w:p w14:paraId="2F226DDD" w14:textId="67ED657F" w:rsidR="002434B7" w:rsidRPr="000517A4" w:rsidRDefault="002434B7" w:rsidP="002434B7">
            <w:pPr>
              <w:pStyle w:val="TableTextLeft"/>
              <w:rPr>
                <w:rFonts w:ascii="Calibri" w:hAnsi="Calibri" w:cs="Calibri"/>
              </w:rPr>
            </w:pPr>
            <w:r w:rsidRPr="000517A4">
              <w:rPr>
                <w:rFonts w:ascii="Calibri" w:hAnsi="Calibri" w:cs="Calibri"/>
                <w:b/>
                <w:bCs/>
              </w:rPr>
              <w:lastRenderedPageBreak/>
              <w:t>Complete</w:t>
            </w:r>
          </w:p>
        </w:tc>
      </w:tr>
      <w:tr w:rsidR="002434B7" w:rsidRPr="000517A4" w14:paraId="57217238" w14:textId="77777777" w:rsidTr="000A59A8">
        <w:tc>
          <w:tcPr>
            <w:cnfStyle w:val="001000000000" w:firstRow="0" w:lastRow="0" w:firstColumn="1" w:lastColumn="0" w:oddVBand="0" w:evenVBand="0" w:oddHBand="0" w:evenHBand="0" w:firstRowFirstColumn="0" w:firstRowLastColumn="0" w:lastRowFirstColumn="0" w:lastRowLastColumn="0"/>
            <w:tcW w:w="207" w:type="pct"/>
          </w:tcPr>
          <w:p w14:paraId="32EA8A58" w14:textId="195BB705" w:rsidR="002434B7" w:rsidRPr="000517A4" w:rsidRDefault="002434B7" w:rsidP="002434B7">
            <w:pPr>
              <w:pStyle w:val="TableTextLeft"/>
              <w:rPr>
                <w:rFonts w:ascii="Calibri" w:hAnsi="Calibri" w:cs="Calibri"/>
              </w:rPr>
            </w:pPr>
            <w:r w:rsidRPr="000517A4">
              <w:rPr>
                <w:rFonts w:ascii="Calibri" w:hAnsi="Calibri" w:cs="Calibri"/>
              </w:rPr>
              <w:t>37</w:t>
            </w:r>
          </w:p>
        </w:tc>
        <w:tc>
          <w:tcPr>
            <w:cnfStyle w:val="000010000000" w:firstRow="0" w:lastRow="0" w:firstColumn="0" w:lastColumn="0" w:oddVBand="1" w:evenVBand="0" w:oddHBand="0" w:evenHBand="0" w:firstRowFirstColumn="0" w:firstRowLastColumn="0" w:lastRowFirstColumn="0" w:lastRowLastColumn="0"/>
            <w:tcW w:w="2128" w:type="pct"/>
          </w:tcPr>
          <w:p w14:paraId="6E88F449" w14:textId="77777777" w:rsidR="002434B7" w:rsidRPr="000517A4" w:rsidRDefault="002434B7" w:rsidP="002434B7">
            <w:pPr>
              <w:pStyle w:val="ListBullet"/>
              <w:numPr>
                <w:ilvl w:val="0"/>
                <w:numId w:val="0"/>
              </w:numPr>
              <w:spacing w:before="20"/>
              <w:jc w:val="both"/>
              <w:rPr>
                <w:rFonts w:ascii="Calibri" w:hAnsi="Calibri" w:cs="Calibri"/>
                <w:i/>
                <w:iCs/>
              </w:rPr>
            </w:pPr>
            <w:r w:rsidRPr="000517A4">
              <w:rPr>
                <w:rFonts w:ascii="Calibri" w:hAnsi="Calibri" w:cs="Calibri"/>
                <w:i/>
                <w:iCs/>
              </w:rPr>
              <w:t>Supported-in-</w:t>
            </w:r>
            <w:proofErr w:type="gramStart"/>
            <w:r w:rsidRPr="000517A4">
              <w:rPr>
                <w:rFonts w:ascii="Calibri" w:hAnsi="Calibri" w:cs="Calibri"/>
                <w:i/>
                <w:iCs/>
              </w:rPr>
              <w:t>principle</w:t>
            </w:r>
            <w:proofErr w:type="gramEnd"/>
          </w:p>
          <w:p w14:paraId="6ACA157A" w14:textId="17107A93" w:rsidR="002434B7" w:rsidRPr="000517A4" w:rsidRDefault="002434B7" w:rsidP="002434B7">
            <w:pPr>
              <w:pStyle w:val="TableTextLeft"/>
              <w:rPr>
                <w:rFonts w:ascii="Calibri" w:hAnsi="Calibri" w:cs="Calibri"/>
              </w:rPr>
            </w:pPr>
            <w:r w:rsidRPr="000517A4">
              <w:rPr>
                <w:rFonts w:ascii="Calibri" w:hAnsi="Calibri" w:cs="Calibri"/>
              </w:rPr>
              <w:t>The consolidated energy safety legislation should provide consistent foundations for the safety case regime in the regulation of electricity and gas network safety. The legislation should make it clear that safety case-based regulation must be supported by detailed systems and prescribed standards applied within network businesses. It should also be clear from ESV’s objectives, functions, and business’ safety duties that long-term asset integrity and sustainability are encompassed within the safety case regime and ESV’s regulatory remit.</w:t>
            </w:r>
          </w:p>
        </w:tc>
        <w:tc>
          <w:tcPr>
            <w:tcW w:w="1848" w:type="pct"/>
          </w:tcPr>
          <w:p w14:paraId="65A6DC68" w14:textId="0A5414DB" w:rsidR="002434B7" w:rsidRPr="000517A4" w:rsidRDefault="002434B7" w:rsidP="002434B7">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0517A4">
              <w:rPr>
                <w:rFonts w:ascii="Calibri" w:hAnsi="Calibri" w:cs="Calibri"/>
              </w:rPr>
              <w:t>As above for recommendation 3</w:t>
            </w:r>
            <w:r w:rsidR="007F18AD">
              <w:rPr>
                <w:rFonts w:ascii="Calibri" w:hAnsi="Calibri" w:cs="Calibri"/>
              </w:rPr>
              <w:t>4</w:t>
            </w:r>
            <w:r w:rsidRPr="000517A4">
              <w:rPr>
                <w:rFonts w:ascii="Calibri" w:hAnsi="Calibri" w:cs="Calibri"/>
              </w:rPr>
              <w:t>.</w:t>
            </w:r>
          </w:p>
        </w:tc>
        <w:tc>
          <w:tcPr>
            <w:cnfStyle w:val="000010000000" w:firstRow="0" w:lastRow="0" w:firstColumn="0" w:lastColumn="0" w:oddVBand="1" w:evenVBand="0" w:oddHBand="0" w:evenHBand="0" w:firstRowFirstColumn="0" w:firstRowLastColumn="0" w:lastRowFirstColumn="0" w:lastRowLastColumn="0"/>
            <w:tcW w:w="817" w:type="pct"/>
          </w:tcPr>
          <w:p w14:paraId="4D6281FC" w14:textId="6CB44B06" w:rsidR="002434B7" w:rsidRPr="000517A4" w:rsidRDefault="002434B7" w:rsidP="002434B7">
            <w:pPr>
              <w:pStyle w:val="TableTextLeft"/>
              <w:rPr>
                <w:rFonts w:ascii="Calibri" w:hAnsi="Calibri" w:cs="Calibri"/>
              </w:rPr>
            </w:pPr>
            <w:r w:rsidRPr="000517A4">
              <w:rPr>
                <w:rFonts w:ascii="Calibri" w:hAnsi="Calibri" w:cs="Calibri"/>
                <w:b/>
                <w:bCs/>
              </w:rPr>
              <w:t xml:space="preserve">On track </w:t>
            </w:r>
            <w:r w:rsidRPr="000517A4">
              <w:rPr>
                <w:rFonts w:ascii="Calibri" w:hAnsi="Calibri" w:cs="Calibri"/>
              </w:rPr>
              <w:t>– for completion by 2026</w:t>
            </w:r>
          </w:p>
        </w:tc>
      </w:tr>
      <w:tr w:rsidR="002434B7" w:rsidRPr="000517A4" w14:paraId="6D0FAF24" w14:textId="77777777" w:rsidTr="000A59A8">
        <w:tc>
          <w:tcPr>
            <w:cnfStyle w:val="001000000000" w:firstRow="0" w:lastRow="0" w:firstColumn="1" w:lastColumn="0" w:oddVBand="0" w:evenVBand="0" w:oddHBand="0" w:evenHBand="0" w:firstRowFirstColumn="0" w:firstRowLastColumn="0" w:lastRowFirstColumn="0" w:lastRowLastColumn="0"/>
            <w:tcW w:w="207" w:type="pct"/>
          </w:tcPr>
          <w:p w14:paraId="1BFA79DC" w14:textId="5BAF2861" w:rsidR="002434B7" w:rsidRPr="000517A4" w:rsidRDefault="002434B7" w:rsidP="002434B7">
            <w:pPr>
              <w:pStyle w:val="TableTextLeft"/>
              <w:rPr>
                <w:rFonts w:ascii="Calibri" w:hAnsi="Calibri" w:cs="Calibri"/>
              </w:rPr>
            </w:pPr>
            <w:r w:rsidRPr="000517A4">
              <w:rPr>
                <w:rFonts w:ascii="Calibri" w:hAnsi="Calibri" w:cs="Calibri"/>
              </w:rPr>
              <w:t>38</w:t>
            </w:r>
          </w:p>
        </w:tc>
        <w:tc>
          <w:tcPr>
            <w:cnfStyle w:val="000010000000" w:firstRow="0" w:lastRow="0" w:firstColumn="0" w:lastColumn="0" w:oddVBand="1" w:evenVBand="0" w:oddHBand="0" w:evenHBand="0" w:firstRowFirstColumn="0" w:firstRowLastColumn="0" w:lastRowFirstColumn="0" w:lastRowLastColumn="0"/>
            <w:tcW w:w="2128" w:type="pct"/>
          </w:tcPr>
          <w:p w14:paraId="69ACED2C" w14:textId="77777777" w:rsidR="002434B7" w:rsidRPr="000517A4" w:rsidRDefault="002434B7" w:rsidP="002434B7">
            <w:pPr>
              <w:pStyle w:val="ListBullet"/>
              <w:numPr>
                <w:ilvl w:val="0"/>
                <w:numId w:val="0"/>
              </w:numPr>
              <w:spacing w:before="20"/>
              <w:jc w:val="both"/>
              <w:rPr>
                <w:rFonts w:ascii="Calibri" w:hAnsi="Calibri" w:cs="Calibri"/>
                <w:i/>
                <w:iCs/>
              </w:rPr>
            </w:pPr>
            <w:r w:rsidRPr="000517A4">
              <w:rPr>
                <w:rFonts w:ascii="Calibri" w:hAnsi="Calibri" w:cs="Calibri"/>
                <w:i/>
                <w:iCs/>
              </w:rPr>
              <w:t>Supported-in-</w:t>
            </w:r>
            <w:proofErr w:type="gramStart"/>
            <w:r w:rsidRPr="000517A4">
              <w:rPr>
                <w:rFonts w:ascii="Calibri" w:hAnsi="Calibri" w:cs="Calibri"/>
                <w:i/>
                <w:iCs/>
              </w:rPr>
              <w:t>principle</w:t>
            </w:r>
            <w:proofErr w:type="gramEnd"/>
          </w:p>
          <w:p w14:paraId="73219B13" w14:textId="2A13AC51" w:rsidR="002434B7" w:rsidRPr="000517A4" w:rsidRDefault="002434B7" w:rsidP="002434B7">
            <w:pPr>
              <w:pStyle w:val="TableTextLeft"/>
              <w:rPr>
                <w:rFonts w:ascii="Calibri" w:hAnsi="Calibri" w:cs="Calibri"/>
              </w:rPr>
            </w:pPr>
            <w:r w:rsidRPr="000517A4">
              <w:rPr>
                <w:rFonts w:ascii="Calibri" w:hAnsi="Calibri" w:cs="Calibri"/>
              </w:rPr>
              <w:t>In developing new consolidated energy safety legislation, consideration should be given to improving the structure and operation of regulations under the Act, including, for example, integrating the Code of Practice for Electric Line Clearance into the Electricity Safety (Electric Line Clearance) Regulations 2015 and setting the expiry period to ten years rather than five.</w:t>
            </w:r>
          </w:p>
        </w:tc>
        <w:tc>
          <w:tcPr>
            <w:tcW w:w="1848" w:type="pct"/>
          </w:tcPr>
          <w:p w14:paraId="6B4723E8" w14:textId="5A5ECA70" w:rsidR="002434B7" w:rsidRPr="000517A4" w:rsidRDefault="002434B7" w:rsidP="002434B7">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0517A4">
              <w:rPr>
                <w:rFonts w:ascii="Calibri" w:hAnsi="Calibri" w:cs="Calibri"/>
              </w:rPr>
              <w:t>As above for recommendation 3</w:t>
            </w:r>
            <w:r w:rsidR="007F18AD">
              <w:rPr>
                <w:rFonts w:ascii="Calibri" w:hAnsi="Calibri" w:cs="Calibri"/>
              </w:rPr>
              <w:t>4</w:t>
            </w:r>
            <w:r w:rsidRPr="000517A4">
              <w:rPr>
                <w:rFonts w:ascii="Calibri" w:hAnsi="Calibri" w:cs="Calibri"/>
              </w:rPr>
              <w:t>.</w:t>
            </w:r>
          </w:p>
        </w:tc>
        <w:tc>
          <w:tcPr>
            <w:cnfStyle w:val="000010000000" w:firstRow="0" w:lastRow="0" w:firstColumn="0" w:lastColumn="0" w:oddVBand="1" w:evenVBand="0" w:oddHBand="0" w:evenHBand="0" w:firstRowFirstColumn="0" w:firstRowLastColumn="0" w:lastRowFirstColumn="0" w:lastRowLastColumn="0"/>
            <w:tcW w:w="817" w:type="pct"/>
          </w:tcPr>
          <w:p w14:paraId="23396CCD" w14:textId="0C0A38AC" w:rsidR="002434B7" w:rsidRPr="000517A4" w:rsidRDefault="002434B7" w:rsidP="002434B7">
            <w:pPr>
              <w:pStyle w:val="TableTextLeft"/>
              <w:rPr>
                <w:rFonts w:ascii="Calibri" w:hAnsi="Calibri" w:cs="Calibri"/>
              </w:rPr>
            </w:pPr>
            <w:r w:rsidRPr="000517A4">
              <w:rPr>
                <w:rFonts w:ascii="Calibri" w:hAnsi="Calibri" w:cs="Calibri"/>
                <w:b/>
                <w:bCs/>
              </w:rPr>
              <w:t xml:space="preserve">On track </w:t>
            </w:r>
            <w:r w:rsidRPr="000517A4">
              <w:rPr>
                <w:rFonts w:ascii="Calibri" w:hAnsi="Calibri" w:cs="Calibri"/>
              </w:rPr>
              <w:t>– for completion by 2026</w:t>
            </w:r>
          </w:p>
        </w:tc>
      </w:tr>
      <w:tr w:rsidR="002434B7" w:rsidRPr="000517A4" w14:paraId="73AC7262" w14:textId="77777777" w:rsidTr="000A59A8">
        <w:tc>
          <w:tcPr>
            <w:cnfStyle w:val="001000000000" w:firstRow="0" w:lastRow="0" w:firstColumn="1" w:lastColumn="0" w:oddVBand="0" w:evenVBand="0" w:oddHBand="0" w:evenHBand="0" w:firstRowFirstColumn="0" w:firstRowLastColumn="0" w:lastRowFirstColumn="0" w:lastRowLastColumn="0"/>
            <w:tcW w:w="207" w:type="pct"/>
          </w:tcPr>
          <w:p w14:paraId="797C9113" w14:textId="7F2CD45B" w:rsidR="002434B7" w:rsidRPr="000517A4" w:rsidRDefault="002434B7" w:rsidP="002434B7">
            <w:pPr>
              <w:pStyle w:val="TableTextLeft"/>
              <w:rPr>
                <w:rFonts w:ascii="Calibri" w:hAnsi="Calibri" w:cs="Calibri"/>
              </w:rPr>
            </w:pPr>
            <w:r w:rsidRPr="000517A4">
              <w:rPr>
                <w:rFonts w:ascii="Calibri" w:hAnsi="Calibri" w:cs="Calibri"/>
              </w:rPr>
              <w:t>39</w:t>
            </w:r>
          </w:p>
        </w:tc>
        <w:tc>
          <w:tcPr>
            <w:cnfStyle w:val="000010000000" w:firstRow="0" w:lastRow="0" w:firstColumn="0" w:lastColumn="0" w:oddVBand="1" w:evenVBand="0" w:oddHBand="0" w:evenHBand="0" w:firstRowFirstColumn="0" w:firstRowLastColumn="0" w:lastRowFirstColumn="0" w:lastRowLastColumn="0"/>
            <w:tcW w:w="2128" w:type="pct"/>
          </w:tcPr>
          <w:p w14:paraId="75DB97E6" w14:textId="77777777" w:rsidR="002434B7" w:rsidRPr="000517A4" w:rsidRDefault="002434B7" w:rsidP="002434B7">
            <w:pPr>
              <w:pStyle w:val="ListBullet"/>
              <w:numPr>
                <w:ilvl w:val="0"/>
                <w:numId w:val="0"/>
              </w:numPr>
              <w:spacing w:before="20"/>
              <w:jc w:val="both"/>
              <w:rPr>
                <w:rFonts w:ascii="Calibri" w:hAnsi="Calibri" w:cs="Calibri"/>
                <w:i/>
                <w:iCs/>
              </w:rPr>
            </w:pPr>
            <w:r w:rsidRPr="000517A4">
              <w:rPr>
                <w:rFonts w:ascii="Calibri" w:hAnsi="Calibri" w:cs="Calibri"/>
                <w:i/>
                <w:iCs/>
              </w:rPr>
              <w:t>Supported-in-</w:t>
            </w:r>
            <w:proofErr w:type="gramStart"/>
            <w:r w:rsidRPr="000517A4">
              <w:rPr>
                <w:rFonts w:ascii="Calibri" w:hAnsi="Calibri" w:cs="Calibri"/>
                <w:i/>
                <w:iCs/>
              </w:rPr>
              <w:t>principle</w:t>
            </w:r>
            <w:proofErr w:type="gramEnd"/>
          </w:p>
          <w:p w14:paraId="3AD66D27" w14:textId="045F41AD" w:rsidR="002434B7" w:rsidRPr="000517A4" w:rsidRDefault="002434B7" w:rsidP="002434B7">
            <w:pPr>
              <w:pStyle w:val="TableTextLeft"/>
              <w:rPr>
                <w:rFonts w:ascii="Calibri" w:hAnsi="Calibri" w:cs="Calibri"/>
              </w:rPr>
            </w:pPr>
            <w:r w:rsidRPr="000517A4">
              <w:rPr>
                <w:rFonts w:ascii="Calibri" w:hAnsi="Calibri" w:cs="Calibri"/>
              </w:rPr>
              <w:t xml:space="preserve">The full responsibility for administering the civil penalty provisions applying to electricity network businesses should be assigned to ESV when it is established as a commission under the new consolidated safety legislation. Any decision to exempt a business from the application </w:t>
            </w:r>
            <w:r w:rsidRPr="000517A4">
              <w:rPr>
                <w:rFonts w:ascii="Calibri" w:hAnsi="Calibri" w:cs="Calibri"/>
              </w:rPr>
              <w:lastRenderedPageBreak/>
              <w:t>of the requirements subject to civil penalties should remain with the responsible Minister.</w:t>
            </w:r>
          </w:p>
        </w:tc>
        <w:tc>
          <w:tcPr>
            <w:tcW w:w="1848" w:type="pct"/>
          </w:tcPr>
          <w:p w14:paraId="4F2656B2" w14:textId="7F8E0B93" w:rsidR="002434B7" w:rsidRPr="000517A4" w:rsidRDefault="002434B7" w:rsidP="002434B7">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0517A4">
              <w:rPr>
                <w:rFonts w:ascii="Calibri" w:hAnsi="Calibri" w:cs="Calibri"/>
              </w:rPr>
              <w:lastRenderedPageBreak/>
              <w:t>As above for recommendation 3</w:t>
            </w:r>
            <w:r w:rsidR="007F18AD">
              <w:rPr>
                <w:rFonts w:ascii="Calibri" w:hAnsi="Calibri" w:cs="Calibri"/>
              </w:rPr>
              <w:t>4</w:t>
            </w:r>
            <w:r w:rsidRPr="000517A4">
              <w:rPr>
                <w:rFonts w:ascii="Calibri" w:hAnsi="Calibri" w:cs="Calibri"/>
              </w:rPr>
              <w:t>.</w:t>
            </w:r>
          </w:p>
        </w:tc>
        <w:tc>
          <w:tcPr>
            <w:cnfStyle w:val="000010000000" w:firstRow="0" w:lastRow="0" w:firstColumn="0" w:lastColumn="0" w:oddVBand="1" w:evenVBand="0" w:oddHBand="0" w:evenHBand="0" w:firstRowFirstColumn="0" w:firstRowLastColumn="0" w:lastRowFirstColumn="0" w:lastRowLastColumn="0"/>
            <w:tcW w:w="817" w:type="pct"/>
          </w:tcPr>
          <w:p w14:paraId="0CD8C93A" w14:textId="76D051FE" w:rsidR="002434B7" w:rsidRPr="000517A4" w:rsidRDefault="002434B7" w:rsidP="002434B7">
            <w:pPr>
              <w:pStyle w:val="TableTextLeft"/>
              <w:rPr>
                <w:rFonts w:ascii="Calibri" w:hAnsi="Calibri" w:cs="Calibri"/>
              </w:rPr>
            </w:pPr>
            <w:r w:rsidRPr="000517A4">
              <w:rPr>
                <w:rFonts w:ascii="Calibri" w:hAnsi="Calibri" w:cs="Calibri"/>
                <w:b/>
                <w:bCs/>
              </w:rPr>
              <w:t xml:space="preserve">On track </w:t>
            </w:r>
            <w:r w:rsidRPr="000517A4">
              <w:rPr>
                <w:rFonts w:ascii="Calibri" w:hAnsi="Calibri" w:cs="Calibri"/>
              </w:rPr>
              <w:t>– for completion by 2026</w:t>
            </w:r>
          </w:p>
        </w:tc>
      </w:tr>
      <w:tr w:rsidR="002434B7" w:rsidRPr="000517A4" w14:paraId="1C853718" w14:textId="77777777" w:rsidTr="000A59A8">
        <w:tc>
          <w:tcPr>
            <w:cnfStyle w:val="001000000000" w:firstRow="0" w:lastRow="0" w:firstColumn="1" w:lastColumn="0" w:oddVBand="0" w:evenVBand="0" w:oddHBand="0" w:evenHBand="0" w:firstRowFirstColumn="0" w:firstRowLastColumn="0" w:lastRowFirstColumn="0" w:lastRowLastColumn="0"/>
            <w:tcW w:w="207" w:type="pct"/>
          </w:tcPr>
          <w:p w14:paraId="5B525C22" w14:textId="30E6650D" w:rsidR="002434B7" w:rsidRPr="000517A4" w:rsidRDefault="002434B7" w:rsidP="002434B7">
            <w:pPr>
              <w:pStyle w:val="TableTextLeft"/>
              <w:rPr>
                <w:rFonts w:ascii="Calibri" w:hAnsi="Calibri" w:cs="Calibri"/>
              </w:rPr>
            </w:pPr>
            <w:r w:rsidRPr="000517A4">
              <w:rPr>
                <w:rFonts w:ascii="Calibri" w:hAnsi="Calibri" w:cs="Calibri"/>
              </w:rPr>
              <w:t>40</w:t>
            </w:r>
          </w:p>
        </w:tc>
        <w:tc>
          <w:tcPr>
            <w:cnfStyle w:val="000010000000" w:firstRow="0" w:lastRow="0" w:firstColumn="0" w:lastColumn="0" w:oddVBand="1" w:evenVBand="0" w:oddHBand="0" w:evenHBand="0" w:firstRowFirstColumn="0" w:firstRowLastColumn="0" w:lastRowFirstColumn="0" w:lastRowLastColumn="0"/>
            <w:tcW w:w="2128" w:type="pct"/>
          </w:tcPr>
          <w:p w14:paraId="11BF6D3B" w14:textId="77777777" w:rsidR="002434B7" w:rsidRPr="000517A4" w:rsidRDefault="002434B7" w:rsidP="002434B7">
            <w:pPr>
              <w:pStyle w:val="ListBullet"/>
              <w:numPr>
                <w:ilvl w:val="0"/>
                <w:numId w:val="0"/>
              </w:numPr>
              <w:spacing w:before="20"/>
              <w:jc w:val="both"/>
              <w:rPr>
                <w:rFonts w:ascii="Calibri" w:hAnsi="Calibri" w:cs="Calibri"/>
                <w:i/>
                <w:iCs/>
              </w:rPr>
            </w:pPr>
            <w:r w:rsidRPr="000517A4">
              <w:rPr>
                <w:rFonts w:ascii="Calibri" w:hAnsi="Calibri" w:cs="Calibri"/>
                <w:i/>
                <w:iCs/>
              </w:rPr>
              <w:t>Supported-in-</w:t>
            </w:r>
            <w:proofErr w:type="gramStart"/>
            <w:r w:rsidRPr="000517A4">
              <w:rPr>
                <w:rFonts w:ascii="Calibri" w:hAnsi="Calibri" w:cs="Calibri"/>
                <w:i/>
                <w:iCs/>
              </w:rPr>
              <w:t>principle</w:t>
            </w:r>
            <w:proofErr w:type="gramEnd"/>
          </w:p>
          <w:p w14:paraId="77CE2B2D" w14:textId="77777777" w:rsidR="002434B7" w:rsidRPr="000517A4" w:rsidRDefault="002434B7" w:rsidP="002434B7">
            <w:pPr>
              <w:pStyle w:val="ListBullet"/>
              <w:numPr>
                <w:ilvl w:val="0"/>
                <w:numId w:val="0"/>
              </w:numPr>
              <w:spacing w:before="20"/>
              <w:rPr>
                <w:rFonts w:ascii="Calibri" w:hAnsi="Calibri" w:cs="Calibri"/>
              </w:rPr>
            </w:pPr>
            <w:r w:rsidRPr="000517A4">
              <w:rPr>
                <w:rFonts w:ascii="Calibri" w:hAnsi="Calibri" w:cs="Calibri"/>
              </w:rPr>
              <w:t xml:space="preserve">The safety case provisions in the consolidated energy safety legislation should facilitate effective regulation by ESV including: </w:t>
            </w:r>
          </w:p>
          <w:p w14:paraId="3B5B46C6" w14:textId="77777777" w:rsidR="002434B7" w:rsidRPr="000517A4" w:rsidRDefault="002434B7" w:rsidP="002434B7">
            <w:pPr>
              <w:pStyle w:val="TableTextBullet"/>
              <w:numPr>
                <w:ilvl w:val="0"/>
                <w:numId w:val="49"/>
              </w:numPr>
              <w:spacing w:before="60" w:after="60" w:line="220" w:lineRule="atLeast"/>
              <w:ind w:right="113"/>
              <w:rPr>
                <w:rFonts w:ascii="Calibri" w:hAnsi="Calibri" w:cs="Calibri"/>
                <w:szCs w:val="22"/>
              </w:rPr>
            </w:pPr>
            <w:r w:rsidRPr="000517A4">
              <w:rPr>
                <w:rFonts w:ascii="Calibri" w:hAnsi="Calibri" w:cs="Calibri"/>
                <w:szCs w:val="22"/>
              </w:rPr>
              <w:t xml:space="preserve">providing broad discretion for ESV to request </w:t>
            </w:r>
            <w:proofErr w:type="gramStart"/>
            <w:r w:rsidRPr="000517A4">
              <w:rPr>
                <w:rFonts w:ascii="Calibri" w:hAnsi="Calibri" w:cs="Calibri"/>
                <w:szCs w:val="22"/>
              </w:rPr>
              <w:t>changes;</w:t>
            </w:r>
            <w:proofErr w:type="gramEnd"/>
            <w:r w:rsidRPr="000517A4">
              <w:rPr>
                <w:rFonts w:ascii="Calibri" w:hAnsi="Calibri" w:cs="Calibri"/>
                <w:szCs w:val="22"/>
              </w:rPr>
              <w:t xml:space="preserve"> </w:t>
            </w:r>
          </w:p>
          <w:p w14:paraId="37B6E349" w14:textId="77777777" w:rsidR="002434B7" w:rsidRPr="000517A4" w:rsidRDefault="002434B7" w:rsidP="002434B7">
            <w:pPr>
              <w:pStyle w:val="TableTextBullet"/>
              <w:numPr>
                <w:ilvl w:val="0"/>
                <w:numId w:val="49"/>
              </w:numPr>
              <w:spacing w:before="60" w:after="60" w:line="220" w:lineRule="atLeast"/>
              <w:ind w:right="113"/>
              <w:rPr>
                <w:rFonts w:ascii="Calibri" w:hAnsi="Calibri" w:cs="Calibri"/>
                <w:szCs w:val="22"/>
              </w:rPr>
            </w:pPr>
            <w:r w:rsidRPr="000517A4">
              <w:rPr>
                <w:rFonts w:ascii="Calibri" w:hAnsi="Calibri" w:cs="Calibri"/>
                <w:szCs w:val="22"/>
              </w:rPr>
              <w:t xml:space="preserve">providing the capacity for ESV to accept changes or request revisions without it requiring a full revision resetting the five-year revision </w:t>
            </w:r>
            <w:proofErr w:type="gramStart"/>
            <w:r w:rsidRPr="000517A4">
              <w:rPr>
                <w:rFonts w:ascii="Calibri" w:hAnsi="Calibri" w:cs="Calibri"/>
                <w:szCs w:val="22"/>
              </w:rPr>
              <w:t>period;</w:t>
            </w:r>
            <w:proofErr w:type="gramEnd"/>
            <w:r w:rsidRPr="000517A4">
              <w:rPr>
                <w:rFonts w:ascii="Calibri" w:hAnsi="Calibri" w:cs="Calibri"/>
                <w:szCs w:val="22"/>
              </w:rPr>
              <w:t xml:space="preserve"> </w:t>
            </w:r>
          </w:p>
          <w:p w14:paraId="7E3A3AB0" w14:textId="77777777" w:rsidR="002434B7" w:rsidRPr="000517A4" w:rsidRDefault="002434B7" w:rsidP="002434B7">
            <w:pPr>
              <w:pStyle w:val="TableTextBullet"/>
              <w:numPr>
                <w:ilvl w:val="0"/>
                <w:numId w:val="49"/>
              </w:numPr>
              <w:spacing w:before="60" w:after="60" w:line="220" w:lineRule="atLeast"/>
              <w:ind w:right="113"/>
              <w:rPr>
                <w:rFonts w:ascii="Calibri" w:hAnsi="Calibri" w:cs="Calibri"/>
                <w:szCs w:val="22"/>
              </w:rPr>
            </w:pPr>
            <w:r w:rsidRPr="000517A4">
              <w:rPr>
                <w:rFonts w:ascii="Calibri" w:hAnsi="Calibri" w:cs="Calibri"/>
                <w:szCs w:val="22"/>
              </w:rPr>
              <w:t xml:space="preserve">providing the capacity for ESV to require a full revision of a safety case resetting the five-year revision period, under circumstances where there has been a material change warranting a full revision; and </w:t>
            </w:r>
          </w:p>
          <w:p w14:paraId="01A57054" w14:textId="5FFA6F63" w:rsidR="002434B7" w:rsidRPr="005048DB" w:rsidRDefault="002434B7" w:rsidP="002434B7">
            <w:pPr>
              <w:pStyle w:val="TableTextBullet"/>
              <w:numPr>
                <w:ilvl w:val="0"/>
                <w:numId w:val="49"/>
              </w:numPr>
              <w:spacing w:before="60" w:after="60" w:line="220" w:lineRule="atLeast"/>
              <w:ind w:right="113"/>
              <w:rPr>
                <w:rFonts w:ascii="Calibri" w:hAnsi="Calibri" w:cs="Calibri"/>
                <w:szCs w:val="22"/>
              </w:rPr>
            </w:pPr>
            <w:r w:rsidRPr="000517A4">
              <w:rPr>
                <w:rFonts w:ascii="Calibri" w:hAnsi="Calibri" w:cs="Calibri"/>
                <w:szCs w:val="22"/>
              </w:rPr>
              <w:t>incorporating effective provisions to ensure network businesses have adequate safety cases in place.</w:t>
            </w:r>
          </w:p>
        </w:tc>
        <w:tc>
          <w:tcPr>
            <w:tcW w:w="1848" w:type="pct"/>
          </w:tcPr>
          <w:p w14:paraId="42D2F02D" w14:textId="639E84D1" w:rsidR="002434B7" w:rsidRPr="000517A4" w:rsidRDefault="002434B7" w:rsidP="002434B7">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0517A4">
              <w:rPr>
                <w:rFonts w:ascii="Calibri" w:hAnsi="Calibri" w:cs="Calibri"/>
              </w:rPr>
              <w:t>As above for recommendation 3</w:t>
            </w:r>
            <w:r w:rsidR="007F18AD">
              <w:rPr>
                <w:rFonts w:ascii="Calibri" w:hAnsi="Calibri" w:cs="Calibri"/>
              </w:rPr>
              <w:t>4</w:t>
            </w:r>
            <w:r w:rsidRPr="000517A4">
              <w:rPr>
                <w:rFonts w:ascii="Calibri" w:hAnsi="Calibri" w:cs="Calibri"/>
              </w:rPr>
              <w:t>.</w:t>
            </w:r>
          </w:p>
        </w:tc>
        <w:tc>
          <w:tcPr>
            <w:cnfStyle w:val="000010000000" w:firstRow="0" w:lastRow="0" w:firstColumn="0" w:lastColumn="0" w:oddVBand="1" w:evenVBand="0" w:oddHBand="0" w:evenHBand="0" w:firstRowFirstColumn="0" w:firstRowLastColumn="0" w:lastRowFirstColumn="0" w:lastRowLastColumn="0"/>
            <w:tcW w:w="817" w:type="pct"/>
          </w:tcPr>
          <w:p w14:paraId="3154C7E4" w14:textId="59AF6038" w:rsidR="002434B7" w:rsidRPr="000517A4" w:rsidRDefault="002434B7" w:rsidP="002434B7">
            <w:pPr>
              <w:pStyle w:val="TableTextLeft"/>
              <w:rPr>
                <w:rFonts w:ascii="Calibri" w:hAnsi="Calibri" w:cs="Calibri"/>
              </w:rPr>
            </w:pPr>
            <w:r w:rsidRPr="000517A4">
              <w:rPr>
                <w:rFonts w:ascii="Calibri" w:hAnsi="Calibri" w:cs="Calibri"/>
                <w:b/>
                <w:bCs/>
              </w:rPr>
              <w:t xml:space="preserve">On track </w:t>
            </w:r>
            <w:r w:rsidRPr="000517A4">
              <w:rPr>
                <w:rFonts w:ascii="Calibri" w:hAnsi="Calibri" w:cs="Calibri"/>
              </w:rPr>
              <w:t>– for completion by 2026</w:t>
            </w:r>
          </w:p>
        </w:tc>
      </w:tr>
      <w:tr w:rsidR="002434B7" w:rsidRPr="000517A4" w14:paraId="6D4D3E22" w14:textId="77777777" w:rsidTr="000A59A8">
        <w:tc>
          <w:tcPr>
            <w:cnfStyle w:val="001000000000" w:firstRow="0" w:lastRow="0" w:firstColumn="1" w:lastColumn="0" w:oddVBand="0" w:evenVBand="0" w:oddHBand="0" w:evenHBand="0" w:firstRowFirstColumn="0" w:firstRowLastColumn="0" w:lastRowFirstColumn="0" w:lastRowLastColumn="0"/>
            <w:tcW w:w="207" w:type="pct"/>
          </w:tcPr>
          <w:p w14:paraId="39C75293" w14:textId="380B38DC" w:rsidR="002434B7" w:rsidRPr="000517A4" w:rsidRDefault="002434B7" w:rsidP="002434B7">
            <w:pPr>
              <w:pStyle w:val="TableTextLeft"/>
              <w:rPr>
                <w:rFonts w:ascii="Calibri" w:hAnsi="Calibri" w:cs="Calibri"/>
              </w:rPr>
            </w:pPr>
            <w:r w:rsidRPr="000517A4">
              <w:rPr>
                <w:rFonts w:ascii="Calibri" w:hAnsi="Calibri" w:cs="Calibri"/>
              </w:rPr>
              <w:t>41</w:t>
            </w:r>
          </w:p>
        </w:tc>
        <w:tc>
          <w:tcPr>
            <w:cnfStyle w:val="000010000000" w:firstRow="0" w:lastRow="0" w:firstColumn="0" w:lastColumn="0" w:oddVBand="1" w:evenVBand="0" w:oddHBand="0" w:evenHBand="0" w:firstRowFirstColumn="0" w:firstRowLastColumn="0" w:lastRowFirstColumn="0" w:lastRowLastColumn="0"/>
            <w:tcW w:w="2128" w:type="pct"/>
          </w:tcPr>
          <w:p w14:paraId="219114B5" w14:textId="77777777" w:rsidR="002434B7" w:rsidRPr="000517A4" w:rsidRDefault="002434B7" w:rsidP="002434B7">
            <w:pPr>
              <w:pStyle w:val="ListBullet"/>
              <w:numPr>
                <w:ilvl w:val="0"/>
                <w:numId w:val="0"/>
              </w:numPr>
              <w:spacing w:before="20"/>
              <w:jc w:val="both"/>
              <w:rPr>
                <w:rFonts w:ascii="Calibri" w:hAnsi="Calibri" w:cs="Calibri"/>
                <w:i/>
                <w:iCs/>
              </w:rPr>
            </w:pPr>
            <w:r w:rsidRPr="000517A4">
              <w:rPr>
                <w:rFonts w:ascii="Calibri" w:hAnsi="Calibri" w:cs="Calibri"/>
                <w:i/>
                <w:iCs/>
              </w:rPr>
              <w:t>Supported-in-</w:t>
            </w:r>
            <w:proofErr w:type="gramStart"/>
            <w:r w:rsidRPr="000517A4">
              <w:rPr>
                <w:rFonts w:ascii="Calibri" w:hAnsi="Calibri" w:cs="Calibri"/>
                <w:i/>
                <w:iCs/>
              </w:rPr>
              <w:t>principle</w:t>
            </w:r>
            <w:proofErr w:type="gramEnd"/>
          </w:p>
          <w:p w14:paraId="2EB7A925" w14:textId="55D433DA" w:rsidR="002434B7" w:rsidRPr="000517A4" w:rsidRDefault="002434B7" w:rsidP="002434B7">
            <w:pPr>
              <w:pStyle w:val="TableTextLeft"/>
              <w:rPr>
                <w:rFonts w:ascii="Calibri" w:hAnsi="Calibri" w:cs="Calibri"/>
              </w:rPr>
            </w:pPr>
            <w:r w:rsidRPr="000517A4">
              <w:rPr>
                <w:rFonts w:ascii="Calibri" w:hAnsi="Calibri" w:cs="Calibri"/>
              </w:rPr>
              <w:t>As part of the consolidated safety legislation, ESV should be given sufficiently wide powers across sectors for requesting information to assist ESV in performing its functions. This should be informed by the powers available to the AER under the National Electricity Law.</w:t>
            </w:r>
          </w:p>
        </w:tc>
        <w:tc>
          <w:tcPr>
            <w:tcW w:w="1848" w:type="pct"/>
          </w:tcPr>
          <w:p w14:paraId="56E0BED1" w14:textId="465E72E6" w:rsidR="002434B7" w:rsidRPr="000517A4" w:rsidRDefault="002434B7" w:rsidP="002434B7">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0517A4">
              <w:rPr>
                <w:rFonts w:ascii="Calibri" w:hAnsi="Calibri" w:cs="Calibri"/>
              </w:rPr>
              <w:t>As above for recommendation 3</w:t>
            </w:r>
            <w:r w:rsidR="007F18AD">
              <w:rPr>
                <w:rFonts w:ascii="Calibri" w:hAnsi="Calibri" w:cs="Calibri"/>
              </w:rPr>
              <w:t>4</w:t>
            </w:r>
            <w:r w:rsidRPr="000517A4">
              <w:rPr>
                <w:rFonts w:ascii="Calibri" w:hAnsi="Calibri" w:cs="Calibri"/>
              </w:rPr>
              <w:t>.</w:t>
            </w:r>
          </w:p>
        </w:tc>
        <w:tc>
          <w:tcPr>
            <w:cnfStyle w:val="000010000000" w:firstRow="0" w:lastRow="0" w:firstColumn="0" w:lastColumn="0" w:oddVBand="1" w:evenVBand="0" w:oddHBand="0" w:evenHBand="0" w:firstRowFirstColumn="0" w:firstRowLastColumn="0" w:lastRowFirstColumn="0" w:lastRowLastColumn="0"/>
            <w:tcW w:w="817" w:type="pct"/>
          </w:tcPr>
          <w:p w14:paraId="0705319E" w14:textId="57985B6E" w:rsidR="002434B7" w:rsidRPr="000517A4" w:rsidRDefault="002434B7" w:rsidP="002434B7">
            <w:pPr>
              <w:pStyle w:val="TableTextLeft"/>
              <w:rPr>
                <w:rFonts w:ascii="Calibri" w:hAnsi="Calibri" w:cs="Calibri"/>
              </w:rPr>
            </w:pPr>
            <w:r w:rsidRPr="000517A4">
              <w:rPr>
                <w:rFonts w:ascii="Calibri" w:hAnsi="Calibri" w:cs="Calibri"/>
                <w:b/>
                <w:bCs/>
              </w:rPr>
              <w:t xml:space="preserve">On track </w:t>
            </w:r>
            <w:r w:rsidRPr="000517A4">
              <w:rPr>
                <w:rFonts w:ascii="Calibri" w:hAnsi="Calibri" w:cs="Calibri"/>
              </w:rPr>
              <w:t>– for completion by 2026</w:t>
            </w:r>
          </w:p>
        </w:tc>
      </w:tr>
      <w:tr w:rsidR="002434B7" w:rsidRPr="000517A4" w14:paraId="510ABB23" w14:textId="77777777" w:rsidTr="000A59A8">
        <w:tc>
          <w:tcPr>
            <w:cnfStyle w:val="001000000000" w:firstRow="0" w:lastRow="0" w:firstColumn="1" w:lastColumn="0" w:oddVBand="0" w:evenVBand="0" w:oddHBand="0" w:evenHBand="0" w:firstRowFirstColumn="0" w:firstRowLastColumn="0" w:lastRowFirstColumn="0" w:lastRowLastColumn="0"/>
            <w:tcW w:w="207" w:type="pct"/>
          </w:tcPr>
          <w:p w14:paraId="2BBAF448" w14:textId="0AF87536" w:rsidR="002434B7" w:rsidRPr="000517A4" w:rsidRDefault="002434B7" w:rsidP="002434B7">
            <w:pPr>
              <w:pStyle w:val="TableTextLeft"/>
              <w:rPr>
                <w:rFonts w:ascii="Calibri" w:hAnsi="Calibri" w:cs="Calibri"/>
              </w:rPr>
            </w:pPr>
            <w:r w:rsidRPr="000517A4">
              <w:rPr>
                <w:rFonts w:ascii="Calibri" w:hAnsi="Calibri" w:cs="Calibri"/>
              </w:rPr>
              <w:t>42</w:t>
            </w:r>
          </w:p>
        </w:tc>
        <w:tc>
          <w:tcPr>
            <w:cnfStyle w:val="000010000000" w:firstRow="0" w:lastRow="0" w:firstColumn="0" w:lastColumn="0" w:oddVBand="1" w:evenVBand="0" w:oddHBand="0" w:evenHBand="0" w:firstRowFirstColumn="0" w:firstRowLastColumn="0" w:lastRowFirstColumn="0" w:lastRowLastColumn="0"/>
            <w:tcW w:w="2128" w:type="pct"/>
          </w:tcPr>
          <w:p w14:paraId="78B561D2" w14:textId="77777777" w:rsidR="002434B7" w:rsidRPr="000517A4" w:rsidRDefault="002434B7" w:rsidP="002434B7">
            <w:pPr>
              <w:pStyle w:val="ListBullet"/>
              <w:numPr>
                <w:ilvl w:val="0"/>
                <w:numId w:val="0"/>
              </w:numPr>
              <w:spacing w:before="20"/>
              <w:jc w:val="both"/>
              <w:rPr>
                <w:rFonts w:ascii="Calibri" w:hAnsi="Calibri" w:cs="Calibri"/>
                <w:i/>
                <w:iCs/>
              </w:rPr>
            </w:pPr>
            <w:r w:rsidRPr="000517A4">
              <w:rPr>
                <w:rFonts w:ascii="Calibri" w:hAnsi="Calibri" w:cs="Calibri"/>
                <w:i/>
                <w:iCs/>
              </w:rPr>
              <w:t>Supported</w:t>
            </w:r>
          </w:p>
          <w:p w14:paraId="6176A0E2" w14:textId="77777777" w:rsidR="002434B7" w:rsidRPr="000517A4" w:rsidRDefault="002434B7" w:rsidP="002434B7">
            <w:pPr>
              <w:pStyle w:val="ListBullet"/>
              <w:numPr>
                <w:ilvl w:val="0"/>
                <w:numId w:val="0"/>
              </w:numPr>
              <w:spacing w:before="20"/>
              <w:rPr>
                <w:rFonts w:ascii="Calibri" w:hAnsi="Calibri" w:cs="Calibri"/>
              </w:rPr>
            </w:pPr>
            <w:r w:rsidRPr="000517A4">
              <w:rPr>
                <w:rFonts w:ascii="Calibri" w:hAnsi="Calibri" w:cs="Calibri"/>
              </w:rPr>
              <w:t xml:space="preserve">ESV should, in consultation with network businesses, further develop internal and external guidance on its expectations for safety cases, and its approach to evaluating safety cases for acceptance. This should include its approach and expectations for: </w:t>
            </w:r>
          </w:p>
          <w:p w14:paraId="325F313E" w14:textId="77777777" w:rsidR="006A458B" w:rsidRPr="000517A4" w:rsidRDefault="002434B7" w:rsidP="006A458B">
            <w:pPr>
              <w:pStyle w:val="TableTextBullet"/>
              <w:numPr>
                <w:ilvl w:val="0"/>
                <w:numId w:val="49"/>
              </w:numPr>
              <w:spacing w:before="60" w:after="60" w:line="220" w:lineRule="atLeast"/>
              <w:ind w:right="113"/>
              <w:rPr>
                <w:rFonts w:ascii="Calibri" w:hAnsi="Calibri" w:cs="Calibri"/>
                <w:szCs w:val="22"/>
              </w:rPr>
            </w:pPr>
            <w:r w:rsidRPr="000517A4">
              <w:rPr>
                <w:rFonts w:ascii="Calibri" w:hAnsi="Calibri" w:cs="Calibri"/>
                <w:szCs w:val="22"/>
              </w:rPr>
              <w:t xml:space="preserve">safety case components being clear, measurable and targeted to safety </w:t>
            </w:r>
            <w:proofErr w:type="gramStart"/>
            <w:r w:rsidRPr="000517A4">
              <w:rPr>
                <w:rFonts w:ascii="Calibri" w:hAnsi="Calibri" w:cs="Calibri"/>
                <w:szCs w:val="22"/>
              </w:rPr>
              <w:t>obligations;</w:t>
            </w:r>
            <w:proofErr w:type="gramEnd"/>
            <w:r w:rsidRPr="000517A4">
              <w:rPr>
                <w:rFonts w:ascii="Calibri" w:hAnsi="Calibri" w:cs="Calibri"/>
                <w:szCs w:val="22"/>
              </w:rPr>
              <w:t xml:space="preserve"> </w:t>
            </w:r>
          </w:p>
          <w:p w14:paraId="3E3A3C02" w14:textId="12932781" w:rsidR="002434B7" w:rsidRPr="000517A4" w:rsidRDefault="002434B7" w:rsidP="006A458B">
            <w:pPr>
              <w:pStyle w:val="TableTextBullet"/>
              <w:numPr>
                <w:ilvl w:val="0"/>
                <w:numId w:val="49"/>
              </w:numPr>
              <w:spacing w:before="60" w:after="60" w:line="220" w:lineRule="atLeast"/>
              <w:ind w:right="113"/>
              <w:rPr>
                <w:rFonts w:ascii="Calibri" w:hAnsi="Calibri" w:cs="Calibri"/>
                <w:szCs w:val="22"/>
              </w:rPr>
            </w:pPr>
            <w:r w:rsidRPr="000517A4">
              <w:rPr>
                <w:rFonts w:ascii="Calibri" w:hAnsi="Calibri" w:cs="Calibri"/>
                <w:szCs w:val="22"/>
              </w:rPr>
              <w:t>how a precaution-based approach is applied to managing safety risk; and safety case submission and revision processes.</w:t>
            </w:r>
          </w:p>
        </w:tc>
        <w:tc>
          <w:tcPr>
            <w:tcW w:w="1848" w:type="pct"/>
          </w:tcPr>
          <w:p w14:paraId="6F290F4C" w14:textId="77777777" w:rsidR="002434B7" w:rsidRPr="000517A4" w:rsidRDefault="002434B7" w:rsidP="002434B7">
            <w:pPr>
              <w:pStyle w:val="TableTextBullet"/>
              <w:numPr>
                <w:ilvl w:val="0"/>
                <w:numId w:val="0"/>
              </w:numPr>
              <w:ind w:left="282"/>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ESV has recognised improvements are required to the safety case regime and have completed significant work on providing better guidance to the regulated businesses on its expectations for a safety cases, and its approach for evaluating safety cases prior to acceptance.</w:t>
            </w:r>
          </w:p>
          <w:p w14:paraId="153CD218" w14:textId="77777777" w:rsidR="002434B7" w:rsidRPr="000517A4" w:rsidRDefault="002434B7" w:rsidP="002434B7">
            <w:pPr>
              <w:pStyle w:val="TableTextBullet"/>
              <w:numPr>
                <w:ilvl w:val="0"/>
                <w:numId w:val="0"/>
              </w:numPr>
              <w:ind w:left="282"/>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 xml:space="preserve">Safety case policy and guidelines for gas companies were also included in the documentation developed as part of the process to remake the Gas Safety (Safety Case) Regulations in 2018 and can be found at: </w:t>
            </w:r>
          </w:p>
          <w:p w14:paraId="1F0CB714" w14:textId="7244B72E" w:rsidR="002434B7" w:rsidRPr="00C20676" w:rsidRDefault="00000000" w:rsidP="00C20676">
            <w:pPr>
              <w:pStyle w:val="TableTextBullet"/>
              <w:numPr>
                <w:ilvl w:val="0"/>
                <w:numId w:val="0"/>
              </w:numPr>
              <w:ind w:left="282"/>
              <w:cnfStyle w:val="000000000000" w:firstRow="0" w:lastRow="0" w:firstColumn="0" w:lastColumn="0" w:oddVBand="0" w:evenVBand="0" w:oddHBand="0" w:evenHBand="0" w:firstRowFirstColumn="0" w:firstRowLastColumn="0" w:lastRowFirstColumn="0" w:lastRowLastColumn="0"/>
              <w:rPr>
                <w:rFonts w:ascii="Calibri" w:eastAsiaTheme="majorEastAsia" w:hAnsi="Calibri" w:cs="Calibri"/>
                <w:color w:val="0070C0"/>
                <w:u w:val="single"/>
              </w:rPr>
            </w:pPr>
            <w:hyperlink r:id="rId34" w:history="1">
              <w:r w:rsidR="002434B7" w:rsidRPr="000517A4">
                <w:rPr>
                  <w:rStyle w:val="Hyperlink"/>
                  <w:rFonts w:ascii="Calibri" w:eastAsiaTheme="majorEastAsia" w:hAnsi="Calibri" w:cs="Calibri"/>
                  <w:color w:val="0070C0"/>
                </w:rPr>
                <w:t>https://www.esv.vic.gov.au/sites/default/files/2022-12/Gas-Safety-Case-Preparation-and-Submission-for-facilities-and-pipelines.pdf</w:t>
              </w:r>
            </w:hyperlink>
          </w:p>
          <w:p w14:paraId="45D830E3" w14:textId="77777777" w:rsidR="002434B7" w:rsidRPr="000517A4" w:rsidRDefault="002434B7" w:rsidP="002434B7">
            <w:pPr>
              <w:pStyle w:val="ListBullet"/>
              <w:numPr>
                <w:ilvl w:val="0"/>
                <w:numId w:val="0"/>
              </w:numPr>
              <w:spacing w:before="20"/>
              <w:ind w:left="282"/>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 xml:space="preserve">Policy and guidelines were developed as part of the remake of the Electricity Safety (Management) Regulations 2019. The guidelines were also revised and expanded to provide </w:t>
            </w:r>
            <w:r w:rsidRPr="000517A4">
              <w:rPr>
                <w:rFonts w:ascii="Calibri" w:hAnsi="Calibri" w:cs="Calibri"/>
              </w:rPr>
              <w:lastRenderedPageBreak/>
              <w:t>guidance on ESV’s evaluation expectations, and processes for electricity safety management schemes.</w:t>
            </w:r>
          </w:p>
          <w:p w14:paraId="11D85E44" w14:textId="77777777" w:rsidR="002434B7" w:rsidRPr="000517A4" w:rsidRDefault="002434B7" w:rsidP="002434B7">
            <w:pPr>
              <w:pStyle w:val="ListBullet"/>
              <w:numPr>
                <w:ilvl w:val="0"/>
                <w:numId w:val="0"/>
              </w:numPr>
              <w:spacing w:before="20"/>
              <w:ind w:left="282"/>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517A4">
              <w:rPr>
                <w:rFonts w:ascii="Calibri" w:hAnsi="Calibri" w:cs="Calibri"/>
              </w:rPr>
              <w:t xml:space="preserve">External guidance (reporting guideline and template) was published online in December 2019. This can be found on ESV’s website at </w:t>
            </w:r>
            <w:hyperlink r:id="rId35" w:history="1">
              <w:r w:rsidRPr="000517A4">
                <w:rPr>
                  <w:rStyle w:val="Hyperlink"/>
                  <w:rFonts w:ascii="Calibri" w:eastAsiaTheme="majorEastAsia" w:hAnsi="Calibri" w:cs="Calibri"/>
                  <w:color w:val="0070C0"/>
                </w:rPr>
                <w:t>https://esv.vic.gov.au/about-esv/energy_regulatory_framework/policies-and-guidelines/</w:t>
              </w:r>
            </w:hyperlink>
          </w:p>
          <w:p w14:paraId="5B1CE800" w14:textId="25901F5A" w:rsidR="002434B7" w:rsidRPr="000517A4" w:rsidRDefault="002434B7" w:rsidP="005048DB">
            <w:pPr>
              <w:pStyle w:val="ListBullet"/>
              <w:numPr>
                <w:ilvl w:val="0"/>
                <w:numId w:val="0"/>
              </w:numPr>
              <w:spacing w:before="20"/>
              <w:ind w:left="282"/>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0517A4">
              <w:rPr>
                <w:rFonts w:ascii="Calibri" w:hAnsi="Calibri" w:cs="Calibri"/>
                <w:szCs w:val="18"/>
              </w:rPr>
              <w:t>Processes and tools for ESV to evaluate electricity safety management schemes were reviewed in late 2019.</w:t>
            </w:r>
          </w:p>
        </w:tc>
        <w:tc>
          <w:tcPr>
            <w:cnfStyle w:val="000010000000" w:firstRow="0" w:lastRow="0" w:firstColumn="0" w:lastColumn="0" w:oddVBand="1" w:evenVBand="0" w:oddHBand="0" w:evenHBand="0" w:firstRowFirstColumn="0" w:firstRowLastColumn="0" w:lastRowFirstColumn="0" w:lastRowLastColumn="0"/>
            <w:tcW w:w="817" w:type="pct"/>
          </w:tcPr>
          <w:p w14:paraId="7EFD2894" w14:textId="3D41B8D4" w:rsidR="002434B7" w:rsidRPr="000517A4" w:rsidRDefault="002434B7" w:rsidP="002434B7">
            <w:pPr>
              <w:pStyle w:val="TableTextLeft"/>
              <w:rPr>
                <w:rFonts w:ascii="Calibri" w:hAnsi="Calibri" w:cs="Calibri"/>
              </w:rPr>
            </w:pPr>
            <w:r w:rsidRPr="000517A4">
              <w:rPr>
                <w:rFonts w:ascii="Calibri" w:hAnsi="Calibri" w:cs="Calibri"/>
                <w:b/>
                <w:bCs/>
              </w:rPr>
              <w:lastRenderedPageBreak/>
              <w:t>Complete</w:t>
            </w:r>
          </w:p>
        </w:tc>
      </w:tr>
      <w:tr w:rsidR="002434B7" w:rsidRPr="000517A4" w14:paraId="26D75F5B" w14:textId="77777777" w:rsidTr="000A59A8">
        <w:tc>
          <w:tcPr>
            <w:cnfStyle w:val="001000000000" w:firstRow="0" w:lastRow="0" w:firstColumn="1" w:lastColumn="0" w:oddVBand="0" w:evenVBand="0" w:oddHBand="0" w:evenHBand="0" w:firstRowFirstColumn="0" w:firstRowLastColumn="0" w:lastRowFirstColumn="0" w:lastRowLastColumn="0"/>
            <w:tcW w:w="207" w:type="pct"/>
          </w:tcPr>
          <w:p w14:paraId="6C089424" w14:textId="1D5C6E51" w:rsidR="002434B7" w:rsidRPr="000517A4" w:rsidRDefault="002434B7" w:rsidP="002434B7">
            <w:pPr>
              <w:pStyle w:val="TableTextLeft"/>
              <w:rPr>
                <w:rFonts w:ascii="Calibri" w:hAnsi="Calibri" w:cs="Calibri"/>
              </w:rPr>
            </w:pPr>
            <w:r w:rsidRPr="000517A4">
              <w:rPr>
                <w:rFonts w:ascii="Calibri" w:hAnsi="Calibri" w:cs="Calibri"/>
              </w:rPr>
              <w:t>43</w:t>
            </w:r>
          </w:p>
        </w:tc>
        <w:tc>
          <w:tcPr>
            <w:cnfStyle w:val="000010000000" w:firstRow="0" w:lastRow="0" w:firstColumn="0" w:lastColumn="0" w:oddVBand="1" w:evenVBand="0" w:oddHBand="0" w:evenHBand="0" w:firstRowFirstColumn="0" w:firstRowLastColumn="0" w:lastRowFirstColumn="0" w:lastRowLastColumn="0"/>
            <w:tcW w:w="2128" w:type="pct"/>
          </w:tcPr>
          <w:p w14:paraId="7E00CFF8" w14:textId="77777777" w:rsidR="002434B7" w:rsidRPr="000517A4" w:rsidRDefault="002434B7" w:rsidP="002434B7">
            <w:pPr>
              <w:pStyle w:val="ListBullet"/>
              <w:numPr>
                <w:ilvl w:val="0"/>
                <w:numId w:val="0"/>
              </w:numPr>
              <w:spacing w:before="20"/>
              <w:jc w:val="both"/>
              <w:rPr>
                <w:rFonts w:ascii="Calibri" w:hAnsi="Calibri" w:cs="Calibri"/>
                <w:i/>
                <w:iCs/>
              </w:rPr>
            </w:pPr>
            <w:r w:rsidRPr="000517A4">
              <w:rPr>
                <w:rFonts w:ascii="Calibri" w:hAnsi="Calibri" w:cs="Calibri"/>
                <w:i/>
                <w:iCs/>
              </w:rPr>
              <w:t>Supported-in-</w:t>
            </w:r>
            <w:proofErr w:type="gramStart"/>
            <w:r w:rsidRPr="000517A4">
              <w:rPr>
                <w:rFonts w:ascii="Calibri" w:hAnsi="Calibri" w:cs="Calibri"/>
                <w:i/>
                <w:iCs/>
              </w:rPr>
              <w:t>principle</w:t>
            </w:r>
            <w:proofErr w:type="gramEnd"/>
          </w:p>
          <w:p w14:paraId="0037664B" w14:textId="77777777" w:rsidR="002434B7" w:rsidRPr="000517A4" w:rsidRDefault="002434B7" w:rsidP="002434B7">
            <w:pPr>
              <w:pStyle w:val="ListBullet"/>
              <w:numPr>
                <w:ilvl w:val="0"/>
                <w:numId w:val="0"/>
              </w:numPr>
              <w:spacing w:before="20"/>
              <w:rPr>
                <w:rFonts w:ascii="Calibri" w:hAnsi="Calibri" w:cs="Calibri"/>
              </w:rPr>
            </w:pPr>
            <w:r w:rsidRPr="000517A4">
              <w:rPr>
                <w:rFonts w:ascii="Calibri" w:hAnsi="Calibri" w:cs="Calibri"/>
              </w:rPr>
              <w:t>The consolidated safety legislation should provide for the review of ESV by an independent expert panel appointed by the responsible Minister every five years.</w:t>
            </w:r>
          </w:p>
          <w:p w14:paraId="20281820" w14:textId="77777777" w:rsidR="002434B7" w:rsidRPr="000517A4" w:rsidRDefault="002434B7" w:rsidP="002434B7">
            <w:pPr>
              <w:pStyle w:val="TableTextLeft"/>
              <w:rPr>
                <w:rFonts w:ascii="Calibri" w:hAnsi="Calibri" w:cs="Calibri"/>
              </w:rPr>
            </w:pPr>
          </w:p>
        </w:tc>
        <w:tc>
          <w:tcPr>
            <w:tcW w:w="1848" w:type="pct"/>
          </w:tcPr>
          <w:p w14:paraId="3D323E98" w14:textId="685BEED6" w:rsidR="002434B7" w:rsidRPr="000517A4" w:rsidRDefault="002434B7" w:rsidP="002434B7">
            <w:pPr>
              <w:pStyle w:val="ListBullet"/>
              <w:numPr>
                <w:ilvl w:val="0"/>
                <w:numId w:val="0"/>
              </w:numPr>
              <w:spacing w:before="20"/>
              <w:ind w:left="319"/>
              <w:cnfStyle w:val="000000000000" w:firstRow="0" w:lastRow="0" w:firstColumn="0" w:lastColumn="0" w:oddVBand="0" w:evenVBand="0" w:oddHBand="0" w:evenHBand="0" w:firstRowFirstColumn="0" w:firstRowLastColumn="0" w:lastRowFirstColumn="0" w:lastRowLastColumn="0"/>
              <w:rPr>
                <w:rFonts w:ascii="Calibri" w:hAnsi="Calibri" w:cs="Calibri"/>
                <w:szCs w:val="18"/>
              </w:rPr>
            </w:pPr>
            <w:r w:rsidRPr="000517A4">
              <w:rPr>
                <w:rFonts w:ascii="Calibri" w:hAnsi="Calibri" w:cs="Calibri"/>
              </w:rPr>
              <w:t xml:space="preserve">As above (recommendations 34, 37, 38, 39, 40, 41), as part of the 2023 State Budget </w:t>
            </w:r>
            <w:r w:rsidRPr="000517A4">
              <w:rPr>
                <w:rFonts w:ascii="Calibri" w:hAnsi="Calibri" w:cs="Calibri"/>
                <w:i/>
                <w:iCs/>
              </w:rPr>
              <w:t>‘A safe and just community transition to renewable energy’</w:t>
            </w:r>
            <w:r w:rsidRPr="000517A4">
              <w:rPr>
                <w:rFonts w:ascii="Calibri" w:hAnsi="Calibri" w:cs="Calibri"/>
              </w:rPr>
              <w:t xml:space="preserve"> funding initiative, DEECA is establishing an Energy Safety Review. The Review is intended to include an Energy Safety Bill in 2024, building on the previous work completed under the </w:t>
            </w:r>
            <w:r w:rsidRPr="000517A4">
              <w:rPr>
                <w:rFonts w:ascii="Calibri" w:hAnsi="Calibri" w:cs="Calibri"/>
                <w:i/>
                <w:iCs/>
              </w:rPr>
              <w:t xml:space="preserve">Energy Legislation Amendment (Energy Safety) Act 2023, </w:t>
            </w:r>
            <w:r w:rsidRPr="000517A4">
              <w:rPr>
                <w:rFonts w:ascii="Calibri" w:hAnsi="Calibri" w:cs="Calibri"/>
              </w:rPr>
              <w:t xml:space="preserve">and an energy Safety Roadmap, both activities to develop outcomes to ensure that the energy legislative framework is equipped to respond to the challenges and opportunities of the energy transition.                                                                                                                                     </w:t>
            </w:r>
          </w:p>
        </w:tc>
        <w:tc>
          <w:tcPr>
            <w:cnfStyle w:val="000010000000" w:firstRow="0" w:lastRow="0" w:firstColumn="0" w:lastColumn="0" w:oddVBand="1" w:evenVBand="0" w:oddHBand="0" w:evenHBand="0" w:firstRowFirstColumn="0" w:firstRowLastColumn="0" w:lastRowFirstColumn="0" w:lastRowLastColumn="0"/>
            <w:tcW w:w="817" w:type="pct"/>
          </w:tcPr>
          <w:p w14:paraId="4B98252F" w14:textId="29E66C4D" w:rsidR="002434B7" w:rsidRPr="000517A4" w:rsidRDefault="002434B7" w:rsidP="002434B7">
            <w:pPr>
              <w:pStyle w:val="TableTextLeft"/>
              <w:rPr>
                <w:rFonts w:ascii="Calibri" w:hAnsi="Calibri" w:cs="Calibri"/>
              </w:rPr>
            </w:pPr>
            <w:r w:rsidRPr="000517A4">
              <w:rPr>
                <w:rFonts w:ascii="Calibri" w:hAnsi="Calibri" w:cs="Calibri"/>
                <w:b/>
                <w:bCs/>
              </w:rPr>
              <w:t xml:space="preserve">On track </w:t>
            </w:r>
            <w:r w:rsidRPr="000517A4">
              <w:rPr>
                <w:rFonts w:ascii="Calibri" w:hAnsi="Calibri" w:cs="Calibri"/>
              </w:rPr>
              <w:t>– for completion by 2026</w:t>
            </w:r>
          </w:p>
        </w:tc>
      </w:tr>
    </w:tbl>
    <w:p w14:paraId="06BF4B3A" w14:textId="77777777" w:rsidR="000518FE" w:rsidRDefault="000518FE" w:rsidP="00E97B47">
      <w:pPr>
        <w:pStyle w:val="BodyText"/>
        <w:rPr>
          <w:rFonts w:ascii="Calibri" w:eastAsiaTheme="majorEastAsia" w:hAnsi="Calibri" w:cs="Calibri"/>
          <w:b/>
          <w:bCs/>
          <w:color w:val="201547" w:themeColor="text2"/>
          <w:spacing w:val="-2"/>
          <w:sz w:val="24"/>
          <w:szCs w:val="24"/>
        </w:rPr>
      </w:pPr>
    </w:p>
    <w:p w14:paraId="18C5D945" w14:textId="77777777" w:rsidR="000518FE" w:rsidRDefault="000518FE" w:rsidP="00E97B47">
      <w:pPr>
        <w:pStyle w:val="BodyText"/>
        <w:rPr>
          <w:rFonts w:ascii="Calibri" w:eastAsiaTheme="majorEastAsia" w:hAnsi="Calibri" w:cs="Calibri"/>
          <w:b/>
          <w:bCs/>
          <w:color w:val="201547" w:themeColor="text2"/>
          <w:spacing w:val="-2"/>
          <w:sz w:val="24"/>
          <w:szCs w:val="24"/>
        </w:rPr>
      </w:pPr>
    </w:p>
    <w:p w14:paraId="6C83A401" w14:textId="73B59945" w:rsidR="00D6796E" w:rsidRPr="000517A4" w:rsidRDefault="00DA5744" w:rsidP="00E97B47">
      <w:pPr>
        <w:pStyle w:val="BodyText"/>
        <w:rPr>
          <w:rFonts w:ascii="Calibri" w:eastAsiaTheme="majorEastAsia" w:hAnsi="Calibri" w:cs="Calibri"/>
          <w:b/>
          <w:bCs/>
          <w:color w:val="201547" w:themeColor="text2"/>
          <w:spacing w:val="-2"/>
          <w:sz w:val="24"/>
          <w:szCs w:val="24"/>
        </w:rPr>
      </w:pPr>
      <w:r w:rsidRPr="000517A4">
        <w:rPr>
          <w:rFonts w:ascii="Calibri" w:eastAsiaTheme="majorEastAsia" w:hAnsi="Calibri" w:cs="Calibri"/>
          <w:b/>
          <w:bCs/>
          <w:color w:val="201547" w:themeColor="text2"/>
          <w:spacing w:val="-2"/>
          <w:sz w:val="24"/>
          <w:szCs w:val="24"/>
        </w:rPr>
        <w:t xml:space="preserve">Implementation of an electrical </w:t>
      </w:r>
      <w:proofErr w:type="spellStart"/>
      <w:r w:rsidRPr="000517A4">
        <w:rPr>
          <w:rFonts w:ascii="Calibri" w:eastAsiaTheme="majorEastAsia" w:hAnsi="Calibri" w:cs="Calibri"/>
          <w:b/>
          <w:bCs/>
          <w:color w:val="201547" w:themeColor="text2"/>
          <w:spacing w:val="-2"/>
          <w:sz w:val="24"/>
          <w:szCs w:val="24"/>
        </w:rPr>
        <w:t>lineworker</w:t>
      </w:r>
      <w:proofErr w:type="spellEnd"/>
      <w:r w:rsidRPr="000517A4">
        <w:rPr>
          <w:rFonts w:ascii="Calibri" w:eastAsiaTheme="majorEastAsia" w:hAnsi="Calibri" w:cs="Calibri"/>
          <w:b/>
          <w:bCs/>
          <w:color w:val="201547" w:themeColor="text2"/>
          <w:spacing w:val="-2"/>
          <w:sz w:val="24"/>
          <w:szCs w:val="24"/>
        </w:rPr>
        <w:t xml:space="preserve"> licensing scheme</w:t>
      </w:r>
    </w:p>
    <w:p w14:paraId="2B08D33E" w14:textId="77777777" w:rsidR="00297B92" w:rsidRPr="000517A4" w:rsidRDefault="00297B92" w:rsidP="00297B92">
      <w:pPr>
        <w:pStyle w:val="ListBullet"/>
        <w:numPr>
          <w:ilvl w:val="0"/>
          <w:numId w:val="0"/>
        </w:numPr>
        <w:rPr>
          <w:rFonts w:ascii="Calibri" w:hAnsi="Calibri" w:cs="Calibri"/>
        </w:rPr>
      </w:pPr>
      <w:r w:rsidRPr="000517A4">
        <w:rPr>
          <w:rFonts w:ascii="Calibri" w:hAnsi="Calibri" w:cs="Calibri"/>
        </w:rPr>
        <w:t xml:space="preserve">Although not a Grimes Review recommendation, the Government Response to the Grimes Review also recommended that options be considered for the introduction of a licensing scheme for electrical </w:t>
      </w:r>
      <w:proofErr w:type="spellStart"/>
      <w:r w:rsidRPr="000517A4">
        <w:rPr>
          <w:rFonts w:ascii="Calibri" w:hAnsi="Calibri" w:cs="Calibri"/>
        </w:rPr>
        <w:t>lineworkers</w:t>
      </w:r>
      <w:proofErr w:type="spellEnd"/>
      <w:r w:rsidRPr="000517A4">
        <w:rPr>
          <w:rFonts w:ascii="Calibri" w:hAnsi="Calibri" w:cs="Calibri"/>
        </w:rPr>
        <w:t xml:space="preserve"> to enhance ESV’s oversight of the industry. </w:t>
      </w:r>
    </w:p>
    <w:p w14:paraId="0C9CB6B0" w14:textId="77777777" w:rsidR="00297B92" w:rsidRPr="000517A4" w:rsidRDefault="00297B92" w:rsidP="00297B92">
      <w:pPr>
        <w:pStyle w:val="ListBullet"/>
        <w:numPr>
          <w:ilvl w:val="0"/>
          <w:numId w:val="0"/>
        </w:numPr>
        <w:rPr>
          <w:rFonts w:ascii="Calibri" w:hAnsi="Calibri" w:cs="Calibri"/>
        </w:rPr>
      </w:pPr>
      <w:r w:rsidRPr="000517A4">
        <w:rPr>
          <w:rFonts w:ascii="Calibri" w:hAnsi="Calibri" w:cs="Calibri"/>
        </w:rPr>
        <w:t xml:space="preserve">The Victorian Government made an election commitment in November 2018 to license electrical </w:t>
      </w:r>
      <w:proofErr w:type="spellStart"/>
      <w:r w:rsidRPr="000517A4">
        <w:rPr>
          <w:rFonts w:ascii="Calibri" w:hAnsi="Calibri" w:cs="Calibri"/>
        </w:rPr>
        <w:t>lineworkers</w:t>
      </w:r>
      <w:proofErr w:type="spellEnd"/>
      <w:r w:rsidRPr="000517A4">
        <w:rPr>
          <w:rFonts w:ascii="Calibri" w:hAnsi="Calibri" w:cs="Calibri"/>
        </w:rPr>
        <w:t xml:space="preserve"> by 1 January 2021.  </w:t>
      </w:r>
    </w:p>
    <w:p w14:paraId="73192426" w14:textId="77777777" w:rsidR="00297B92" w:rsidRPr="000517A4" w:rsidRDefault="00297B92" w:rsidP="00297B92">
      <w:pPr>
        <w:pStyle w:val="ListBullet"/>
        <w:numPr>
          <w:ilvl w:val="0"/>
          <w:numId w:val="0"/>
        </w:numPr>
        <w:rPr>
          <w:rFonts w:ascii="Calibri" w:hAnsi="Calibri" w:cs="Calibri"/>
        </w:rPr>
      </w:pPr>
      <w:r w:rsidRPr="000517A4">
        <w:rPr>
          <w:rFonts w:ascii="Calibri" w:hAnsi="Calibri" w:cs="Calibri"/>
        </w:rPr>
        <w:t xml:space="preserve">The </w:t>
      </w:r>
      <w:r w:rsidRPr="000517A4">
        <w:rPr>
          <w:rFonts w:ascii="Calibri" w:hAnsi="Calibri" w:cs="Calibri"/>
          <w:i/>
          <w:iCs/>
        </w:rPr>
        <w:t>Energy Safety Legislation Amendment (Victorian Energy Safety Commission and Other Matters) Act 2020</w:t>
      </w:r>
      <w:r w:rsidRPr="000517A4">
        <w:rPr>
          <w:rFonts w:ascii="Calibri" w:hAnsi="Calibri" w:cs="Calibri"/>
        </w:rPr>
        <w:t xml:space="preserve"> gave ESV the power to license </w:t>
      </w:r>
      <w:proofErr w:type="spellStart"/>
      <w:r w:rsidRPr="000517A4">
        <w:rPr>
          <w:rFonts w:ascii="Calibri" w:hAnsi="Calibri" w:cs="Calibri"/>
        </w:rPr>
        <w:t>lineworkers</w:t>
      </w:r>
      <w:proofErr w:type="spellEnd"/>
      <w:r w:rsidRPr="000517A4">
        <w:rPr>
          <w:rFonts w:ascii="Calibri" w:hAnsi="Calibri" w:cs="Calibri"/>
        </w:rPr>
        <w:t xml:space="preserve">, while the remade Electricity Safety (Registration and Licensing) Regulations 2020, provided the regulatory framework to issue licences. </w:t>
      </w:r>
    </w:p>
    <w:p w14:paraId="268CB812" w14:textId="77777777" w:rsidR="00297B92" w:rsidRPr="000517A4" w:rsidRDefault="00297B92" w:rsidP="00297B92">
      <w:pPr>
        <w:pStyle w:val="ListBullet"/>
        <w:numPr>
          <w:ilvl w:val="0"/>
          <w:numId w:val="0"/>
        </w:numPr>
        <w:rPr>
          <w:rFonts w:ascii="Calibri" w:hAnsi="Calibri" w:cs="Calibri"/>
        </w:rPr>
      </w:pPr>
      <w:r w:rsidRPr="000517A4">
        <w:rPr>
          <w:rFonts w:ascii="Calibri" w:hAnsi="Calibri" w:cs="Calibri"/>
        </w:rPr>
        <w:t xml:space="preserve">Stakeholder consultation occurred throughout the process, ensuring that the licensing scheme was designed in partnership with </w:t>
      </w:r>
      <w:proofErr w:type="spellStart"/>
      <w:r w:rsidRPr="000517A4">
        <w:rPr>
          <w:rFonts w:ascii="Calibri" w:hAnsi="Calibri" w:cs="Calibri"/>
        </w:rPr>
        <w:t>lineworkers</w:t>
      </w:r>
      <w:proofErr w:type="spellEnd"/>
      <w:r w:rsidRPr="000517A4">
        <w:rPr>
          <w:rFonts w:ascii="Calibri" w:hAnsi="Calibri" w:cs="Calibri"/>
        </w:rPr>
        <w:t xml:space="preserve"> and network businesses. </w:t>
      </w:r>
    </w:p>
    <w:p w14:paraId="7F7E6486" w14:textId="00B82C25" w:rsidR="00297B92" w:rsidRPr="000517A4" w:rsidRDefault="00297B92" w:rsidP="00297B92">
      <w:pPr>
        <w:pStyle w:val="ListBullet"/>
        <w:numPr>
          <w:ilvl w:val="0"/>
          <w:numId w:val="0"/>
        </w:numPr>
        <w:rPr>
          <w:rFonts w:ascii="Calibri" w:hAnsi="Calibri" w:cs="Calibri"/>
        </w:rPr>
      </w:pPr>
      <w:r w:rsidRPr="000517A4">
        <w:rPr>
          <w:rFonts w:ascii="Calibri" w:hAnsi="Calibri" w:cs="Calibri"/>
        </w:rPr>
        <w:t xml:space="preserve">The scheme commenced on 1 January 2021 with the licensing of over 2000 existing </w:t>
      </w:r>
      <w:proofErr w:type="spellStart"/>
      <w:r w:rsidRPr="000517A4">
        <w:rPr>
          <w:rFonts w:ascii="Calibri" w:hAnsi="Calibri" w:cs="Calibri"/>
        </w:rPr>
        <w:t>lineworkers</w:t>
      </w:r>
      <w:proofErr w:type="spellEnd"/>
      <w:r w:rsidRPr="000517A4">
        <w:rPr>
          <w:rFonts w:ascii="Calibri" w:hAnsi="Calibri" w:cs="Calibri"/>
        </w:rPr>
        <w:t xml:space="preserve">. Licences will improve safety outcomes and maintain professional standards through mandating the minimum qualifications and experience required to work safely on the transmission and distribution networks. More information can be found on the ESV website – </w:t>
      </w:r>
      <w:hyperlink r:id="rId36" w:history="1">
        <w:r w:rsidRPr="000517A4">
          <w:rPr>
            <w:rFonts w:ascii="Calibri" w:hAnsi="Calibri" w:cs="Calibri"/>
            <w:color w:val="0070C0"/>
            <w:u w:val="single"/>
          </w:rPr>
          <w:t>www.esv.vic.gov.au</w:t>
        </w:r>
      </w:hyperlink>
      <w:r w:rsidRPr="000517A4">
        <w:rPr>
          <w:rFonts w:ascii="Calibri" w:hAnsi="Calibri" w:cs="Calibri"/>
          <w:color w:val="232222" w:themeColor="text1"/>
        </w:rPr>
        <w:t>.</w:t>
      </w:r>
      <w:r w:rsidRPr="000517A4">
        <w:rPr>
          <w:rFonts w:ascii="Calibri" w:hAnsi="Calibri" w:cs="Calibri"/>
        </w:rPr>
        <w:t xml:space="preserve"> </w:t>
      </w:r>
    </w:p>
    <w:p w14:paraId="45471DC1" w14:textId="77777777" w:rsidR="00DA5744" w:rsidRPr="000517A4" w:rsidRDefault="00DA5744" w:rsidP="00E97B47">
      <w:pPr>
        <w:pStyle w:val="BodyText"/>
        <w:rPr>
          <w:rFonts w:ascii="Calibri" w:eastAsiaTheme="majorEastAsia" w:hAnsi="Calibri" w:cs="Calibri"/>
          <w:b/>
          <w:bCs/>
          <w:color w:val="201547" w:themeColor="text2"/>
          <w:spacing w:val="-2"/>
          <w:sz w:val="24"/>
          <w:szCs w:val="24"/>
        </w:rPr>
      </w:pPr>
    </w:p>
    <w:sectPr w:rsidR="00DA5744" w:rsidRPr="000517A4" w:rsidSect="006A777D">
      <w:type w:val="continuous"/>
      <w:pgSz w:w="16839" w:h="11907" w:orient="landscape" w:code="9"/>
      <w:pgMar w:top="1134" w:right="1134" w:bottom="1134" w:left="1134" w:header="283" w:footer="28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AE0B0" w14:textId="77777777" w:rsidR="00A87065" w:rsidRDefault="00A87065" w:rsidP="00CD157B">
      <w:pPr>
        <w:pStyle w:val="NoSpacing"/>
      </w:pPr>
    </w:p>
  </w:endnote>
  <w:endnote w:type="continuationSeparator" w:id="0">
    <w:p w14:paraId="6DDE941F" w14:textId="77777777" w:rsidR="00A87065" w:rsidRDefault="00A87065" w:rsidP="00CD157B">
      <w:pPr>
        <w:pStyle w:val="NoSpacing"/>
      </w:pPr>
    </w:p>
  </w:endnote>
  <w:endnote w:type="continuationNotice" w:id="1">
    <w:p w14:paraId="0F70E9FC" w14:textId="77777777" w:rsidR="00A87065" w:rsidRDefault="00A87065" w:rsidP="00CD157B">
      <w:pPr>
        <w:pStyle w:val="NoSpacing"/>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13379" w:type="dxa"/>
      <w:tblLayout w:type="fixed"/>
      <w:tblCellMar>
        <w:bottom w:w="284" w:type="dxa"/>
      </w:tblCellMar>
      <w:tblLook w:val="04A0" w:firstRow="1" w:lastRow="0" w:firstColumn="1" w:lastColumn="0" w:noHBand="0" w:noVBand="1"/>
    </w:tblPr>
    <w:tblGrid>
      <w:gridCol w:w="340"/>
      <w:gridCol w:w="13039"/>
    </w:tblGrid>
    <w:tr w:rsidR="00CD157B" w14:paraId="760FDF54" w14:textId="77777777" w:rsidTr="00BE1C3D">
      <w:trPr>
        <w:trHeight w:val="397"/>
      </w:trPr>
      <w:tc>
        <w:tcPr>
          <w:tcW w:w="340" w:type="dxa"/>
        </w:tcPr>
        <w:p w14:paraId="153F07C6" w14:textId="6040A5A3" w:rsidR="00CD157B" w:rsidRPr="00D55628" w:rsidRDefault="008973BF" w:rsidP="00376EF3">
          <w:pPr>
            <w:pStyle w:val="FooterEvenPageNumber"/>
            <w:framePr w:wrap="auto" w:vAnchor="margin" w:hAnchor="text" w:yAlign="inline"/>
          </w:pPr>
          <w:r>
            <w:rPr>
              <w:noProof/>
            </w:rPr>
            <mc:AlternateContent>
              <mc:Choice Requires="wps">
                <w:drawing>
                  <wp:anchor distT="0" distB="0" distL="0" distR="0" simplePos="0" relativeHeight="251659264" behindDoc="0" locked="0" layoutInCell="1" allowOverlap="1" wp14:anchorId="2B1F3548" wp14:editId="353C24A9">
                    <wp:simplePos x="635" y="635"/>
                    <wp:positionH relativeFrom="page">
                      <wp:align>center</wp:align>
                    </wp:positionH>
                    <wp:positionV relativeFrom="page">
                      <wp:align>bottom</wp:align>
                    </wp:positionV>
                    <wp:extent cx="443865" cy="443865"/>
                    <wp:effectExtent l="0" t="0" r="12700" b="0"/>
                    <wp:wrapNone/>
                    <wp:docPr id="33" name="Text Box 3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FE97E9" w14:textId="7316AC5E" w:rsidR="008973BF" w:rsidRPr="008973BF" w:rsidRDefault="008973BF" w:rsidP="008973BF">
                                <w:pPr>
                                  <w:spacing w:after="0"/>
                                  <w:rPr>
                                    <w:rFonts w:ascii="Calibri" w:eastAsia="Calibri" w:hAnsi="Calibri" w:cs="Calibri"/>
                                    <w:noProof/>
                                    <w:color w:val="000000"/>
                                    <w:sz w:val="24"/>
                                    <w:szCs w:val="24"/>
                                  </w:rPr>
                                </w:pPr>
                                <w:r w:rsidRPr="008973BF">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1F3548" id="_x0000_t202" coordsize="21600,21600" o:spt="202" path="m,l,21600r21600,l21600,xe">
                    <v:stroke joinstyle="miter"/>
                    <v:path gradientshapeok="t" o:connecttype="rect"/>
                  </v:shapetype>
                  <v:shape id="Text Box 33" o:spid="_x0000_s1027"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65FE97E9" w14:textId="7316AC5E" w:rsidR="008973BF" w:rsidRPr="008973BF" w:rsidRDefault="008973BF" w:rsidP="008973BF">
                          <w:pPr>
                            <w:spacing w:after="0"/>
                            <w:rPr>
                              <w:rFonts w:ascii="Calibri" w:eastAsia="Calibri" w:hAnsi="Calibri" w:cs="Calibri"/>
                              <w:noProof/>
                              <w:color w:val="000000"/>
                              <w:sz w:val="24"/>
                              <w:szCs w:val="24"/>
                            </w:rPr>
                          </w:pPr>
                          <w:r w:rsidRPr="008973BF">
                            <w:rPr>
                              <w:rFonts w:ascii="Calibri" w:eastAsia="Calibri" w:hAnsi="Calibri" w:cs="Calibri"/>
                              <w:noProof/>
                              <w:color w:val="000000"/>
                              <w:sz w:val="24"/>
                              <w:szCs w:val="24"/>
                            </w:rPr>
                            <w:t>OFFICIAL</w:t>
                          </w:r>
                        </w:p>
                      </w:txbxContent>
                    </v:textbox>
                    <w10:wrap anchorx="page" anchory="page"/>
                  </v:shape>
                </w:pict>
              </mc:Fallback>
            </mc:AlternateContent>
          </w:r>
          <w:r w:rsidR="00CD157B" w:rsidRPr="00D55628">
            <w:fldChar w:fldCharType="begin"/>
          </w:r>
          <w:r w:rsidR="00CD157B" w:rsidRPr="00D55628">
            <w:instrText xml:space="preserve"> PAGE   \* MERGEFORMAT </w:instrText>
          </w:r>
          <w:r w:rsidR="00CD157B" w:rsidRPr="00D55628">
            <w:fldChar w:fldCharType="separate"/>
          </w:r>
          <w:r w:rsidR="00CD157B">
            <w:t>2</w:t>
          </w:r>
          <w:r w:rsidR="00CD157B" w:rsidRPr="00D55628">
            <w:fldChar w:fldCharType="end"/>
          </w:r>
        </w:p>
      </w:tc>
      <w:tc>
        <w:tcPr>
          <w:tcW w:w="13039" w:type="dxa"/>
        </w:tcPr>
        <w:p w14:paraId="2E19F4D2" w14:textId="161B5EBA" w:rsidR="00CD157B" w:rsidRDefault="00000000" w:rsidP="00376EF3">
          <w:pPr>
            <w:pStyle w:val="FooterEven"/>
          </w:pPr>
          <w:r>
            <w:fldChar w:fldCharType="begin"/>
          </w:r>
          <w:r>
            <w:instrText xml:space="preserve"> DOCPROPERTY  xFooterTitle  \* MERGEFORMAT </w:instrText>
          </w:r>
          <w:r>
            <w:fldChar w:fldCharType="separate"/>
          </w:r>
          <w:r w:rsidR="00B07E9F">
            <w:rPr>
              <w:b/>
              <w:bCs/>
              <w:lang w:val="en-US"/>
            </w:rPr>
            <w:t>Error! Unknown document property name.</w:t>
          </w:r>
          <w:r>
            <w:fldChar w:fldCharType="end"/>
          </w:r>
        </w:p>
        <w:p w14:paraId="34D1F77A" w14:textId="0216517F" w:rsidR="00CD157B" w:rsidRPr="00810C40" w:rsidRDefault="00000000" w:rsidP="00376EF3">
          <w:pPr>
            <w:pStyle w:val="FooterEven"/>
          </w:pPr>
          <w:r>
            <w:fldChar w:fldCharType="begin"/>
          </w:r>
          <w:r>
            <w:instrText xml:space="preserve"> DOCPROPERTY  xFooterSubtitle  \* MERGEFORMAT </w:instrText>
          </w:r>
          <w:r>
            <w:fldChar w:fldCharType="separate"/>
          </w:r>
          <w:r w:rsidR="00B07E9F">
            <w:rPr>
              <w:b/>
              <w:bCs/>
              <w:lang w:val="en-US"/>
            </w:rPr>
            <w:t>Error! Unknown document property name.</w:t>
          </w:r>
          <w:r>
            <w:fldChar w:fldCharType="end"/>
          </w:r>
        </w:p>
      </w:tc>
    </w:tr>
  </w:tbl>
  <w:p w14:paraId="59F79BD1" w14:textId="77777777" w:rsidR="00CD157B" w:rsidRDefault="00CD157B" w:rsidP="00376EF3">
    <w:pPr>
      <w:pStyle w:val="FooterEven"/>
    </w:pPr>
  </w:p>
  <w:p w14:paraId="0B2175F9" w14:textId="77777777" w:rsidR="00CD157B" w:rsidRDefault="00CD15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13379" w:type="dxa"/>
      <w:tblLayout w:type="fixed"/>
      <w:tblCellMar>
        <w:bottom w:w="284" w:type="dxa"/>
      </w:tblCellMar>
      <w:tblLook w:val="04A0" w:firstRow="1" w:lastRow="0" w:firstColumn="1" w:lastColumn="0" w:noHBand="0" w:noVBand="1"/>
    </w:tblPr>
    <w:tblGrid>
      <w:gridCol w:w="13039"/>
      <w:gridCol w:w="340"/>
    </w:tblGrid>
    <w:tr w:rsidR="00CD157B" w14:paraId="5D29D272" w14:textId="77777777" w:rsidTr="00BE1C3D">
      <w:trPr>
        <w:trHeight w:val="397"/>
      </w:trPr>
      <w:tc>
        <w:tcPr>
          <w:tcW w:w="13039" w:type="dxa"/>
        </w:tcPr>
        <w:p w14:paraId="138C7514" w14:textId="308596F2" w:rsidR="000E09C8" w:rsidRDefault="008973BF" w:rsidP="00376EF3">
          <w:pPr>
            <w:pStyle w:val="FooterOdd"/>
            <w:rPr>
              <w:noProof/>
            </w:rPr>
          </w:pPr>
          <w:r>
            <w:rPr>
              <w:noProof/>
            </w:rPr>
            <mc:AlternateContent>
              <mc:Choice Requires="wps">
                <w:drawing>
                  <wp:anchor distT="0" distB="0" distL="0" distR="0" simplePos="0" relativeHeight="251660288" behindDoc="0" locked="0" layoutInCell="1" allowOverlap="1" wp14:anchorId="0FFC8FD8" wp14:editId="2E77FA53">
                    <wp:simplePos x="635" y="635"/>
                    <wp:positionH relativeFrom="page">
                      <wp:align>center</wp:align>
                    </wp:positionH>
                    <wp:positionV relativeFrom="page">
                      <wp:align>bottom</wp:align>
                    </wp:positionV>
                    <wp:extent cx="443865" cy="443865"/>
                    <wp:effectExtent l="0" t="0" r="635" b="0"/>
                    <wp:wrapNone/>
                    <wp:docPr id="34" name="Text Box 3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6B8FCB" w14:textId="5F783E21" w:rsidR="008973BF" w:rsidRPr="008973BF" w:rsidRDefault="008973BF" w:rsidP="008973BF">
                                <w:pPr>
                                  <w:spacing w:after="0"/>
                                  <w:rPr>
                                    <w:rFonts w:ascii="Calibri" w:eastAsia="Calibri" w:hAnsi="Calibri" w:cs="Calibri"/>
                                    <w:noProof/>
                                    <w:color w:val="000000"/>
                                    <w:sz w:val="24"/>
                                    <w:szCs w:val="24"/>
                                  </w:rPr>
                                </w:pPr>
                                <w:r w:rsidRPr="008973BF">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FC8FD8" id="_x0000_t202" coordsize="21600,21600" o:spt="202" path="m,l,21600r21600,l21600,xe">
                    <v:stroke joinstyle="miter"/>
                    <v:path gradientshapeok="t" o:connecttype="rect"/>
                  </v:shapetype>
                  <v:shape id="Text Box 34" o:spid="_x0000_s1028"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E6B8FCB" w14:textId="5F783E21" w:rsidR="008973BF" w:rsidRPr="008973BF" w:rsidRDefault="008973BF" w:rsidP="008973BF">
                          <w:pPr>
                            <w:spacing w:after="0"/>
                            <w:rPr>
                              <w:rFonts w:ascii="Calibri" w:eastAsia="Calibri" w:hAnsi="Calibri" w:cs="Calibri"/>
                              <w:noProof/>
                              <w:color w:val="000000"/>
                              <w:sz w:val="24"/>
                              <w:szCs w:val="24"/>
                            </w:rPr>
                          </w:pPr>
                          <w:r w:rsidRPr="008973BF">
                            <w:rPr>
                              <w:rFonts w:ascii="Calibri" w:eastAsia="Calibri" w:hAnsi="Calibri" w:cs="Calibri"/>
                              <w:noProof/>
                              <w:color w:val="000000"/>
                              <w:sz w:val="24"/>
                              <w:szCs w:val="24"/>
                            </w:rPr>
                            <w:t>OFFICIAL</w:t>
                          </w:r>
                        </w:p>
                      </w:txbxContent>
                    </v:textbox>
                    <w10:wrap anchorx="page" anchory="page"/>
                  </v:shape>
                </w:pict>
              </mc:Fallback>
            </mc:AlternateContent>
          </w:r>
          <w:r w:rsidR="000E09C8" w:rsidRPr="000E09C8">
            <w:rPr>
              <w:noProof/>
            </w:rPr>
            <w:t xml:space="preserve">Independent Review of Victoria’s Electricity and Gas Network Safety Framework </w:t>
          </w:r>
        </w:p>
        <w:p w14:paraId="4235B474" w14:textId="5401A79F" w:rsidR="00CD157B" w:rsidRPr="00CB1FB7" w:rsidRDefault="000E09C8" w:rsidP="00376EF3">
          <w:pPr>
            <w:pStyle w:val="FooterOdd"/>
            <w:rPr>
              <w:b/>
            </w:rPr>
          </w:pPr>
          <w:r>
            <w:t>Implementation Update Report 2023</w:t>
          </w:r>
        </w:p>
      </w:tc>
      <w:tc>
        <w:tcPr>
          <w:tcW w:w="340" w:type="dxa"/>
        </w:tcPr>
        <w:p w14:paraId="21588D1A"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287B3B81"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01D" w14:textId="519C930B" w:rsidR="00330C71" w:rsidRDefault="008973BF">
    <w:pPr>
      <w:pStyle w:val="Footer"/>
    </w:pPr>
    <w:r>
      <w:rPr>
        <w:noProof/>
      </w:rPr>
      <mc:AlternateContent>
        <mc:Choice Requires="wps">
          <w:drawing>
            <wp:anchor distT="0" distB="0" distL="0" distR="0" simplePos="0" relativeHeight="251658240" behindDoc="0" locked="0" layoutInCell="1" allowOverlap="1" wp14:anchorId="7EC1E5C8" wp14:editId="75594554">
              <wp:simplePos x="0" y="0"/>
              <wp:positionH relativeFrom="page">
                <wp:posOffset>4570224</wp:posOffset>
              </wp:positionH>
              <wp:positionV relativeFrom="page">
                <wp:posOffset>7108190</wp:posOffset>
              </wp:positionV>
              <wp:extent cx="443865" cy="443865"/>
              <wp:effectExtent l="0" t="0" r="635" b="0"/>
              <wp:wrapNone/>
              <wp:docPr id="32" name="Text Box 3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4EFE6D" w14:textId="68838B04" w:rsidR="008973BF" w:rsidRPr="008973BF" w:rsidRDefault="008973BF" w:rsidP="008973BF">
                          <w:pPr>
                            <w:spacing w:after="0"/>
                            <w:rPr>
                              <w:rFonts w:ascii="Calibri" w:eastAsia="Calibri" w:hAnsi="Calibri" w:cs="Calibri"/>
                              <w:noProof/>
                              <w:color w:val="000000"/>
                              <w:sz w:val="24"/>
                              <w:szCs w:val="24"/>
                            </w:rPr>
                          </w:pPr>
                          <w:r w:rsidRPr="008973BF">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C1E5C8" id="_x0000_t202" coordsize="21600,21600" o:spt="202" path="m,l,21600r21600,l21600,xe">
              <v:stroke joinstyle="miter"/>
              <v:path gradientshapeok="t" o:connecttype="rect"/>
            </v:shapetype>
            <v:shape id="Text Box 32" o:spid="_x0000_s1029" type="#_x0000_t202" alt="OFFICIAL" style="position:absolute;margin-left:359.85pt;margin-top:559.7pt;width:34.95pt;height:34.95pt;z-index:251658240;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" filled="f" stroked="f">
              <v:fill o:detectmouseclick="t"/>
              <v:textbox style="mso-fit-shape-to-text:t" inset="0,0,0,15pt">
                <w:txbxContent>
                  <w:p w14:paraId="634EFE6D" w14:textId="68838B04" w:rsidR="008973BF" w:rsidRPr="008973BF" w:rsidRDefault="008973BF" w:rsidP="008973BF">
                    <w:pPr>
                      <w:spacing w:after="0"/>
                      <w:rPr>
                        <w:rFonts w:ascii="Calibri" w:eastAsia="Calibri" w:hAnsi="Calibri" w:cs="Calibri"/>
                        <w:noProof/>
                        <w:color w:val="000000"/>
                        <w:sz w:val="24"/>
                        <w:szCs w:val="24"/>
                      </w:rPr>
                    </w:pPr>
                    <w:r w:rsidRPr="008973BF">
                      <w:rPr>
                        <w:rFonts w:ascii="Calibri" w:eastAsia="Calibri" w:hAnsi="Calibri" w:cs="Calibri"/>
                        <w:noProof/>
                        <w:color w:val="0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B228" w14:textId="7BC20AD2" w:rsidR="00380682" w:rsidRDefault="008973BF">
    <w:pPr>
      <w:pStyle w:val="Footer"/>
    </w:pPr>
    <w:r>
      <w:rPr>
        <w:noProof/>
      </w:rPr>
      <mc:AlternateContent>
        <mc:Choice Requires="wps">
          <w:drawing>
            <wp:anchor distT="0" distB="0" distL="0" distR="0" simplePos="0" relativeHeight="251662336" behindDoc="0" locked="0" layoutInCell="1" allowOverlap="1" wp14:anchorId="5E2605F6" wp14:editId="0D7A1FBD">
              <wp:simplePos x="635" y="635"/>
              <wp:positionH relativeFrom="page">
                <wp:align>center</wp:align>
              </wp:positionH>
              <wp:positionV relativeFrom="page">
                <wp:align>bottom</wp:align>
              </wp:positionV>
              <wp:extent cx="443865" cy="443865"/>
              <wp:effectExtent l="0" t="0" r="635" b="0"/>
              <wp:wrapNone/>
              <wp:docPr id="37" name="Text Box 3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F5E9A3" w14:textId="1610C266" w:rsidR="008973BF" w:rsidRPr="008973BF" w:rsidRDefault="008973BF" w:rsidP="008973BF">
                          <w:pPr>
                            <w:spacing w:after="0"/>
                            <w:rPr>
                              <w:rFonts w:ascii="Calibri" w:eastAsia="Calibri" w:hAnsi="Calibri" w:cs="Calibri"/>
                              <w:noProof/>
                              <w:color w:val="000000"/>
                              <w:sz w:val="24"/>
                              <w:szCs w:val="24"/>
                            </w:rPr>
                          </w:pPr>
                          <w:r w:rsidRPr="008973BF">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2605F6" id="_x0000_t202" coordsize="21600,21600" o:spt="202" path="m,l,21600r21600,l21600,xe">
              <v:stroke joinstyle="miter"/>
              <v:path gradientshapeok="t" o:connecttype="rect"/>
            </v:shapetype>
            <v:shape id="Text Box 37" o:spid="_x0000_s1030"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5F5E9A3" w14:textId="1610C266" w:rsidR="008973BF" w:rsidRPr="008973BF" w:rsidRDefault="008973BF" w:rsidP="008973BF">
                    <w:pPr>
                      <w:spacing w:after="0"/>
                      <w:rPr>
                        <w:rFonts w:ascii="Calibri" w:eastAsia="Calibri" w:hAnsi="Calibri" w:cs="Calibri"/>
                        <w:noProof/>
                        <w:color w:val="000000"/>
                        <w:sz w:val="24"/>
                        <w:szCs w:val="24"/>
                      </w:rPr>
                    </w:pPr>
                    <w:r w:rsidRPr="008973BF">
                      <w:rPr>
                        <w:rFonts w:ascii="Calibri" w:eastAsia="Calibri" w:hAnsi="Calibri" w:cs="Calibri"/>
                        <w:noProof/>
                        <w:color w:val="000000"/>
                        <w:sz w:val="24"/>
                        <w:szCs w:val="24"/>
                      </w:rPr>
                      <w:t>OFFICIAL</w:t>
                    </w:r>
                  </w:p>
                </w:txbxContent>
              </v:textbox>
              <w10:wrap anchorx="page" anchory="page"/>
            </v:shape>
          </w:pict>
        </mc:Fallback>
      </mc:AlternateContent>
    </w:r>
  </w:p>
  <w:sdt>
    <w:sdtPr>
      <w:id w:val="1312982299"/>
      <w:docPartObj>
        <w:docPartGallery w:val="Page Numbers (Bottom of Page)"/>
        <w:docPartUnique/>
      </w:docPartObj>
    </w:sdtPr>
    <w:sdtEndPr>
      <w:rPr>
        <w:noProof/>
      </w:rPr>
    </w:sdtEndPr>
    <w:sdtContent>
      <w:p w14:paraId="67E4DBA7" w14:textId="77777777" w:rsidR="00380682" w:rsidRDefault="00000000">
        <w:pPr>
          <w:pStyle w:val="Footer"/>
        </w:pPr>
      </w:p>
    </w:sdtContent>
  </w:sdt>
  <w:p w14:paraId="52E02301" w14:textId="223AD316" w:rsidR="00330C71" w:rsidRDefault="00330C7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DE044" w14:textId="6EF8D181" w:rsidR="00BB358E" w:rsidRDefault="008973BF">
    <w:pPr>
      <w:pStyle w:val="Footer"/>
      <w:jc w:val="right"/>
    </w:pPr>
    <w:r>
      <w:rPr>
        <w:noProof/>
      </w:rPr>
      <mc:AlternateContent>
        <mc:Choice Requires="wps">
          <w:drawing>
            <wp:anchor distT="0" distB="0" distL="0" distR="0" simplePos="0" relativeHeight="251663360" behindDoc="0" locked="0" layoutInCell="1" allowOverlap="1" wp14:anchorId="5A8A3913" wp14:editId="3910FEA2">
              <wp:simplePos x="635" y="635"/>
              <wp:positionH relativeFrom="page">
                <wp:align>center</wp:align>
              </wp:positionH>
              <wp:positionV relativeFrom="page">
                <wp:align>bottom</wp:align>
              </wp:positionV>
              <wp:extent cx="443865" cy="443865"/>
              <wp:effectExtent l="0" t="0" r="635" b="0"/>
              <wp:wrapNone/>
              <wp:docPr id="38" name="Text Box 3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D93636" w14:textId="41019F7E" w:rsidR="008973BF" w:rsidRPr="008973BF" w:rsidRDefault="008973BF" w:rsidP="008973BF">
                          <w:pPr>
                            <w:spacing w:after="0"/>
                            <w:rPr>
                              <w:rFonts w:ascii="Calibri" w:eastAsia="Calibri" w:hAnsi="Calibri" w:cs="Calibri"/>
                              <w:noProof/>
                              <w:color w:val="000000"/>
                              <w:sz w:val="24"/>
                              <w:szCs w:val="24"/>
                            </w:rPr>
                          </w:pPr>
                          <w:r w:rsidRPr="008973BF">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8A3913" id="_x0000_t202" coordsize="21600,21600" o:spt="202" path="m,l,21600r21600,l21600,xe">
              <v:stroke joinstyle="miter"/>
              <v:path gradientshapeok="t" o:connecttype="rect"/>
            </v:shapetype>
            <v:shape id="Text Box 38" o:spid="_x0000_s1031" type="#_x0000_t202" alt="OFFICIAL"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6DD93636" w14:textId="41019F7E" w:rsidR="008973BF" w:rsidRPr="008973BF" w:rsidRDefault="008973BF" w:rsidP="008973BF">
                    <w:pPr>
                      <w:spacing w:after="0"/>
                      <w:rPr>
                        <w:rFonts w:ascii="Calibri" w:eastAsia="Calibri" w:hAnsi="Calibri" w:cs="Calibri"/>
                        <w:noProof/>
                        <w:color w:val="000000"/>
                        <w:sz w:val="24"/>
                        <w:szCs w:val="24"/>
                      </w:rPr>
                    </w:pPr>
                    <w:r w:rsidRPr="008973BF">
                      <w:rPr>
                        <w:rFonts w:ascii="Calibri" w:eastAsia="Calibri" w:hAnsi="Calibri" w:cs="Calibri"/>
                        <w:noProof/>
                        <w:color w:val="000000"/>
                        <w:sz w:val="24"/>
                        <w:szCs w:val="24"/>
                      </w:rPr>
                      <w:t>OFFICIAL</w:t>
                    </w:r>
                  </w:p>
                </w:txbxContent>
              </v:textbox>
              <w10:wrap anchorx="page" anchory="page"/>
            </v:shape>
          </w:pict>
        </mc:Fallback>
      </mc:AlternateContent>
    </w:r>
    <w:sdt>
      <w:sdtPr>
        <w:id w:val="1438245653"/>
        <w:docPartObj>
          <w:docPartGallery w:val="Page Numbers (Bottom of Page)"/>
          <w:docPartUnique/>
        </w:docPartObj>
      </w:sdtPr>
      <w:sdtEndPr>
        <w:rPr>
          <w:noProof/>
        </w:rPr>
      </w:sdtEndPr>
      <w:sdtContent>
        <w:r w:rsidR="00BB358E">
          <w:fldChar w:fldCharType="begin"/>
        </w:r>
        <w:r w:rsidR="00BB358E">
          <w:instrText xml:space="preserve"> PAGE   \* MERGEFORMAT </w:instrText>
        </w:r>
        <w:r w:rsidR="00BB358E">
          <w:fldChar w:fldCharType="separate"/>
        </w:r>
        <w:r w:rsidR="00BB358E">
          <w:rPr>
            <w:noProof/>
          </w:rPr>
          <w:t>2</w:t>
        </w:r>
        <w:r w:rsidR="00BB358E">
          <w:rPr>
            <w:noProof/>
          </w:rPr>
          <w:fldChar w:fldCharType="end"/>
        </w:r>
      </w:sdtContent>
    </w:sdt>
  </w:p>
  <w:p w14:paraId="70294C85" w14:textId="3E05F612" w:rsidR="00330C71" w:rsidRDefault="00330C7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CDABC" w14:textId="49656ECD" w:rsidR="00330C71" w:rsidRDefault="008973BF">
    <w:pPr>
      <w:pStyle w:val="Footer"/>
    </w:pPr>
    <w:r>
      <w:rPr>
        <w:noProof/>
      </w:rPr>
      <mc:AlternateContent>
        <mc:Choice Requires="wps">
          <w:drawing>
            <wp:anchor distT="0" distB="0" distL="0" distR="0" simplePos="0" relativeHeight="251661312" behindDoc="0" locked="0" layoutInCell="1" allowOverlap="1" wp14:anchorId="53589965" wp14:editId="36C3C9E5">
              <wp:simplePos x="635" y="635"/>
              <wp:positionH relativeFrom="page">
                <wp:align>center</wp:align>
              </wp:positionH>
              <wp:positionV relativeFrom="page">
                <wp:align>bottom</wp:align>
              </wp:positionV>
              <wp:extent cx="443865" cy="443865"/>
              <wp:effectExtent l="0" t="0" r="635" b="0"/>
              <wp:wrapNone/>
              <wp:docPr id="35" name="Text Box 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60F2C3" w14:textId="2B4DD365" w:rsidR="008973BF" w:rsidRPr="008973BF" w:rsidRDefault="008973BF" w:rsidP="008973BF">
                          <w:pPr>
                            <w:spacing w:after="0"/>
                            <w:rPr>
                              <w:rFonts w:ascii="Calibri" w:eastAsia="Calibri" w:hAnsi="Calibri" w:cs="Calibri"/>
                              <w:noProof/>
                              <w:color w:val="000000"/>
                              <w:sz w:val="24"/>
                              <w:szCs w:val="24"/>
                            </w:rPr>
                          </w:pPr>
                          <w:r w:rsidRPr="008973BF">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589965" id="_x0000_t202" coordsize="21600,21600" o:spt="202" path="m,l,21600r21600,l21600,xe">
              <v:stroke joinstyle="miter"/>
              <v:path gradientshapeok="t" o:connecttype="rect"/>
            </v:shapetype>
            <v:shape id="Text Box 35" o:spid="_x0000_s1032"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D60F2C3" w14:textId="2B4DD365" w:rsidR="008973BF" w:rsidRPr="008973BF" w:rsidRDefault="008973BF" w:rsidP="008973BF">
                    <w:pPr>
                      <w:spacing w:after="0"/>
                      <w:rPr>
                        <w:rFonts w:ascii="Calibri" w:eastAsia="Calibri" w:hAnsi="Calibri" w:cs="Calibri"/>
                        <w:noProof/>
                        <w:color w:val="000000"/>
                        <w:sz w:val="24"/>
                        <w:szCs w:val="24"/>
                      </w:rPr>
                    </w:pPr>
                    <w:r w:rsidRPr="008973BF">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DAA0C" w14:textId="77777777" w:rsidR="00A87065" w:rsidRPr="0056073C" w:rsidRDefault="00A87065" w:rsidP="005D764F">
      <w:pPr>
        <w:pStyle w:val="FootnoteSeparator"/>
      </w:pPr>
    </w:p>
  </w:footnote>
  <w:footnote w:type="continuationSeparator" w:id="0">
    <w:p w14:paraId="3F7D54F6" w14:textId="77777777" w:rsidR="00A87065" w:rsidRPr="00CA30B7" w:rsidRDefault="00A87065" w:rsidP="006D5A90">
      <w:pPr>
        <w:rPr>
          <w:lang w:val="en-US"/>
        </w:rPr>
      </w:pPr>
      <w:r w:rsidRPr="00CA30B7">
        <w:rPr>
          <w:lang w:val="en-US"/>
        </w:rPr>
        <w:t>_______</w:t>
      </w:r>
    </w:p>
  </w:footnote>
  <w:footnote w:type="continuationNotice" w:id="1">
    <w:p w14:paraId="691DF8E8" w14:textId="77777777" w:rsidR="00A87065" w:rsidRDefault="00A87065" w:rsidP="006D5A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E6A2" w14:textId="77777777" w:rsidR="00CD157B" w:rsidRPr="00CD157B" w:rsidRDefault="00CD157B" w:rsidP="00CD15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8BEF3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068B37FE"/>
    <w:multiLevelType w:val="multilevel"/>
    <w:tmpl w:val="A2EE2272"/>
    <w:name w:val="DEPIListBullets"/>
    <w:lvl w:ilvl="0">
      <w:start w:val="1"/>
      <w:numFmt w:val="bullet"/>
      <w:lvlText w:val="•"/>
      <w:lvlJc w:val="left"/>
      <w:pPr>
        <w:tabs>
          <w:tab w:val="num" w:pos="3148"/>
        </w:tabs>
        <w:ind w:left="3148" w:hanging="170"/>
      </w:pPr>
      <w:rPr>
        <w:rFonts w:ascii="Times New Roman" w:hAnsi="Times New Roman" w:cs="Times New Roman" w:hint="default"/>
        <w:b w:val="0"/>
        <w:i w:val="0"/>
        <w:color w:val="232222" w:themeColor="text1"/>
        <w:position w:val="0"/>
        <w:sz w:val="20"/>
      </w:rPr>
    </w:lvl>
    <w:lvl w:ilvl="1">
      <w:start w:val="1"/>
      <w:numFmt w:val="bullet"/>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lvlText w:val="&gt;"/>
      <w:lvlJc w:val="left"/>
      <w:pPr>
        <w:tabs>
          <w:tab w:val="num" w:pos="510"/>
        </w:tabs>
        <w:ind w:left="510" w:hanging="170"/>
      </w:pPr>
      <w:rPr>
        <w:rFonts w:ascii="Symbol" w:hAnsi="Symbol" w:hint="default"/>
        <w:b w:val="0"/>
        <w:i w:val="0"/>
        <w:color w:val="232222"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7" w15:restartNumberingAfterBreak="0">
    <w:nsid w:val="07253664"/>
    <w:multiLevelType w:val="hybridMultilevel"/>
    <w:tmpl w:val="9AA06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0"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1"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2" w15:restartNumberingAfterBreak="0">
    <w:nsid w:val="194A695C"/>
    <w:multiLevelType w:val="multilevel"/>
    <w:tmpl w:val="75CA4D72"/>
    <w:name w:val="DEPITableBullets"/>
    <w:lvl w:ilvl="0">
      <w:start w:val="1"/>
      <w:numFmt w:val="bullet"/>
      <w:lvlText w:val="•"/>
      <w:lvlJc w:val="left"/>
      <w:pPr>
        <w:tabs>
          <w:tab w:val="num" w:pos="453"/>
        </w:tabs>
        <w:ind w:left="453" w:hanging="171"/>
      </w:pPr>
      <w:rPr>
        <w:rFonts w:ascii="Calibri" w:hAnsi="Calibri" w:hint="default"/>
        <w:b w:val="0"/>
        <w:i w:val="0"/>
        <w:color w:val="232222" w:themeColor="text1"/>
        <w:position w:val="0"/>
        <w:sz w:val="20"/>
        <w:szCs w:val="12"/>
      </w:rPr>
    </w:lvl>
    <w:lvl w:ilvl="1">
      <w:start w:val="1"/>
      <w:numFmt w:val="bullet"/>
      <w:lvlText w:val="–"/>
      <w:lvlJc w:val="left"/>
      <w:pPr>
        <w:tabs>
          <w:tab w:val="num" w:pos="623"/>
        </w:tabs>
        <w:ind w:left="623" w:hanging="170"/>
      </w:pPr>
      <w:rPr>
        <w:rFonts w:ascii="Calibri" w:hAnsi="Calibri" w:hint="default"/>
        <w:b w:val="0"/>
        <w:i w:val="0"/>
        <w:color w:val="auto"/>
        <w:position w:val="2"/>
        <w:sz w:val="20"/>
        <w:szCs w:val="18"/>
      </w:rPr>
    </w:lvl>
    <w:lvl w:ilvl="2">
      <w:start w:val="1"/>
      <w:numFmt w:val="bullet"/>
      <w:lvlText w:val=""/>
      <w:lvlJc w:val="left"/>
      <w:pPr>
        <w:tabs>
          <w:tab w:val="num" w:pos="793"/>
        </w:tabs>
        <w:ind w:left="793" w:hanging="170"/>
      </w:pPr>
      <w:rPr>
        <w:rFonts w:ascii="Symbol" w:hAnsi="Symbol" w:hint="default"/>
        <w:position w:val="3"/>
        <w:sz w:val="18"/>
      </w:rPr>
    </w:lvl>
    <w:lvl w:ilvl="3">
      <w:start w:val="1"/>
      <w:numFmt w:val="none"/>
      <w:lvlText w:val=""/>
      <w:lvlJc w:val="left"/>
      <w:pPr>
        <w:ind w:left="2936" w:hanging="360"/>
      </w:pPr>
      <w:rPr>
        <w:rFonts w:hint="default"/>
      </w:rPr>
    </w:lvl>
    <w:lvl w:ilvl="4">
      <w:start w:val="1"/>
      <w:numFmt w:val="none"/>
      <w:lvlText w:val=""/>
      <w:lvlJc w:val="left"/>
      <w:pPr>
        <w:ind w:left="3656" w:hanging="360"/>
      </w:pPr>
      <w:rPr>
        <w:rFonts w:hint="default"/>
      </w:rPr>
    </w:lvl>
    <w:lvl w:ilvl="5">
      <w:start w:val="1"/>
      <w:numFmt w:val="none"/>
      <w:lvlText w:val=""/>
      <w:lvlJc w:val="left"/>
      <w:pPr>
        <w:ind w:left="4376" w:hanging="360"/>
      </w:pPr>
      <w:rPr>
        <w:rFonts w:hint="default"/>
      </w:rPr>
    </w:lvl>
    <w:lvl w:ilvl="6">
      <w:start w:val="1"/>
      <w:numFmt w:val="none"/>
      <w:lvlText w:val=""/>
      <w:lvlJc w:val="left"/>
      <w:pPr>
        <w:ind w:left="5096" w:hanging="360"/>
      </w:pPr>
      <w:rPr>
        <w:rFonts w:hint="default"/>
      </w:rPr>
    </w:lvl>
    <w:lvl w:ilvl="7">
      <w:start w:val="1"/>
      <w:numFmt w:val="none"/>
      <w:lvlText w:val=""/>
      <w:lvlJc w:val="left"/>
      <w:pPr>
        <w:ind w:left="5816" w:hanging="360"/>
      </w:pPr>
      <w:rPr>
        <w:rFonts w:hint="default"/>
      </w:rPr>
    </w:lvl>
    <w:lvl w:ilvl="8">
      <w:start w:val="1"/>
      <w:numFmt w:val="none"/>
      <w:lvlText w:val=""/>
      <w:lvlJc w:val="left"/>
      <w:pPr>
        <w:ind w:left="6536" w:hanging="360"/>
      </w:pPr>
      <w:rPr>
        <w:rFonts w:hint="default"/>
      </w:rPr>
    </w:lvl>
  </w:abstractNum>
  <w:abstractNum w:abstractNumId="13"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5"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7"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8" w15:restartNumberingAfterBreak="0">
    <w:nsid w:val="2D497BBE"/>
    <w:multiLevelType w:val="hybridMultilevel"/>
    <w:tmpl w:val="0234FBA6"/>
    <w:lvl w:ilvl="0" w:tplc="0C090001">
      <w:start w:val="1"/>
      <w:numFmt w:val="bullet"/>
      <w:lvlText w:val=""/>
      <w:lvlJc w:val="left"/>
      <w:pPr>
        <w:ind w:left="911" w:hanging="360"/>
      </w:pPr>
      <w:rPr>
        <w:rFonts w:ascii="Symbol" w:hAnsi="Symbol" w:hint="default"/>
      </w:rPr>
    </w:lvl>
    <w:lvl w:ilvl="1" w:tplc="0C090003" w:tentative="1">
      <w:start w:val="1"/>
      <w:numFmt w:val="bullet"/>
      <w:lvlText w:val="o"/>
      <w:lvlJc w:val="left"/>
      <w:pPr>
        <w:ind w:left="1631" w:hanging="360"/>
      </w:pPr>
      <w:rPr>
        <w:rFonts w:ascii="Courier New" w:hAnsi="Courier New" w:cs="Courier New" w:hint="default"/>
      </w:rPr>
    </w:lvl>
    <w:lvl w:ilvl="2" w:tplc="0C090005" w:tentative="1">
      <w:start w:val="1"/>
      <w:numFmt w:val="bullet"/>
      <w:lvlText w:val=""/>
      <w:lvlJc w:val="left"/>
      <w:pPr>
        <w:ind w:left="2351" w:hanging="360"/>
      </w:pPr>
      <w:rPr>
        <w:rFonts w:ascii="Wingdings" w:hAnsi="Wingdings" w:hint="default"/>
      </w:rPr>
    </w:lvl>
    <w:lvl w:ilvl="3" w:tplc="0C090001" w:tentative="1">
      <w:start w:val="1"/>
      <w:numFmt w:val="bullet"/>
      <w:lvlText w:val=""/>
      <w:lvlJc w:val="left"/>
      <w:pPr>
        <w:ind w:left="3071" w:hanging="360"/>
      </w:pPr>
      <w:rPr>
        <w:rFonts w:ascii="Symbol" w:hAnsi="Symbol" w:hint="default"/>
      </w:rPr>
    </w:lvl>
    <w:lvl w:ilvl="4" w:tplc="0C090003" w:tentative="1">
      <w:start w:val="1"/>
      <w:numFmt w:val="bullet"/>
      <w:lvlText w:val="o"/>
      <w:lvlJc w:val="left"/>
      <w:pPr>
        <w:ind w:left="3791" w:hanging="360"/>
      </w:pPr>
      <w:rPr>
        <w:rFonts w:ascii="Courier New" w:hAnsi="Courier New" w:cs="Courier New" w:hint="default"/>
      </w:rPr>
    </w:lvl>
    <w:lvl w:ilvl="5" w:tplc="0C090005" w:tentative="1">
      <w:start w:val="1"/>
      <w:numFmt w:val="bullet"/>
      <w:lvlText w:val=""/>
      <w:lvlJc w:val="left"/>
      <w:pPr>
        <w:ind w:left="4511" w:hanging="360"/>
      </w:pPr>
      <w:rPr>
        <w:rFonts w:ascii="Wingdings" w:hAnsi="Wingdings" w:hint="default"/>
      </w:rPr>
    </w:lvl>
    <w:lvl w:ilvl="6" w:tplc="0C090001" w:tentative="1">
      <w:start w:val="1"/>
      <w:numFmt w:val="bullet"/>
      <w:lvlText w:val=""/>
      <w:lvlJc w:val="left"/>
      <w:pPr>
        <w:ind w:left="5231" w:hanging="360"/>
      </w:pPr>
      <w:rPr>
        <w:rFonts w:ascii="Symbol" w:hAnsi="Symbol" w:hint="default"/>
      </w:rPr>
    </w:lvl>
    <w:lvl w:ilvl="7" w:tplc="0C090003" w:tentative="1">
      <w:start w:val="1"/>
      <w:numFmt w:val="bullet"/>
      <w:lvlText w:val="o"/>
      <w:lvlJc w:val="left"/>
      <w:pPr>
        <w:ind w:left="5951" w:hanging="360"/>
      </w:pPr>
      <w:rPr>
        <w:rFonts w:ascii="Courier New" w:hAnsi="Courier New" w:cs="Courier New" w:hint="default"/>
      </w:rPr>
    </w:lvl>
    <w:lvl w:ilvl="8" w:tplc="0C090005" w:tentative="1">
      <w:start w:val="1"/>
      <w:numFmt w:val="bullet"/>
      <w:lvlText w:val=""/>
      <w:lvlJc w:val="left"/>
      <w:pPr>
        <w:ind w:left="6671" w:hanging="360"/>
      </w:pPr>
      <w:rPr>
        <w:rFonts w:ascii="Wingdings" w:hAnsi="Wingdings" w:hint="default"/>
      </w:rPr>
    </w:lvl>
  </w:abstractNum>
  <w:abstractNum w:abstractNumId="19"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20" w15:restartNumberingAfterBreak="0">
    <w:nsid w:val="30B00EE3"/>
    <w:multiLevelType w:val="hybridMultilevel"/>
    <w:tmpl w:val="72FC9A1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2"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4"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5"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8"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0"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31"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2"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3"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4"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6"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7"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8"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9"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0"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1"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2"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3"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5"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6"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7"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8"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9"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0" w15:restartNumberingAfterBreak="0">
    <w:nsid w:val="6D1D40AC"/>
    <w:multiLevelType w:val="multilevel"/>
    <w:tmpl w:val="4A4219B0"/>
    <w:lvl w:ilvl="0">
      <w:start w:val="1"/>
      <w:numFmt w:val="decimal"/>
      <w:lvlText w:val="%1."/>
      <w:lvlJc w:val="left"/>
      <w:pPr>
        <w:tabs>
          <w:tab w:val="num" w:pos="369"/>
        </w:tabs>
        <w:ind w:left="369" w:hanging="369"/>
      </w:pPr>
      <w:rPr>
        <w:rFonts w:hint="default"/>
      </w:rPr>
    </w:lvl>
    <w:lvl w:ilvl="1">
      <w:start w:val="1"/>
      <w:numFmt w:val="lowerLetter"/>
      <w:lvlText w:val="%2."/>
      <w:lvlJc w:val="left"/>
      <w:pPr>
        <w:tabs>
          <w:tab w:val="num" w:pos="709"/>
        </w:tabs>
        <w:ind w:left="709" w:hanging="340"/>
      </w:pPr>
      <w:rPr>
        <w:rFonts w:hint="default"/>
      </w:rPr>
    </w:lvl>
    <w:lvl w:ilvl="2">
      <w:start w:val="1"/>
      <w:numFmt w:val="lowerRoman"/>
      <w:lvlText w:val="%3."/>
      <w:lvlJc w:val="left"/>
      <w:pPr>
        <w:tabs>
          <w:tab w:val="num" w:pos="1106"/>
        </w:tabs>
        <w:ind w:left="1106" w:hanging="397"/>
      </w:pPr>
      <w:rPr>
        <w:rFonts w:hint="default"/>
      </w:rPr>
    </w:lvl>
    <w:lvl w:ilvl="3">
      <w:start w:val="1"/>
      <w:numFmt w:val="none"/>
      <w:lvlText w:val=""/>
      <w:lvlJc w:val="left"/>
      <w:pPr>
        <w:ind w:left="1327" w:hanging="360"/>
      </w:pPr>
      <w:rPr>
        <w:rFonts w:hint="default"/>
      </w:rPr>
    </w:lvl>
    <w:lvl w:ilvl="4">
      <w:start w:val="1"/>
      <w:numFmt w:val="none"/>
      <w:lvlText w:val=""/>
      <w:lvlJc w:val="left"/>
      <w:pPr>
        <w:ind w:left="1687" w:hanging="360"/>
      </w:pPr>
      <w:rPr>
        <w:rFonts w:hint="default"/>
      </w:rPr>
    </w:lvl>
    <w:lvl w:ilvl="5">
      <w:start w:val="1"/>
      <w:numFmt w:val="none"/>
      <w:lvlText w:val=""/>
      <w:lvlJc w:val="left"/>
      <w:pPr>
        <w:ind w:left="2047" w:hanging="360"/>
      </w:pPr>
      <w:rPr>
        <w:rFonts w:hint="default"/>
      </w:rPr>
    </w:lvl>
    <w:lvl w:ilvl="6">
      <w:start w:val="1"/>
      <w:numFmt w:val="none"/>
      <w:lvlText w:val=""/>
      <w:lvlJc w:val="left"/>
      <w:pPr>
        <w:ind w:left="2407" w:hanging="360"/>
      </w:pPr>
      <w:rPr>
        <w:rFonts w:hint="default"/>
      </w:rPr>
    </w:lvl>
    <w:lvl w:ilvl="7">
      <w:start w:val="1"/>
      <w:numFmt w:val="none"/>
      <w:lvlText w:val=""/>
      <w:lvlJc w:val="left"/>
      <w:pPr>
        <w:ind w:left="2767" w:hanging="360"/>
      </w:pPr>
      <w:rPr>
        <w:rFonts w:hint="default"/>
      </w:rPr>
    </w:lvl>
    <w:lvl w:ilvl="8">
      <w:start w:val="1"/>
      <w:numFmt w:val="none"/>
      <w:lvlText w:val=""/>
      <w:lvlJc w:val="left"/>
      <w:pPr>
        <w:ind w:left="3127" w:hanging="360"/>
      </w:pPr>
      <w:rPr>
        <w:rFonts w:hint="default"/>
      </w:rPr>
    </w:lvl>
  </w:abstractNum>
  <w:abstractNum w:abstractNumId="51" w15:restartNumberingAfterBreak="0">
    <w:nsid w:val="6DD70F76"/>
    <w:multiLevelType w:val="hybridMultilevel"/>
    <w:tmpl w:val="A9F81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3"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4"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5"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6"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7"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5"/>
  </w:num>
  <w:num w:numId="2" w16cid:durableId="1128745877">
    <w:abstractNumId w:val="16"/>
  </w:num>
  <w:num w:numId="3" w16cid:durableId="170411264">
    <w:abstractNumId w:val="46"/>
  </w:num>
  <w:num w:numId="4" w16cid:durableId="985085104">
    <w:abstractNumId w:val="14"/>
  </w:num>
  <w:num w:numId="5" w16cid:durableId="1872112631">
    <w:abstractNumId w:val="17"/>
  </w:num>
  <w:num w:numId="6" w16cid:durableId="336812815">
    <w:abstractNumId w:val="32"/>
  </w:num>
  <w:num w:numId="7" w16cid:durableId="155153463">
    <w:abstractNumId w:val="4"/>
  </w:num>
  <w:num w:numId="8" w16cid:durableId="1428236886">
    <w:abstractNumId w:val="35"/>
  </w:num>
  <w:num w:numId="9" w16cid:durableId="1644658156">
    <w:abstractNumId w:val="27"/>
  </w:num>
  <w:num w:numId="10" w16cid:durableId="103154041">
    <w:abstractNumId w:val="37"/>
  </w:num>
  <w:num w:numId="11" w16cid:durableId="2129203638">
    <w:abstractNumId w:val="40"/>
  </w:num>
  <w:num w:numId="12" w16cid:durableId="377365663">
    <w:abstractNumId w:val="33"/>
  </w:num>
  <w:num w:numId="13" w16cid:durableId="1308436166">
    <w:abstractNumId w:val="34"/>
  </w:num>
  <w:num w:numId="14" w16cid:durableId="1335643199">
    <w:abstractNumId w:val="44"/>
  </w:num>
  <w:num w:numId="15" w16cid:durableId="384449836">
    <w:abstractNumId w:val="11"/>
  </w:num>
  <w:num w:numId="16" w16cid:durableId="1160577431">
    <w:abstractNumId w:val="36"/>
  </w:num>
  <w:num w:numId="17" w16cid:durableId="27071314">
    <w:abstractNumId w:val="10"/>
  </w:num>
  <w:num w:numId="18" w16cid:durableId="338120444">
    <w:abstractNumId w:val="8"/>
  </w:num>
  <w:num w:numId="19" w16cid:durableId="1673139647">
    <w:abstractNumId w:val="23"/>
  </w:num>
  <w:num w:numId="20" w16cid:durableId="1975480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9"/>
  </w:num>
  <w:num w:numId="26" w16cid:durableId="8933492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30"/>
  </w:num>
  <w:num w:numId="30" w16cid:durableId="1579175524">
    <w:abstractNumId w:val="0"/>
  </w:num>
  <w:num w:numId="31" w16cid:durableId="1199856773">
    <w:abstractNumId w:val="2"/>
  </w:num>
  <w:num w:numId="32" w16cid:durableId="2138447666">
    <w:abstractNumId w:val="1"/>
  </w:num>
  <w:num w:numId="33" w16cid:durableId="334118162">
    <w:abstractNumId w:val="42"/>
  </w:num>
  <w:num w:numId="34" w16cid:durableId="196283207">
    <w:abstractNumId w:val="45"/>
  </w:num>
  <w:num w:numId="35" w16cid:durableId="1742215375">
    <w:abstractNumId w:val="56"/>
  </w:num>
  <w:num w:numId="36" w16cid:durableId="664823544">
    <w:abstractNumId w:val="52"/>
  </w:num>
  <w:num w:numId="37" w16cid:durableId="5922503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4"/>
  </w:num>
  <w:num w:numId="40" w16cid:durableId="513689102">
    <w:abstractNumId w:val="7"/>
  </w:num>
  <w:num w:numId="41" w16cid:durableId="742797432">
    <w:abstractNumId w:val="3"/>
  </w:num>
  <w:num w:numId="42" w16cid:durableId="1209218331">
    <w:abstractNumId w:val="50"/>
  </w:num>
  <w:num w:numId="43" w16cid:durableId="1538851271">
    <w:abstractNumId w:val="35"/>
  </w:num>
  <w:num w:numId="44" w16cid:durableId="1716734782">
    <w:abstractNumId w:val="35"/>
  </w:num>
  <w:num w:numId="45" w16cid:durableId="1912545796">
    <w:abstractNumId w:val="6"/>
  </w:num>
  <w:num w:numId="46" w16cid:durableId="632373768">
    <w:abstractNumId w:val="20"/>
  </w:num>
  <w:num w:numId="47" w16cid:durableId="265817585">
    <w:abstractNumId w:val="18"/>
  </w:num>
  <w:num w:numId="48" w16cid:durableId="1606959442">
    <w:abstractNumId w:val="35"/>
  </w:num>
  <w:num w:numId="49" w16cid:durableId="632371494">
    <w:abstractNumId w:val="12"/>
  </w:num>
  <w:num w:numId="50" w16cid:durableId="1705717013">
    <w:abstractNumId w:val="5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True"/>
    <w:docVar w:name="A4Portrait" w:val="Fals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Theme Color" w:val="Corporate"/>
    <w:docVar w:name="TOC" w:val="True"/>
    <w:docVar w:name="TOCNew" w:val="True"/>
    <w:docVar w:name="TOCType" w:val="Normal"/>
    <w:docVar w:name="UpdateTheme" w:val="False"/>
    <w:docVar w:name="Watermark" w:val=" "/>
    <w:docVar w:name="xAppendixName" w:val="Appendix"/>
    <w:docVar w:name="xHeadingsNumbered" w:val="False"/>
    <w:docVar w:name="xTOCApp" w:val="S"/>
    <w:docVar w:name="xTOCFigure" w:val="H"/>
    <w:docVar w:name="xTOCH2" w:val="Y"/>
    <w:docVar w:name="xTOCH3" w:val="Y"/>
    <w:docVar w:name="xTOCH4" w:val="Y"/>
    <w:docVar w:name="xTOCTable" w:val="H"/>
  </w:docVars>
  <w:rsids>
    <w:rsidRoot w:val="00330C71"/>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12BF"/>
    <w:rsid w:val="00011C29"/>
    <w:rsid w:val="00011F46"/>
    <w:rsid w:val="0001216C"/>
    <w:rsid w:val="000125A5"/>
    <w:rsid w:val="000128AB"/>
    <w:rsid w:val="0001294B"/>
    <w:rsid w:val="00012BCD"/>
    <w:rsid w:val="00012D6E"/>
    <w:rsid w:val="00012FAF"/>
    <w:rsid w:val="0001307F"/>
    <w:rsid w:val="00013173"/>
    <w:rsid w:val="000133B3"/>
    <w:rsid w:val="000139F9"/>
    <w:rsid w:val="00013C91"/>
    <w:rsid w:val="000147D8"/>
    <w:rsid w:val="000148DC"/>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1736"/>
    <w:rsid w:val="0003300C"/>
    <w:rsid w:val="000332EC"/>
    <w:rsid w:val="000337A3"/>
    <w:rsid w:val="00033B66"/>
    <w:rsid w:val="000343D3"/>
    <w:rsid w:val="000346D1"/>
    <w:rsid w:val="00034E7A"/>
    <w:rsid w:val="0003565D"/>
    <w:rsid w:val="00036064"/>
    <w:rsid w:val="000360F2"/>
    <w:rsid w:val="00036D45"/>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6E8"/>
    <w:rsid w:val="000517A4"/>
    <w:rsid w:val="000518FE"/>
    <w:rsid w:val="00051BFC"/>
    <w:rsid w:val="00051D5C"/>
    <w:rsid w:val="00052454"/>
    <w:rsid w:val="0005252A"/>
    <w:rsid w:val="000528CB"/>
    <w:rsid w:val="000531C8"/>
    <w:rsid w:val="00053C58"/>
    <w:rsid w:val="00053CC3"/>
    <w:rsid w:val="00054448"/>
    <w:rsid w:val="00054A64"/>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EC"/>
    <w:rsid w:val="000770EF"/>
    <w:rsid w:val="00077BDB"/>
    <w:rsid w:val="00077D57"/>
    <w:rsid w:val="00080082"/>
    <w:rsid w:val="000809F5"/>
    <w:rsid w:val="00080B70"/>
    <w:rsid w:val="000823F2"/>
    <w:rsid w:val="0008257E"/>
    <w:rsid w:val="00082701"/>
    <w:rsid w:val="00082CAC"/>
    <w:rsid w:val="00082EEC"/>
    <w:rsid w:val="00082F2B"/>
    <w:rsid w:val="00083038"/>
    <w:rsid w:val="00083241"/>
    <w:rsid w:val="000838F2"/>
    <w:rsid w:val="00084244"/>
    <w:rsid w:val="0008438B"/>
    <w:rsid w:val="000843B4"/>
    <w:rsid w:val="00084998"/>
    <w:rsid w:val="00084E5E"/>
    <w:rsid w:val="00085767"/>
    <w:rsid w:val="00085ACA"/>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2D8D"/>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09C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40F"/>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3C12"/>
    <w:rsid w:val="00103CFB"/>
    <w:rsid w:val="001042E1"/>
    <w:rsid w:val="0010455D"/>
    <w:rsid w:val="00104C22"/>
    <w:rsid w:val="0010532E"/>
    <w:rsid w:val="00105C15"/>
    <w:rsid w:val="00105FBE"/>
    <w:rsid w:val="00106BF0"/>
    <w:rsid w:val="00107C8F"/>
    <w:rsid w:val="0011038E"/>
    <w:rsid w:val="0011045B"/>
    <w:rsid w:val="00110623"/>
    <w:rsid w:val="00110760"/>
    <w:rsid w:val="0011087C"/>
    <w:rsid w:val="001109F2"/>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4A03"/>
    <w:rsid w:val="0011501B"/>
    <w:rsid w:val="001153CE"/>
    <w:rsid w:val="001156B1"/>
    <w:rsid w:val="0011585A"/>
    <w:rsid w:val="00116264"/>
    <w:rsid w:val="00116413"/>
    <w:rsid w:val="001167C6"/>
    <w:rsid w:val="001169AD"/>
    <w:rsid w:val="001176AC"/>
    <w:rsid w:val="001177D2"/>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2AB"/>
    <w:rsid w:val="0013044E"/>
    <w:rsid w:val="00130471"/>
    <w:rsid w:val="00130735"/>
    <w:rsid w:val="00130B14"/>
    <w:rsid w:val="0013134A"/>
    <w:rsid w:val="001320DB"/>
    <w:rsid w:val="00132534"/>
    <w:rsid w:val="0013258A"/>
    <w:rsid w:val="00132ECF"/>
    <w:rsid w:val="00133CEB"/>
    <w:rsid w:val="00133DA1"/>
    <w:rsid w:val="00133EF1"/>
    <w:rsid w:val="00133FBF"/>
    <w:rsid w:val="00134222"/>
    <w:rsid w:val="00134985"/>
    <w:rsid w:val="001359FC"/>
    <w:rsid w:val="00135A21"/>
    <w:rsid w:val="0013609B"/>
    <w:rsid w:val="0013641B"/>
    <w:rsid w:val="001369F7"/>
    <w:rsid w:val="00136DBE"/>
    <w:rsid w:val="001378AA"/>
    <w:rsid w:val="00137A24"/>
    <w:rsid w:val="00137E68"/>
    <w:rsid w:val="001406CA"/>
    <w:rsid w:val="001417FF"/>
    <w:rsid w:val="00141FDF"/>
    <w:rsid w:val="00142793"/>
    <w:rsid w:val="00142974"/>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13C"/>
    <w:rsid w:val="00166DAD"/>
    <w:rsid w:val="00166E6D"/>
    <w:rsid w:val="00166FB5"/>
    <w:rsid w:val="00167022"/>
    <w:rsid w:val="0016718E"/>
    <w:rsid w:val="0016782F"/>
    <w:rsid w:val="0017060B"/>
    <w:rsid w:val="00170701"/>
    <w:rsid w:val="00171B71"/>
    <w:rsid w:val="00171C7C"/>
    <w:rsid w:val="00172637"/>
    <w:rsid w:val="001726D4"/>
    <w:rsid w:val="001728B5"/>
    <w:rsid w:val="0017336D"/>
    <w:rsid w:val="001733E5"/>
    <w:rsid w:val="00173F1A"/>
    <w:rsid w:val="00174052"/>
    <w:rsid w:val="001745CE"/>
    <w:rsid w:val="00174A37"/>
    <w:rsid w:val="00174E84"/>
    <w:rsid w:val="001750A0"/>
    <w:rsid w:val="00175678"/>
    <w:rsid w:val="00175DCC"/>
    <w:rsid w:val="001762F3"/>
    <w:rsid w:val="001766D2"/>
    <w:rsid w:val="001768FA"/>
    <w:rsid w:val="001769A8"/>
    <w:rsid w:val="00177179"/>
    <w:rsid w:val="0017749D"/>
    <w:rsid w:val="001778A7"/>
    <w:rsid w:val="00177F02"/>
    <w:rsid w:val="001806B5"/>
    <w:rsid w:val="00180E8D"/>
    <w:rsid w:val="00180FF8"/>
    <w:rsid w:val="001813B0"/>
    <w:rsid w:val="001818D8"/>
    <w:rsid w:val="0018239D"/>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5F0C"/>
    <w:rsid w:val="00196A24"/>
    <w:rsid w:val="00196E13"/>
    <w:rsid w:val="0019756C"/>
    <w:rsid w:val="00197D54"/>
    <w:rsid w:val="001A0FC3"/>
    <w:rsid w:val="001A1B29"/>
    <w:rsid w:val="001A1E8A"/>
    <w:rsid w:val="001A26B9"/>
    <w:rsid w:val="001A3352"/>
    <w:rsid w:val="001A3695"/>
    <w:rsid w:val="001A3A8A"/>
    <w:rsid w:val="001A4052"/>
    <w:rsid w:val="001A44AA"/>
    <w:rsid w:val="001A4A74"/>
    <w:rsid w:val="001A59BB"/>
    <w:rsid w:val="001A5A0F"/>
    <w:rsid w:val="001A5B24"/>
    <w:rsid w:val="001A5B3F"/>
    <w:rsid w:val="001A5C62"/>
    <w:rsid w:val="001A63B0"/>
    <w:rsid w:val="001A6B09"/>
    <w:rsid w:val="001B017B"/>
    <w:rsid w:val="001B08FF"/>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6F9B"/>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607"/>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CE6"/>
    <w:rsid w:val="001D5D1A"/>
    <w:rsid w:val="001D5FC7"/>
    <w:rsid w:val="001D6139"/>
    <w:rsid w:val="001D6167"/>
    <w:rsid w:val="001D63D0"/>
    <w:rsid w:val="001D6627"/>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01"/>
    <w:rsid w:val="001E3629"/>
    <w:rsid w:val="001E3BB5"/>
    <w:rsid w:val="001E3E6C"/>
    <w:rsid w:val="001E43CC"/>
    <w:rsid w:val="001E48EA"/>
    <w:rsid w:val="001E51A2"/>
    <w:rsid w:val="001E57CA"/>
    <w:rsid w:val="001E59A1"/>
    <w:rsid w:val="001E5CD5"/>
    <w:rsid w:val="001E6421"/>
    <w:rsid w:val="001E6674"/>
    <w:rsid w:val="001E67C2"/>
    <w:rsid w:val="001E6F78"/>
    <w:rsid w:val="001E70EA"/>
    <w:rsid w:val="001E7FE0"/>
    <w:rsid w:val="001F0748"/>
    <w:rsid w:val="001F0A72"/>
    <w:rsid w:val="001F2252"/>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1797B"/>
    <w:rsid w:val="002204F3"/>
    <w:rsid w:val="00221061"/>
    <w:rsid w:val="00221E74"/>
    <w:rsid w:val="00222825"/>
    <w:rsid w:val="00222F2D"/>
    <w:rsid w:val="0022327F"/>
    <w:rsid w:val="0022339A"/>
    <w:rsid w:val="002239F4"/>
    <w:rsid w:val="002247B9"/>
    <w:rsid w:val="0022483C"/>
    <w:rsid w:val="002255AF"/>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1E7"/>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4B7"/>
    <w:rsid w:val="00243A45"/>
    <w:rsid w:val="002443A2"/>
    <w:rsid w:val="002445E5"/>
    <w:rsid w:val="002448CB"/>
    <w:rsid w:val="0024522B"/>
    <w:rsid w:val="00245460"/>
    <w:rsid w:val="00245EE0"/>
    <w:rsid w:val="002469E9"/>
    <w:rsid w:val="00246B20"/>
    <w:rsid w:val="00246FF0"/>
    <w:rsid w:val="00247A71"/>
    <w:rsid w:val="00247B03"/>
    <w:rsid w:val="00247DAF"/>
    <w:rsid w:val="00247E28"/>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6BD0"/>
    <w:rsid w:val="00256D5D"/>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57C"/>
    <w:rsid w:val="00265C0D"/>
    <w:rsid w:val="00265DE2"/>
    <w:rsid w:val="0026655E"/>
    <w:rsid w:val="002671CE"/>
    <w:rsid w:val="0026756C"/>
    <w:rsid w:val="002676DE"/>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6A9F"/>
    <w:rsid w:val="0027709F"/>
    <w:rsid w:val="00277125"/>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8C3"/>
    <w:rsid w:val="00290A59"/>
    <w:rsid w:val="00290C29"/>
    <w:rsid w:val="00290CBC"/>
    <w:rsid w:val="00291105"/>
    <w:rsid w:val="00291AB8"/>
    <w:rsid w:val="00291CB7"/>
    <w:rsid w:val="00292442"/>
    <w:rsid w:val="00292951"/>
    <w:rsid w:val="002932B2"/>
    <w:rsid w:val="00294B76"/>
    <w:rsid w:val="00294BD5"/>
    <w:rsid w:val="0029507F"/>
    <w:rsid w:val="002953E2"/>
    <w:rsid w:val="002956B8"/>
    <w:rsid w:val="0029579B"/>
    <w:rsid w:val="00295CE4"/>
    <w:rsid w:val="00295F38"/>
    <w:rsid w:val="00295FA2"/>
    <w:rsid w:val="00296ABF"/>
    <w:rsid w:val="00296C8A"/>
    <w:rsid w:val="002975D7"/>
    <w:rsid w:val="002977C9"/>
    <w:rsid w:val="00297960"/>
    <w:rsid w:val="00297B92"/>
    <w:rsid w:val="00297C2D"/>
    <w:rsid w:val="002A0097"/>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7185"/>
    <w:rsid w:val="002B742D"/>
    <w:rsid w:val="002B78A9"/>
    <w:rsid w:val="002B78E8"/>
    <w:rsid w:val="002B790E"/>
    <w:rsid w:val="002B79D7"/>
    <w:rsid w:val="002B7B5A"/>
    <w:rsid w:val="002B7D64"/>
    <w:rsid w:val="002C02B3"/>
    <w:rsid w:val="002C03AB"/>
    <w:rsid w:val="002C0569"/>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48D3"/>
    <w:rsid w:val="002D4B23"/>
    <w:rsid w:val="002D7AA5"/>
    <w:rsid w:val="002E03B0"/>
    <w:rsid w:val="002E0ED2"/>
    <w:rsid w:val="002E1116"/>
    <w:rsid w:val="002E1F33"/>
    <w:rsid w:val="002E22BE"/>
    <w:rsid w:val="002E2436"/>
    <w:rsid w:val="002E3000"/>
    <w:rsid w:val="002E34C5"/>
    <w:rsid w:val="002E3829"/>
    <w:rsid w:val="002E3B71"/>
    <w:rsid w:val="002E4E4D"/>
    <w:rsid w:val="002E5553"/>
    <w:rsid w:val="002E585E"/>
    <w:rsid w:val="002E5D2F"/>
    <w:rsid w:val="002E5D33"/>
    <w:rsid w:val="002E5E0C"/>
    <w:rsid w:val="002E6414"/>
    <w:rsid w:val="002E6528"/>
    <w:rsid w:val="002E681F"/>
    <w:rsid w:val="002E7557"/>
    <w:rsid w:val="002E7BB7"/>
    <w:rsid w:val="002F0183"/>
    <w:rsid w:val="002F07A6"/>
    <w:rsid w:val="002F0FDE"/>
    <w:rsid w:val="002F13C5"/>
    <w:rsid w:val="002F15F9"/>
    <w:rsid w:val="002F198D"/>
    <w:rsid w:val="002F1E3D"/>
    <w:rsid w:val="002F2402"/>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1C5B"/>
    <w:rsid w:val="0030259D"/>
    <w:rsid w:val="00302822"/>
    <w:rsid w:val="00302A0C"/>
    <w:rsid w:val="00302ACE"/>
    <w:rsid w:val="00302B66"/>
    <w:rsid w:val="00303508"/>
    <w:rsid w:val="0030427C"/>
    <w:rsid w:val="00304AC1"/>
    <w:rsid w:val="003055C4"/>
    <w:rsid w:val="00305B2B"/>
    <w:rsid w:val="003060A8"/>
    <w:rsid w:val="00306252"/>
    <w:rsid w:val="00306727"/>
    <w:rsid w:val="00307DFA"/>
    <w:rsid w:val="0031041C"/>
    <w:rsid w:val="0031053E"/>
    <w:rsid w:val="003107C8"/>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095"/>
    <w:rsid w:val="003214C0"/>
    <w:rsid w:val="00321517"/>
    <w:rsid w:val="00321A79"/>
    <w:rsid w:val="00324524"/>
    <w:rsid w:val="003246ED"/>
    <w:rsid w:val="0032487E"/>
    <w:rsid w:val="00325018"/>
    <w:rsid w:val="00325069"/>
    <w:rsid w:val="00325A9E"/>
    <w:rsid w:val="00325BB2"/>
    <w:rsid w:val="00325E0A"/>
    <w:rsid w:val="0032622C"/>
    <w:rsid w:val="00326A25"/>
    <w:rsid w:val="00326E64"/>
    <w:rsid w:val="003278BA"/>
    <w:rsid w:val="00327AC2"/>
    <w:rsid w:val="003306A2"/>
    <w:rsid w:val="00330C71"/>
    <w:rsid w:val="00330D46"/>
    <w:rsid w:val="00331625"/>
    <w:rsid w:val="00331931"/>
    <w:rsid w:val="00331C3A"/>
    <w:rsid w:val="00332F2C"/>
    <w:rsid w:val="00333033"/>
    <w:rsid w:val="0033314C"/>
    <w:rsid w:val="00333179"/>
    <w:rsid w:val="003337C6"/>
    <w:rsid w:val="00333D25"/>
    <w:rsid w:val="003340B8"/>
    <w:rsid w:val="0033440F"/>
    <w:rsid w:val="003347F7"/>
    <w:rsid w:val="00334875"/>
    <w:rsid w:val="0033515A"/>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5068B"/>
    <w:rsid w:val="00351996"/>
    <w:rsid w:val="00351B0C"/>
    <w:rsid w:val="00351C28"/>
    <w:rsid w:val="0035206E"/>
    <w:rsid w:val="003521D1"/>
    <w:rsid w:val="00352E5F"/>
    <w:rsid w:val="00353F59"/>
    <w:rsid w:val="003541B7"/>
    <w:rsid w:val="00354A7F"/>
    <w:rsid w:val="00355335"/>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5FE5"/>
    <w:rsid w:val="0036600D"/>
    <w:rsid w:val="00366B4B"/>
    <w:rsid w:val="00366E1B"/>
    <w:rsid w:val="0036739A"/>
    <w:rsid w:val="0036747C"/>
    <w:rsid w:val="0036747E"/>
    <w:rsid w:val="00370000"/>
    <w:rsid w:val="00370C5B"/>
    <w:rsid w:val="003718C3"/>
    <w:rsid w:val="00371A0A"/>
    <w:rsid w:val="00371E29"/>
    <w:rsid w:val="003727CD"/>
    <w:rsid w:val="003731E8"/>
    <w:rsid w:val="00373597"/>
    <w:rsid w:val="00373A73"/>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682"/>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D07"/>
    <w:rsid w:val="003D1B95"/>
    <w:rsid w:val="003D2616"/>
    <w:rsid w:val="003D2A34"/>
    <w:rsid w:val="003D2FC3"/>
    <w:rsid w:val="003D3028"/>
    <w:rsid w:val="003D3FBD"/>
    <w:rsid w:val="003D4029"/>
    <w:rsid w:val="003D432D"/>
    <w:rsid w:val="003D44EC"/>
    <w:rsid w:val="003D4E8A"/>
    <w:rsid w:val="003D4F8B"/>
    <w:rsid w:val="003D5307"/>
    <w:rsid w:val="003D5FA2"/>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75B"/>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1F7"/>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2A85"/>
    <w:rsid w:val="00413AAE"/>
    <w:rsid w:val="0041436F"/>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555"/>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BD5"/>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5AD"/>
    <w:rsid w:val="00441854"/>
    <w:rsid w:val="00441D94"/>
    <w:rsid w:val="0044218D"/>
    <w:rsid w:val="00442B8D"/>
    <w:rsid w:val="004435BE"/>
    <w:rsid w:val="004439FC"/>
    <w:rsid w:val="00443F49"/>
    <w:rsid w:val="00444235"/>
    <w:rsid w:val="00444286"/>
    <w:rsid w:val="00444B64"/>
    <w:rsid w:val="00444D80"/>
    <w:rsid w:val="00445724"/>
    <w:rsid w:val="00445A23"/>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3DED"/>
    <w:rsid w:val="00454104"/>
    <w:rsid w:val="004546C8"/>
    <w:rsid w:val="004547DD"/>
    <w:rsid w:val="00454D17"/>
    <w:rsid w:val="00454E6C"/>
    <w:rsid w:val="004551B7"/>
    <w:rsid w:val="00455994"/>
    <w:rsid w:val="00455FB7"/>
    <w:rsid w:val="004565E0"/>
    <w:rsid w:val="00456F3C"/>
    <w:rsid w:val="0045706A"/>
    <w:rsid w:val="00457877"/>
    <w:rsid w:val="00457963"/>
    <w:rsid w:val="0045796F"/>
    <w:rsid w:val="00460B70"/>
    <w:rsid w:val="00460EB8"/>
    <w:rsid w:val="00461991"/>
    <w:rsid w:val="004620C7"/>
    <w:rsid w:val="00462258"/>
    <w:rsid w:val="00462C55"/>
    <w:rsid w:val="00463436"/>
    <w:rsid w:val="00463E1E"/>
    <w:rsid w:val="0046413C"/>
    <w:rsid w:val="004646F8"/>
    <w:rsid w:val="00464A44"/>
    <w:rsid w:val="0046505F"/>
    <w:rsid w:val="00465844"/>
    <w:rsid w:val="004658A0"/>
    <w:rsid w:val="00465B13"/>
    <w:rsid w:val="00465F13"/>
    <w:rsid w:val="00466199"/>
    <w:rsid w:val="004664F8"/>
    <w:rsid w:val="00467141"/>
    <w:rsid w:val="004673DE"/>
    <w:rsid w:val="00467742"/>
    <w:rsid w:val="00467BF7"/>
    <w:rsid w:val="00467E43"/>
    <w:rsid w:val="004704E2"/>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CBB"/>
    <w:rsid w:val="00475F2F"/>
    <w:rsid w:val="00476141"/>
    <w:rsid w:val="00476168"/>
    <w:rsid w:val="00476BFB"/>
    <w:rsid w:val="00477040"/>
    <w:rsid w:val="004777FB"/>
    <w:rsid w:val="0048059B"/>
    <w:rsid w:val="00480DC6"/>
    <w:rsid w:val="00481674"/>
    <w:rsid w:val="00481819"/>
    <w:rsid w:val="00481A08"/>
    <w:rsid w:val="00481DB8"/>
    <w:rsid w:val="00481EB7"/>
    <w:rsid w:val="00482114"/>
    <w:rsid w:val="004821C9"/>
    <w:rsid w:val="004822B8"/>
    <w:rsid w:val="0048263F"/>
    <w:rsid w:val="00482677"/>
    <w:rsid w:val="00482D14"/>
    <w:rsid w:val="00482E90"/>
    <w:rsid w:val="004831EE"/>
    <w:rsid w:val="0048370C"/>
    <w:rsid w:val="00483D8C"/>
    <w:rsid w:val="00484D6B"/>
    <w:rsid w:val="00484F7A"/>
    <w:rsid w:val="00485885"/>
    <w:rsid w:val="00486301"/>
    <w:rsid w:val="0048667B"/>
    <w:rsid w:val="00486FC3"/>
    <w:rsid w:val="004874B9"/>
    <w:rsid w:val="00487817"/>
    <w:rsid w:val="00487A04"/>
    <w:rsid w:val="00487AC3"/>
    <w:rsid w:val="00487B4F"/>
    <w:rsid w:val="00487C2C"/>
    <w:rsid w:val="004902CA"/>
    <w:rsid w:val="00490510"/>
    <w:rsid w:val="00490907"/>
    <w:rsid w:val="00490C15"/>
    <w:rsid w:val="00490C8A"/>
    <w:rsid w:val="004918EE"/>
    <w:rsid w:val="00492DE1"/>
    <w:rsid w:val="00493124"/>
    <w:rsid w:val="004931C9"/>
    <w:rsid w:val="0049351D"/>
    <w:rsid w:val="00493F24"/>
    <w:rsid w:val="00494252"/>
    <w:rsid w:val="004944B4"/>
    <w:rsid w:val="00494963"/>
    <w:rsid w:val="00494D37"/>
    <w:rsid w:val="00494F94"/>
    <w:rsid w:val="0049582F"/>
    <w:rsid w:val="00495C62"/>
    <w:rsid w:val="004968A0"/>
    <w:rsid w:val="00496AAB"/>
    <w:rsid w:val="004970E9"/>
    <w:rsid w:val="0049762C"/>
    <w:rsid w:val="00497A43"/>
    <w:rsid w:val="00497A91"/>
    <w:rsid w:val="00497F76"/>
    <w:rsid w:val="004A0129"/>
    <w:rsid w:val="004A0190"/>
    <w:rsid w:val="004A0DF7"/>
    <w:rsid w:val="004A0EB5"/>
    <w:rsid w:val="004A0EBB"/>
    <w:rsid w:val="004A1389"/>
    <w:rsid w:val="004A167F"/>
    <w:rsid w:val="004A171B"/>
    <w:rsid w:val="004A1C1F"/>
    <w:rsid w:val="004A226C"/>
    <w:rsid w:val="004A246B"/>
    <w:rsid w:val="004A2AD0"/>
    <w:rsid w:val="004A33A3"/>
    <w:rsid w:val="004A3B23"/>
    <w:rsid w:val="004A4D43"/>
    <w:rsid w:val="004A54A4"/>
    <w:rsid w:val="004A5BD7"/>
    <w:rsid w:val="004A6286"/>
    <w:rsid w:val="004A641C"/>
    <w:rsid w:val="004A6F63"/>
    <w:rsid w:val="004A731E"/>
    <w:rsid w:val="004A7370"/>
    <w:rsid w:val="004A7B24"/>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381"/>
    <w:rsid w:val="004C2DF8"/>
    <w:rsid w:val="004C2EC4"/>
    <w:rsid w:val="004C300E"/>
    <w:rsid w:val="004C4381"/>
    <w:rsid w:val="004C47E5"/>
    <w:rsid w:val="004C5059"/>
    <w:rsid w:val="004C5672"/>
    <w:rsid w:val="004C57AD"/>
    <w:rsid w:val="004C60F5"/>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081"/>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51DB"/>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1901"/>
    <w:rsid w:val="0050214D"/>
    <w:rsid w:val="005021BD"/>
    <w:rsid w:val="00502F94"/>
    <w:rsid w:val="005038D0"/>
    <w:rsid w:val="00503CC8"/>
    <w:rsid w:val="00503F05"/>
    <w:rsid w:val="00504037"/>
    <w:rsid w:val="005040D3"/>
    <w:rsid w:val="005047D7"/>
    <w:rsid w:val="005048DB"/>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20DD8"/>
    <w:rsid w:val="00521461"/>
    <w:rsid w:val="005217FD"/>
    <w:rsid w:val="00521E80"/>
    <w:rsid w:val="00522745"/>
    <w:rsid w:val="00522CAE"/>
    <w:rsid w:val="00522D70"/>
    <w:rsid w:val="00522FB7"/>
    <w:rsid w:val="00523430"/>
    <w:rsid w:val="00523560"/>
    <w:rsid w:val="0052383B"/>
    <w:rsid w:val="005238DE"/>
    <w:rsid w:val="00524213"/>
    <w:rsid w:val="00524EFB"/>
    <w:rsid w:val="00525264"/>
    <w:rsid w:val="005254C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78"/>
    <w:rsid w:val="005664B7"/>
    <w:rsid w:val="00566D07"/>
    <w:rsid w:val="00566D20"/>
    <w:rsid w:val="00566E04"/>
    <w:rsid w:val="00567685"/>
    <w:rsid w:val="0057019D"/>
    <w:rsid w:val="0057036C"/>
    <w:rsid w:val="0057262E"/>
    <w:rsid w:val="00572853"/>
    <w:rsid w:val="00572D49"/>
    <w:rsid w:val="0057392D"/>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A6E"/>
    <w:rsid w:val="00596B04"/>
    <w:rsid w:val="00596CF7"/>
    <w:rsid w:val="00596F6F"/>
    <w:rsid w:val="0059706F"/>
    <w:rsid w:val="00597959"/>
    <w:rsid w:val="00597C60"/>
    <w:rsid w:val="005A018A"/>
    <w:rsid w:val="005A09FD"/>
    <w:rsid w:val="005A0B6E"/>
    <w:rsid w:val="005A0F77"/>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2CB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1A"/>
    <w:rsid w:val="005C4B58"/>
    <w:rsid w:val="005C565E"/>
    <w:rsid w:val="005C5889"/>
    <w:rsid w:val="005C5950"/>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0F4"/>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8"/>
    <w:rsid w:val="005F272A"/>
    <w:rsid w:val="005F277D"/>
    <w:rsid w:val="005F2CA7"/>
    <w:rsid w:val="005F2FD2"/>
    <w:rsid w:val="005F38F7"/>
    <w:rsid w:val="005F3ACF"/>
    <w:rsid w:val="005F3BFD"/>
    <w:rsid w:val="005F422E"/>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0B"/>
    <w:rsid w:val="00624360"/>
    <w:rsid w:val="0062488E"/>
    <w:rsid w:val="00624CF2"/>
    <w:rsid w:val="0062553A"/>
    <w:rsid w:val="0062575A"/>
    <w:rsid w:val="00625EF4"/>
    <w:rsid w:val="00626215"/>
    <w:rsid w:val="00627DAE"/>
    <w:rsid w:val="00630C13"/>
    <w:rsid w:val="006310C1"/>
    <w:rsid w:val="00631E3B"/>
    <w:rsid w:val="00631F4C"/>
    <w:rsid w:val="00631FAF"/>
    <w:rsid w:val="00632211"/>
    <w:rsid w:val="00632574"/>
    <w:rsid w:val="00632F36"/>
    <w:rsid w:val="00633405"/>
    <w:rsid w:val="006335A3"/>
    <w:rsid w:val="00633FDC"/>
    <w:rsid w:val="00634701"/>
    <w:rsid w:val="006347FE"/>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698E"/>
    <w:rsid w:val="00646A36"/>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10B"/>
    <w:rsid w:val="006549E1"/>
    <w:rsid w:val="00654BFF"/>
    <w:rsid w:val="00654C22"/>
    <w:rsid w:val="00654F3E"/>
    <w:rsid w:val="00655130"/>
    <w:rsid w:val="006551A8"/>
    <w:rsid w:val="00656918"/>
    <w:rsid w:val="006572F0"/>
    <w:rsid w:val="006573DF"/>
    <w:rsid w:val="0065751D"/>
    <w:rsid w:val="006576A7"/>
    <w:rsid w:val="006579BD"/>
    <w:rsid w:val="00657DAA"/>
    <w:rsid w:val="0066034F"/>
    <w:rsid w:val="0066072A"/>
    <w:rsid w:val="006614E4"/>
    <w:rsid w:val="006616EF"/>
    <w:rsid w:val="00661A78"/>
    <w:rsid w:val="00661E1D"/>
    <w:rsid w:val="00661F65"/>
    <w:rsid w:val="00662170"/>
    <w:rsid w:val="00662283"/>
    <w:rsid w:val="00662E03"/>
    <w:rsid w:val="00662E7B"/>
    <w:rsid w:val="00663005"/>
    <w:rsid w:val="00663073"/>
    <w:rsid w:val="00663CDF"/>
    <w:rsid w:val="00663F50"/>
    <w:rsid w:val="00663FD9"/>
    <w:rsid w:val="00664075"/>
    <w:rsid w:val="00664787"/>
    <w:rsid w:val="00664AA6"/>
    <w:rsid w:val="00664B8C"/>
    <w:rsid w:val="00665967"/>
    <w:rsid w:val="00665B44"/>
    <w:rsid w:val="00666207"/>
    <w:rsid w:val="006666E4"/>
    <w:rsid w:val="00666A21"/>
    <w:rsid w:val="00666B9E"/>
    <w:rsid w:val="00666F87"/>
    <w:rsid w:val="00667922"/>
    <w:rsid w:val="00670F4A"/>
    <w:rsid w:val="00671029"/>
    <w:rsid w:val="00671194"/>
    <w:rsid w:val="006714CC"/>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816E7"/>
    <w:rsid w:val="006828B9"/>
    <w:rsid w:val="00682AC9"/>
    <w:rsid w:val="00682B18"/>
    <w:rsid w:val="006838F2"/>
    <w:rsid w:val="006846EA"/>
    <w:rsid w:val="00684FD1"/>
    <w:rsid w:val="00685CEE"/>
    <w:rsid w:val="00685D88"/>
    <w:rsid w:val="006869AA"/>
    <w:rsid w:val="00686F5B"/>
    <w:rsid w:val="00687998"/>
    <w:rsid w:val="006905D1"/>
    <w:rsid w:val="006907DD"/>
    <w:rsid w:val="00690971"/>
    <w:rsid w:val="006912DF"/>
    <w:rsid w:val="00691348"/>
    <w:rsid w:val="00691E31"/>
    <w:rsid w:val="00691F19"/>
    <w:rsid w:val="00691F77"/>
    <w:rsid w:val="00691FCC"/>
    <w:rsid w:val="006920A9"/>
    <w:rsid w:val="006926C9"/>
    <w:rsid w:val="006933DC"/>
    <w:rsid w:val="00693729"/>
    <w:rsid w:val="00694268"/>
    <w:rsid w:val="006942E6"/>
    <w:rsid w:val="0069439A"/>
    <w:rsid w:val="00694C72"/>
    <w:rsid w:val="00694D4B"/>
    <w:rsid w:val="00694F35"/>
    <w:rsid w:val="006953A7"/>
    <w:rsid w:val="00695A70"/>
    <w:rsid w:val="006A09EE"/>
    <w:rsid w:val="006A0A3B"/>
    <w:rsid w:val="006A0EE1"/>
    <w:rsid w:val="006A1B45"/>
    <w:rsid w:val="006A1D29"/>
    <w:rsid w:val="006A2255"/>
    <w:rsid w:val="006A22AE"/>
    <w:rsid w:val="006A2FDA"/>
    <w:rsid w:val="006A30ED"/>
    <w:rsid w:val="006A381E"/>
    <w:rsid w:val="006A384C"/>
    <w:rsid w:val="006A39C7"/>
    <w:rsid w:val="006A3CBF"/>
    <w:rsid w:val="006A3D28"/>
    <w:rsid w:val="006A458B"/>
    <w:rsid w:val="006A4BB3"/>
    <w:rsid w:val="006A57E9"/>
    <w:rsid w:val="006A5BE5"/>
    <w:rsid w:val="006A60EE"/>
    <w:rsid w:val="006A60F2"/>
    <w:rsid w:val="006A69CB"/>
    <w:rsid w:val="006A71FE"/>
    <w:rsid w:val="006A741E"/>
    <w:rsid w:val="006A777D"/>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637"/>
    <w:rsid w:val="006B6A6F"/>
    <w:rsid w:val="006B6B90"/>
    <w:rsid w:val="006B76E9"/>
    <w:rsid w:val="006B772C"/>
    <w:rsid w:val="006C1639"/>
    <w:rsid w:val="006C1693"/>
    <w:rsid w:val="006C16F4"/>
    <w:rsid w:val="006C1C0A"/>
    <w:rsid w:val="006C2714"/>
    <w:rsid w:val="006C287F"/>
    <w:rsid w:val="006C3139"/>
    <w:rsid w:val="006C34D1"/>
    <w:rsid w:val="006C384B"/>
    <w:rsid w:val="006C3AF1"/>
    <w:rsid w:val="006C3BC5"/>
    <w:rsid w:val="006C441F"/>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CB1"/>
    <w:rsid w:val="006E3D17"/>
    <w:rsid w:val="006E3D3C"/>
    <w:rsid w:val="006E3DDA"/>
    <w:rsid w:val="006E3E8F"/>
    <w:rsid w:val="006E479E"/>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4DA6"/>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9EA"/>
    <w:rsid w:val="00705C2C"/>
    <w:rsid w:val="00705D34"/>
    <w:rsid w:val="00706311"/>
    <w:rsid w:val="00706362"/>
    <w:rsid w:val="0070638A"/>
    <w:rsid w:val="007066EA"/>
    <w:rsid w:val="0070708F"/>
    <w:rsid w:val="00707769"/>
    <w:rsid w:val="007077B6"/>
    <w:rsid w:val="0071015D"/>
    <w:rsid w:val="00710906"/>
    <w:rsid w:val="007113ED"/>
    <w:rsid w:val="00712157"/>
    <w:rsid w:val="00712433"/>
    <w:rsid w:val="00712590"/>
    <w:rsid w:val="00712C1D"/>
    <w:rsid w:val="00712E01"/>
    <w:rsid w:val="00712EA1"/>
    <w:rsid w:val="0071398B"/>
    <w:rsid w:val="00713AB4"/>
    <w:rsid w:val="00713E35"/>
    <w:rsid w:val="0071453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298E"/>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0D1A"/>
    <w:rsid w:val="0075101B"/>
    <w:rsid w:val="00751028"/>
    <w:rsid w:val="0075108F"/>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37D2"/>
    <w:rsid w:val="007B3CEB"/>
    <w:rsid w:val="007B3DAC"/>
    <w:rsid w:val="007B47D3"/>
    <w:rsid w:val="007B4C95"/>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935"/>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F0D3C"/>
    <w:rsid w:val="007F12FF"/>
    <w:rsid w:val="007F1347"/>
    <w:rsid w:val="007F1526"/>
    <w:rsid w:val="007F17D1"/>
    <w:rsid w:val="007F18AD"/>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5E14"/>
    <w:rsid w:val="008060A1"/>
    <w:rsid w:val="0080645F"/>
    <w:rsid w:val="00806F9D"/>
    <w:rsid w:val="00807484"/>
    <w:rsid w:val="008078A9"/>
    <w:rsid w:val="00810747"/>
    <w:rsid w:val="0081135E"/>
    <w:rsid w:val="00811C69"/>
    <w:rsid w:val="00811EFC"/>
    <w:rsid w:val="00812114"/>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2A8A"/>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2F4"/>
    <w:rsid w:val="008505BB"/>
    <w:rsid w:val="008511B9"/>
    <w:rsid w:val="0085219D"/>
    <w:rsid w:val="00852497"/>
    <w:rsid w:val="00852D2C"/>
    <w:rsid w:val="00852DF1"/>
    <w:rsid w:val="008531CC"/>
    <w:rsid w:val="008535E9"/>
    <w:rsid w:val="00853988"/>
    <w:rsid w:val="00853A46"/>
    <w:rsid w:val="00853F2C"/>
    <w:rsid w:val="00854A0F"/>
    <w:rsid w:val="00854B2A"/>
    <w:rsid w:val="00856573"/>
    <w:rsid w:val="008565AA"/>
    <w:rsid w:val="00857361"/>
    <w:rsid w:val="008579CB"/>
    <w:rsid w:val="0086023E"/>
    <w:rsid w:val="00860296"/>
    <w:rsid w:val="00860DDF"/>
    <w:rsid w:val="0086172F"/>
    <w:rsid w:val="00861EA4"/>
    <w:rsid w:val="00862057"/>
    <w:rsid w:val="008624EC"/>
    <w:rsid w:val="008625C9"/>
    <w:rsid w:val="00863C85"/>
    <w:rsid w:val="00863D6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1E53"/>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6807"/>
    <w:rsid w:val="00887033"/>
    <w:rsid w:val="0088791E"/>
    <w:rsid w:val="00887CAE"/>
    <w:rsid w:val="00890263"/>
    <w:rsid w:val="00890781"/>
    <w:rsid w:val="008908C9"/>
    <w:rsid w:val="00890E56"/>
    <w:rsid w:val="008912A8"/>
    <w:rsid w:val="0089136F"/>
    <w:rsid w:val="008920BD"/>
    <w:rsid w:val="00892153"/>
    <w:rsid w:val="00893404"/>
    <w:rsid w:val="00894097"/>
    <w:rsid w:val="00894DB9"/>
    <w:rsid w:val="008951E1"/>
    <w:rsid w:val="008957CE"/>
    <w:rsid w:val="0089594C"/>
    <w:rsid w:val="008963EF"/>
    <w:rsid w:val="00896F15"/>
    <w:rsid w:val="0089732D"/>
    <w:rsid w:val="008973BF"/>
    <w:rsid w:val="0089760C"/>
    <w:rsid w:val="008A0667"/>
    <w:rsid w:val="008A0727"/>
    <w:rsid w:val="008A0940"/>
    <w:rsid w:val="008A17BE"/>
    <w:rsid w:val="008A17C5"/>
    <w:rsid w:val="008A19B9"/>
    <w:rsid w:val="008A27F2"/>
    <w:rsid w:val="008A2A93"/>
    <w:rsid w:val="008A2E7A"/>
    <w:rsid w:val="008A2FF2"/>
    <w:rsid w:val="008A3FCD"/>
    <w:rsid w:val="008A45F2"/>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13D"/>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4978"/>
    <w:rsid w:val="008E4B5F"/>
    <w:rsid w:val="008E4BCA"/>
    <w:rsid w:val="008E4DF5"/>
    <w:rsid w:val="008E4F7E"/>
    <w:rsid w:val="008E6512"/>
    <w:rsid w:val="008E6956"/>
    <w:rsid w:val="008E7175"/>
    <w:rsid w:val="008E7E66"/>
    <w:rsid w:val="008F01E8"/>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1B00"/>
    <w:rsid w:val="009022C6"/>
    <w:rsid w:val="009024DD"/>
    <w:rsid w:val="00902851"/>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494C"/>
    <w:rsid w:val="00915910"/>
    <w:rsid w:val="009160C5"/>
    <w:rsid w:val="0091646A"/>
    <w:rsid w:val="00920056"/>
    <w:rsid w:val="009207FE"/>
    <w:rsid w:val="00921438"/>
    <w:rsid w:val="00922232"/>
    <w:rsid w:val="009223A8"/>
    <w:rsid w:val="00922885"/>
    <w:rsid w:val="00922905"/>
    <w:rsid w:val="00922BF0"/>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21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A3E"/>
    <w:rsid w:val="00935C7B"/>
    <w:rsid w:val="00936145"/>
    <w:rsid w:val="00936AC0"/>
    <w:rsid w:val="00937ADF"/>
    <w:rsid w:val="00937BCF"/>
    <w:rsid w:val="00940A06"/>
    <w:rsid w:val="00940A90"/>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4FDC"/>
    <w:rsid w:val="00955003"/>
    <w:rsid w:val="00955D2B"/>
    <w:rsid w:val="00955D69"/>
    <w:rsid w:val="00956500"/>
    <w:rsid w:val="00956965"/>
    <w:rsid w:val="009569CB"/>
    <w:rsid w:val="0095746D"/>
    <w:rsid w:val="009574BD"/>
    <w:rsid w:val="009578A3"/>
    <w:rsid w:val="00957E3C"/>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5D5"/>
    <w:rsid w:val="0097097C"/>
    <w:rsid w:val="00971624"/>
    <w:rsid w:val="00971763"/>
    <w:rsid w:val="0097194C"/>
    <w:rsid w:val="009720CA"/>
    <w:rsid w:val="0097248E"/>
    <w:rsid w:val="009737F6"/>
    <w:rsid w:val="00973919"/>
    <w:rsid w:val="00973EB7"/>
    <w:rsid w:val="0097651A"/>
    <w:rsid w:val="00976609"/>
    <w:rsid w:val="009766B5"/>
    <w:rsid w:val="00976FB8"/>
    <w:rsid w:val="009773C9"/>
    <w:rsid w:val="009774BA"/>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86F62"/>
    <w:rsid w:val="00990D01"/>
    <w:rsid w:val="00990D30"/>
    <w:rsid w:val="00990EE2"/>
    <w:rsid w:val="00991C1B"/>
    <w:rsid w:val="009921E9"/>
    <w:rsid w:val="0099276A"/>
    <w:rsid w:val="00992C1A"/>
    <w:rsid w:val="00993B2B"/>
    <w:rsid w:val="00993D33"/>
    <w:rsid w:val="00993E08"/>
    <w:rsid w:val="00993E4A"/>
    <w:rsid w:val="00993E8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04F"/>
    <w:rsid w:val="009A331D"/>
    <w:rsid w:val="009A370B"/>
    <w:rsid w:val="009A3D30"/>
    <w:rsid w:val="009A3D84"/>
    <w:rsid w:val="009A4449"/>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11D7"/>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6FC"/>
    <w:rsid w:val="009D17AD"/>
    <w:rsid w:val="009D1828"/>
    <w:rsid w:val="009D1BC9"/>
    <w:rsid w:val="009D1D76"/>
    <w:rsid w:val="009D21FE"/>
    <w:rsid w:val="009D246B"/>
    <w:rsid w:val="009D2787"/>
    <w:rsid w:val="009D2B29"/>
    <w:rsid w:val="009D3777"/>
    <w:rsid w:val="009D4408"/>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D6F"/>
    <w:rsid w:val="00A22E78"/>
    <w:rsid w:val="00A237D9"/>
    <w:rsid w:val="00A2384D"/>
    <w:rsid w:val="00A23A5B"/>
    <w:rsid w:val="00A246B1"/>
    <w:rsid w:val="00A253AD"/>
    <w:rsid w:val="00A2568B"/>
    <w:rsid w:val="00A26057"/>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5AE"/>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2F9F"/>
    <w:rsid w:val="00A536AF"/>
    <w:rsid w:val="00A547B3"/>
    <w:rsid w:val="00A54DE0"/>
    <w:rsid w:val="00A55AF8"/>
    <w:rsid w:val="00A608E7"/>
    <w:rsid w:val="00A60E14"/>
    <w:rsid w:val="00A61A2B"/>
    <w:rsid w:val="00A61C90"/>
    <w:rsid w:val="00A6211F"/>
    <w:rsid w:val="00A62989"/>
    <w:rsid w:val="00A62F23"/>
    <w:rsid w:val="00A63094"/>
    <w:rsid w:val="00A6309D"/>
    <w:rsid w:val="00A639E3"/>
    <w:rsid w:val="00A63D16"/>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1FBF"/>
    <w:rsid w:val="00A82130"/>
    <w:rsid w:val="00A82200"/>
    <w:rsid w:val="00A82495"/>
    <w:rsid w:val="00A82567"/>
    <w:rsid w:val="00A826AE"/>
    <w:rsid w:val="00A82DC0"/>
    <w:rsid w:val="00A8313C"/>
    <w:rsid w:val="00A84170"/>
    <w:rsid w:val="00A84FD0"/>
    <w:rsid w:val="00A853E0"/>
    <w:rsid w:val="00A85731"/>
    <w:rsid w:val="00A85E99"/>
    <w:rsid w:val="00A86607"/>
    <w:rsid w:val="00A8679F"/>
    <w:rsid w:val="00A86F0E"/>
    <w:rsid w:val="00A87065"/>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046"/>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6B"/>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40"/>
    <w:rsid w:val="00AD1FD7"/>
    <w:rsid w:val="00AD2676"/>
    <w:rsid w:val="00AD26D0"/>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2D8E"/>
    <w:rsid w:val="00AE324B"/>
    <w:rsid w:val="00AE3D93"/>
    <w:rsid w:val="00AE4ABE"/>
    <w:rsid w:val="00AE4D23"/>
    <w:rsid w:val="00AE5749"/>
    <w:rsid w:val="00AE599C"/>
    <w:rsid w:val="00AE5BE7"/>
    <w:rsid w:val="00AE64AC"/>
    <w:rsid w:val="00AE6FD4"/>
    <w:rsid w:val="00AE6FDF"/>
    <w:rsid w:val="00AE70ED"/>
    <w:rsid w:val="00AE74DF"/>
    <w:rsid w:val="00AE752E"/>
    <w:rsid w:val="00AF139C"/>
    <w:rsid w:val="00AF1E3A"/>
    <w:rsid w:val="00AF1F43"/>
    <w:rsid w:val="00AF239D"/>
    <w:rsid w:val="00AF28CA"/>
    <w:rsid w:val="00AF3062"/>
    <w:rsid w:val="00AF3D25"/>
    <w:rsid w:val="00AF50FF"/>
    <w:rsid w:val="00AF533B"/>
    <w:rsid w:val="00AF5E22"/>
    <w:rsid w:val="00AF5F7A"/>
    <w:rsid w:val="00AF6A4A"/>
    <w:rsid w:val="00AF7AB9"/>
    <w:rsid w:val="00AF7FD7"/>
    <w:rsid w:val="00B00326"/>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36"/>
    <w:rsid w:val="00B06077"/>
    <w:rsid w:val="00B0680D"/>
    <w:rsid w:val="00B072DC"/>
    <w:rsid w:val="00B07E9F"/>
    <w:rsid w:val="00B10A43"/>
    <w:rsid w:val="00B10FB5"/>
    <w:rsid w:val="00B11A35"/>
    <w:rsid w:val="00B11AFF"/>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1F93"/>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4F"/>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2C78"/>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1EC7"/>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B66"/>
    <w:rsid w:val="00B93DAB"/>
    <w:rsid w:val="00B93EFE"/>
    <w:rsid w:val="00B9424E"/>
    <w:rsid w:val="00B9428F"/>
    <w:rsid w:val="00B943E8"/>
    <w:rsid w:val="00B94771"/>
    <w:rsid w:val="00B949C5"/>
    <w:rsid w:val="00B94B88"/>
    <w:rsid w:val="00B94C0B"/>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2E18"/>
    <w:rsid w:val="00BA4ED5"/>
    <w:rsid w:val="00BA573C"/>
    <w:rsid w:val="00BA5B65"/>
    <w:rsid w:val="00BA64BE"/>
    <w:rsid w:val="00BA6E77"/>
    <w:rsid w:val="00BA7064"/>
    <w:rsid w:val="00BA77B4"/>
    <w:rsid w:val="00BB1B2F"/>
    <w:rsid w:val="00BB1F66"/>
    <w:rsid w:val="00BB2BE3"/>
    <w:rsid w:val="00BB30CA"/>
    <w:rsid w:val="00BB322B"/>
    <w:rsid w:val="00BB358E"/>
    <w:rsid w:val="00BB3A2F"/>
    <w:rsid w:val="00BB4FFE"/>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4321"/>
    <w:rsid w:val="00BC434C"/>
    <w:rsid w:val="00BC5397"/>
    <w:rsid w:val="00BC53DE"/>
    <w:rsid w:val="00BC552E"/>
    <w:rsid w:val="00BC592D"/>
    <w:rsid w:val="00BC5D41"/>
    <w:rsid w:val="00BC62FE"/>
    <w:rsid w:val="00BC6622"/>
    <w:rsid w:val="00BC674F"/>
    <w:rsid w:val="00BC69FC"/>
    <w:rsid w:val="00BC6D91"/>
    <w:rsid w:val="00BC7924"/>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1C3D"/>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14C"/>
    <w:rsid w:val="00BF63B2"/>
    <w:rsid w:val="00BF6B7F"/>
    <w:rsid w:val="00BF71F2"/>
    <w:rsid w:val="00BF7304"/>
    <w:rsid w:val="00BF7E14"/>
    <w:rsid w:val="00C00776"/>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676"/>
    <w:rsid w:val="00C20DFF"/>
    <w:rsid w:val="00C211A5"/>
    <w:rsid w:val="00C21383"/>
    <w:rsid w:val="00C2138A"/>
    <w:rsid w:val="00C213EE"/>
    <w:rsid w:val="00C21669"/>
    <w:rsid w:val="00C2275B"/>
    <w:rsid w:val="00C22C3C"/>
    <w:rsid w:val="00C2323D"/>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9C7"/>
    <w:rsid w:val="00C33BEC"/>
    <w:rsid w:val="00C34819"/>
    <w:rsid w:val="00C353D3"/>
    <w:rsid w:val="00C353F4"/>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A2D"/>
    <w:rsid w:val="00C55C65"/>
    <w:rsid w:val="00C55E9B"/>
    <w:rsid w:val="00C56143"/>
    <w:rsid w:val="00C56377"/>
    <w:rsid w:val="00C566AF"/>
    <w:rsid w:val="00C56A00"/>
    <w:rsid w:val="00C56C4F"/>
    <w:rsid w:val="00C5733E"/>
    <w:rsid w:val="00C57817"/>
    <w:rsid w:val="00C57A78"/>
    <w:rsid w:val="00C6084A"/>
    <w:rsid w:val="00C60970"/>
    <w:rsid w:val="00C60C7E"/>
    <w:rsid w:val="00C61945"/>
    <w:rsid w:val="00C6207A"/>
    <w:rsid w:val="00C624EE"/>
    <w:rsid w:val="00C62C3A"/>
    <w:rsid w:val="00C631B2"/>
    <w:rsid w:val="00C632AB"/>
    <w:rsid w:val="00C63AFE"/>
    <w:rsid w:val="00C63CA0"/>
    <w:rsid w:val="00C64670"/>
    <w:rsid w:val="00C648F9"/>
    <w:rsid w:val="00C64A4E"/>
    <w:rsid w:val="00C64DF6"/>
    <w:rsid w:val="00C659B5"/>
    <w:rsid w:val="00C65EF5"/>
    <w:rsid w:val="00C65F8D"/>
    <w:rsid w:val="00C66842"/>
    <w:rsid w:val="00C67B2C"/>
    <w:rsid w:val="00C67C64"/>
    <w:rsid w:val="00C70034"/>
    <w:rsid w:val="00C70F76"/>
    <w:rsid w:val="00C71541"/>
    <w:rsid w:val="00C71DE9"/>
    <w:rsid w:val="00C725CF"/>
    <w:rsid w:val="00C72CDA"/>
    <w:rsid w:val="00C72E47"/>
    <w:rsid w:val="00C7310B"/>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1DBF"/>
    <w:rsid w:val="00C829D9"/>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17F"/>
    <w:rsid w:val="00C916E2"/>
    <w:rsid w:val="00C91A42"/>
    <w:rsid w:val="00C924BB"/>
    <w:rsid w:val="00C926CD"/>
    <w:rsid w:val="00C92DA5"/>
    <w:rsid w:val="00C92E17"/>
    <w:rsid w:val="00C931C0"/>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BFB"/>
    <w:rsid w:val="00CB2F0A"/>
    <w:rsid w:val="00CB3CB4"/>
    <w:rsid w:val="00CB3F22"/>
    <w:rsid w:val="00CB4ABF"/>
    <w:rsid w:val="00CB55FF"/>
    <w:rsid w:val="00CB5926"/>
    <w:rsid w:val="00CB627A"/>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A9C"/>
    <w:rsid w:val="00D11AC3"/>
    <w:rsid w:val="00D12095"/>
    <w:rsid w:val="00D123C8"/>
    <w:rsid w:val="00D12AC5"/>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27BF3"/>
    <w:rsid w:val="00D30018"/>
    <w:rsid w:val="00D30268"/>
    <w:rsid w:val="00D30593"/>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D2"/>
    <w:rsid w:val="00D55048"/>
    <w:rsid w:val="00D55470"/>
    <w:rsid w:val="00D561F6"/>
    <w:rsid w:val="00D56211"/>
    <w:rsid w:val="00D56B9A"/>
    <w:rsid w:val="00D570AD"/>
    <w:rsid w:val="00D57128"/>
    <w:rsid w:val="00D575E9"/>
    <w:rsid w:val="00D5772F"/>
    <w:rsid w:val="00D57DDF"/>
    <w:rsid w:val="00D60604"/>
    <w:rsid w:val="00D61FAE"/>
    <w:rsid w:val="00D6253D"/>
    <w:rsid w:val="00D6289B"/>
    <w:rsid w:val="00D62EEE"/>
    <w:rsid w:val="00D63133"/>
    <w:rsid w:val="00D6390E"/>
    <w:rsid w:val="00D6471F"/>
    <w:rsid w:val="00D64ADC"/>
    <w:rsid w:val="00D654BD"/>
    <w:rsid w:val="00D65B15"/>
    <w:rsid w:val="00D65BEB"/>
    <w:rsid w:val="00D6600F"/>
    <w:rsid w:val="00D66682"/>
    <w:rsid w:val="00D6680B"/>
    <w:rsid w:val="00D6796E"/>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881"/>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4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386"/>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480"/>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2D6"/>
    <w:rsid w:val="00DD53FC"/>
    <w:rsid w:val="00DD6100"/>
    <w:rsid w:val="00DD6E56"/>
    <w:rsid w:val="00DD7311"/>
    <w:rsid w:val="00DD74BB"/>
    <w:rsid w:val="00DD791E"/>
    <w:rsid w:val="00DD7D99"/>
    <w:rsid w:val="00DD7FB2"/>
    <w:rsid w:val="00DE04B5"/>
    <w:rsid w:val="00DE0931"/>
    <w:rsid w:val="00DE0BD4"/>
    <w:rsid w:val="00DE0F3F"/>
    <w:rsid w:val="00DE123D"/>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083"/>
    <w:rsid w:val="00DF1865"/>
    <w:rsid w:val="00DF1CF7"/>
    <w:rsid w:val="00DF1E45"/>
    <w:rsid w:val="00DF1EC7"/>
    <w:rsid w:val="00DF1EE7"/>
    <w:rsid w:val="00DF1F92"/>
    <w:rsid w:val="00DF23FB"/>
    <w:rsid w:val="00DF2537"/>
    <w:rsid w:val="00DF2654"/>
    <w:rsid w:val="00DF313A"/>
    <w:rsid w:val="00DF3196"/>
    <w:rsid w:val="00DF35B2"/>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07CE7"/>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23EF"/>
    <w:rsid w:val="00E43067"/>
    <w:rsid w:val="00E4336A"/>
    <w:rsid w:val="00E4347B"/>
    <w:rsid w:val="00E434E5"/>
    <w:rsid w:val="00E43888"/>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14E3"/>
    <w:rsid w:val="00E51AF9"/>
    <w:rsid w:val="00E5234E"/>
    <w:rsid w:val="00E53ADF"/>
    <w:rsid w:val="00E53BCD"/>
    <w:rsid w:val="00E5409A"/>
    <w:rsid w:val="00E54D85"/>
    <w:rsid w:val="00E56B40"/>
    <w:rsid w:val="00E56CE6"/>
    <w:rsid w:val="00E5717B"/>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1837"/>
    <w:rsid w:val="00E72E67"/>
    <w:rsid w:val="00E72FAF"/>
    <w:rsid w:val="00E7400C"/>
    <w:rsid w:val="00E74352"/>
    <w:rsid w:val="00E745E9"/>
    <w:rsid w:val="00E74644"/>
    <w:rsid w:val="00E749E2"/>
    <w:rsid w:val="00E74E1E"/>
    <w:rsid w:val="00E74E26"/>
    <w:rsid w:val="00E75213"/>
    <w:rsid w:val="00E75522"/>
    <w:rsid w:val="00E75952"/>
    <w:rsid w:val="00E75955"/>
    <w:rsid w:val="00E75969"/>
    <w:rsid w:val="00E76492"/>
    <w:rsid w:val="00E7685C"/>
    <w:rsid w:val="00E76BB5"/>
    <w:rsid w:val="00E76D85"/>
    <w:rsid w:val="00E7705E"/>
    <w:rsid w:val="00E77272"/>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3AF"/>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97B47"/>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473"/>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4A75"/>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71C"/>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6A0"/>
    <w:rsid w:val="00EE082F"/>
    <w:rsid w:val="00EE0DDF"/>
    <w:rsid w:val="00EE0E58"/>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1E54"/>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C0A"/>
    <w:rsid w:val="00F45C2B"/>
    <w:rsid w:val="00F462E1"/>
    <w:rsid w:val="00F46408"/>
    <w:rsid w:val="00F46454"/>
    <w:rsid w:val="00F465AB"/>
    <w:rsid w:val="00F4672C"/>
    <w:rsid w:val="00F469D4"/>
    <w:rsid w:val="00F47A38"/>
    <w:rsid w:val="00F47CC6"/>
    <w:rsid w:val="00F47F34"/>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9A0"/>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4E1"/>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004"/>
    <w:rsid w:val="00F94805"/>
    <w:rsid w:val="00F9492D"/>
    <w:rsid w:val="00F9513B"/>
    <w:rsid w:val="00F9529D"/>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0863"/>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B05"/>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32B"/>
    <w:rsid w:val="00FF579E"/>
    <w:rsid w:val="00FF65D5"/>
    <w:rsid w:val="00FF69C9"/>
    <w:rsid w:val="00FF6A35"/>
    <w:rsid w:val="00FF6CAE"/>
    <w:rsid w:val="00FF6D35"/>
    <w:rsid w:val="00FF6D3E"/>
    <w:rsid w:val="00FF6E87"/>
    <w:rsid w:val="00FF6FE9"/>
    <w:rsid w:val="00FF702B"/>
    <w:rsid w:val="00FF737E"/>
    <w:rsid w:val="00FF7803"/>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6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99"/>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77D2"/>
  </w:style>
  <w:style w:type="paragraph" w:styleId="Heading1">
    <w:name w:val="heading 1"/>
    <w:basedOn w:val="Normal"/>
    <w:next w:val="BodyText"/>
    <w:link w:val="Heading1Char"/>
    <w:qFormat/>
    <w:rsid w:val="00261B1F"/>
    <w:pPr>
      <w:keepNext/>
      <w:spacing w:before="0" w:after="240" w:line="230" w:lineRule="atLeast"/>
      <w:outlineLvl w:val="0"/>
    </w:pPr>
    <w:rPr>
      <w:rFonts w:asciiTheme="majorHAnsi" w:eastAsiaTheme="majorEastAsia" w:hAnsiTheme="majorHAnsi" w:cstheme="majorBidi"/>
      <w:bCs/>
      <w:color w:val="201547" w:themeColor="text2"/>
      <w:spacing w:val="-4"/>
      <w:sz w:val="40"/>
      <w:szCs w:val="40"/>
    </w:rPr>
  </w:style>
  <w:style w:type="paragraph" w:styleId="Heading2">
    <w:name w:val="heading 2"/>
    <w:basedOn w:val="Normal"/>
    <w:next w:val="BodyText"/>
    <w:link w:val="Heading2Char"/>
    <w:qFormat/>
    <w:rsid w:val="00B62C78"/>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B62C78"/>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B62C78"/>
    <w:pPr>
      <w:spacing w:before="200"/>
      <w:outlineLvl w:val="3"/>
    </w:pPr>
    <w:rPr>
      <w:b/>
      <w:bCs/>
      <w:color w:val="201547" w:themeColor="text2"/>
      <w:sz w:val="24"/>
      <w:szCs w:val="24"/>
    </w:rPr>
  </w:style>
  <w:style w:type="paragraph" w:styleId="Heading5">
    <w:name w:val="heading 5"/>
    <w:basedOn w:val="Normal"/>
    <w:next w:val="BodyText"/>
    <w:link w:val="Heading5Char"/>
    <w:rsid w:val="00B62C78"/>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462258"/>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261B1F"/>
    <w:rPr>
      <w:rFonts w:asciiTheme="majorHAnsi" w:eastAsiaTheme="majorEastAsia" w:hAnsiTheme="majorHAnsi" w:cstheme="majorBidi"/>
      <w:bCs/>
      <w:color w:val="201547" w:themeColor="text2"/>
      <w:spacing w:val="-4"/>
      <w:sz w:val="40"/>
      <w:szCs w:val="40"/>
    </w:rPr>
  </w:style>
  <w:style w:type="character" w:customStyle="1" w:styleId="Heading2Char">
    <w:name w:val="Heading 2 Char"/>
    <w:basedOn w:val="DefaultParagraphFont"/>
    <w:link w:val="Heading2"/>
    <w:rsid w:val="00B62C78"/>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B62C78"/>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B62C78"/>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ind w:left="1440" w:hanging="360"/>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576577"/>
    <w:pPr>
      <w:spacing w:before="0" w:after="0" w:line="240" w:lineRule="auto"/>
      <w:ind w:right="2154"/>
    </w:pPr>
    <w:rPr>
      <w:rFonts w:asciiTheme="majorHAnsi" w:hAnsiTheme="majorHAnsi"/>
      <w:b/>
      <w:color w:val="201547" w:themeColor="text2"/>
      <w:sz w:val="54"/>
    </w:rPr>
  </w:style>
  <w:style w:type="character" w:customStyle="1" w:styleId="TitleChar">
    <w:name w:val="Title Char"/>
    <w:basedOn w:val="DefaultParagraphFont"/>
    <w:link w:val="Title"/>
    <w:uiPriority w:val="3"/>
    <w:rsid w:val="00576577"/>
    <w:rPr>
      <w:rFonts w:asciiTheme="majorHAnsi" w:hAnsiTheme="majorHAnsi"/>
      <w:b/>
      <w:color w:val="201547" w:themeColor="text2"/>
      <w:sz w:val="54"/>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6">
    <w:name w:val="toc 6"/>
    <w:basedOn w:val="Normal"/>
    <w:next w:val="Normal"/>
    <w:autoRedefine/>
    <w:rsid w:val="00F7242A"/>
    <w:pPr>
      <w:spacing w:before="0" w:after="100"/>
      <w:ind w:left="1000"/>
    </w:pPr>
    <w:rPr>
      <w:rFonts w:cs="Arial"/>
      <w:color w:val="232222" w:themeColor="text1"/>
    </w:rPr>
  </w:style>
  <w:style w:type="paragraph" w:styleId="TOC7">
    <w:name w:val="toc 7"/>
    <w:basedOn w:val="Normal"/>
    <w:next w:val="Normal"/>
    <w:autoRedefine/>
    <w:rsid w:val="00F7242A"/>
    <w:pPr>
      <w:spacing w:before="0" w:after="100"/>
      <w:ind w:left="1200"/>
    </w:pPr>
    <w:rPr>
      <w:rFonts w:cs="Arial"/>
      <w:color w:val="232222" w:themeColor="text1"/>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B62C78"/>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462258"/>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14513"/>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14513"/>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39"/>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783D00"/>
    <w:pPr>
      <w:spacing w:before="0" w:after="0" w:line="240" w:lineRule="auto"/>
    </w:pPr>
    <w:rPr>
      <w:rFonts w:cs="Arial"/>
      <w:b/>
      <w:color w:val="201547" w:themeColor="text2"/>
      <w:spacing w:val="-4"/>
      <w:kern w:val="28"/>
      <w:sz w:val="28"/>
      <w:szCs w:val="42"/>
    </w:rPr>
  </w:style>
  <w:style w:type="paragraph" w:customStyle="1" w:styleId="xPartnerLogo">
    <w:name w:val="xPartnerLogo"/>
    <w:basedOn w:val="NoSpacing"/>
    <w:uiPriority w:val="99"/>
    <w:rsid w:val="00BE1C3D"/>
    <w:pPr>
      <w:framePr w:wrap="around" w:vAnchor="page" w:hAnchor="page" w:x="857" w:y="10500"/>
    </w:pPr>
  </w:style>
  <w:style w:type="paragraph" w:customStyle="1" w:styleId="xVicLogo">
    <w:name w:val="xVicLogo"/>
    <w:basedOn w:val="NoSpacing"/>
    <w:uiPriority w:val="99"/>
    <w:rsid w:val="00BE1C3D"/>
    <w:pPr>
      <w:framePr w:wrap="around" w:vAnchor="page" w:hAnchor="page" w:x="13533" w:y="10500"/>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SectionSubtitle">
    <w:name w:val="Section Subtitle"/>
    <w:basedOn w:val="Normal"/>
    <w:uiPriority w:val="3"/>
    <w:rsid w:val="002F5718"/>
    <w:pPr>
      <w:shd w:val="clear" w:color="auto" w:fill="201547" w:themeFill="text2"/>
      <w:spacing w:before="0" w:after="0" w:line="276" w:lineRule="auto"/>
    </w:pPr>
    <w:rPr>
      <w:color w:val="FFFFFF" w:themeColor="background1"/>
      <w:sz w:val="24"/>
    </w:rPr>
  </w:style>
  <w:style w:type="paragraph" w:customStyle="1" w:styleId="IntroFeatureText">
    <w:name w:val="Intro/Feature Text"/>
    <w:basedOn w:val="Normal"/>
    <w:next w:val="Normal"/>
    <w:qFormat/>
    <w:rsid w:val="00801AD3"/>
    <w:pPr>
      <w:spacing w:before="16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Normal"/>
    <w:next w:val="Normal"/>
    <w:link w:val="SubtitleChar"/>
    <w:uiPriority w:val="99"/>
    <w:rsid w:val="00576577"/>
    <w:pPr>
      <w:numPr>
        <w:ilvl w:val="1"/>
      </w:numPr>
      <w:spacing w:after="0" w:line="240" w:lineRule="auto"/>
      <w:ind w:right="2154"/>
      <w:contextualSpacing/>
    </w:pPr>
    <w:rPr>
      <w:rFonts w:eastAsiaTheme="minorEastAsia" w:cstheme="minorBidi"/>
      <w:color w:val="201547" w:themeColor="text2"/>
      <w:sz w:val="32"/>
      <w:szCs w:val="18"/>
    </w:rPr>
  </w:style>
  <w:style w:type="character" w:customStyle="1" w:styleId="SubtitleChar">
    <w:name w:val="Subtitle Char"/>
    <w:basedOn w:val="DefaultParagraphFont"/>
    <w:link w:val="Subtitle"/>
    <w:uiPriority w:val="99"/>
    <w:rsid w:val="00576577"/>
    <w:rPr>
      <w:rFonts w:eastAsiaTheme="minorEastAsia" w:cstheme="minorBidi"/>
      <w:color w:val="201547" w:themeColor="text2"/>
      <w:sz w:val="32"/>
      <w:szCs w:val="18"/>
    </w:rPr>
  </w:style>
  <w:style w:type="paragraph" w:customStyle="1" w:styleId="xProjectBar">
    <w:name w:val="xProjectBar"/>
    <w:basedOn w:val="Normal"/>
    <w:next w:val="Normal"/>
    <w:uiPriority w:val="99"/>
    <w:rsid w:val="00BE1C3D"/>
    <w:pPr>
      <w:framePr w:wrap="around" w:vAnchor="page" w:hAnchor="page" w:x="1" w:y="3476"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tabs>
        <w:tab w:val="num" w:pos="360"/>
      </w:tabs>
      <w:ind w:left="0" w:firstLine="0"/>
    </w:pPr>
  </w:style>
  <w:style w:type="paragraph" w:styleId="TOC3">
    <w:name w:val="toc 3"/>
    <w:basedOn w:val="Normal"/>
    <w:next w:val="Normal"/>
    <w:uiPriority w:val="39"/>
    <w:rsid w:val="006816E7"/>
    <w:pPr>
      <w:tabs>
        <w:tab w:val="right" w:leader="dot" w:pos="14513"/>
      </w:tabs>
      <w:spacing w:before="60" w:after="60"/>
      <w:ind w:left="227" w:right="851" w:hanging="227"/>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tabs>
        <w:tab w:val="num" w:pos="360"/>
      </w:tabs>
      <w:ind w:left="0" w:firstLine="0"/>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character" w:styleId="Strong">
    <w:name w:val="Strong"/>
    <w:basedOn w:val="DefaultParagraphFont"/>
    <w:uiPriority w:val="22"/>
    <w:rsid w:val="007577B1"/>
    <w:rPr>
      <w:b/>
      <w:bCs/>
    </w:r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tabs>
        <w:tab w:val="num" w:pos="360"/>
      </w:tabs>
      <w:ind w:left="0" w:firstLine="0"/>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BE1C3D"/>
    <w:pPr>
      <w:framePr w:wrap="around" w:vAnchor="page" w:hAnchor="page" w:x="857" w:y="9179"/>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14513"/>
      </w:tabs>
      <w:spacing w:before="60" w:after="60"/>
      <w:ind w:left="454" w:right="851" w:hanging="454"/>
    </w:pPr>
    <w:rPr>
      <w:rFonts w:cs="Arial"/>
      <w:noProof/>
      <w:color w:val="232222"/>
    </w:rPr>
  </w:style>
  <w:style w:type="paragraph" w:customStyle="1" w:styleId="ListAlpha2">
    <w:name w:val="List Alpha 2"/>
    <w:basedOn w:val="ListAlpha"/>
    <w:qFormat/>
    <w:rsid w:val="007F0D3C"/>
    <w:pPr>
      <w:numPr>
        <w:ilvl w:val="1"/>
      </w:numPr>
    </w:pPr>
  </w:style>
  <w:style w:type="character" w:customStyle="1" w:styleId="SectionTitle">
    <w:name w:val="Section Title"/>
    <w:uiPriority w:val="3"/>
    <w:rsid w:val="00A1606D"/>
    <w:rPr>
      <w:color w:val="FFFFFF" w:themeColor="background1"/>
      <w:bdr w:val="none" w:sz="0" w:space="0" w:color="auto"/>
      <w:shd w:val="clear" w:color="auto" w:fill="auto"/>
    </w:r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PartnerLogosInsideCover">
    <w:name w:val="xPartnerLogos_InsideCover"/>
    <w:basedOn w:val="NoSpacing"/>
    <w:next w:val="BodyText"/>
    <w:uiPriority w:val="99"/>
    <w:rsid w:val="00EE4D70"/>
    <w:pPr>
      <w:tabs>
        <w:tab w:val="left" w:pos="2948"/>
        <w:tab w:val="left" w:pos="5897"/>
      </w:tabs>
      <w:spacing w:before="200" w:after="200"/>
    </w:p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rsid w:val="00BE1C3D"/>
    <w:pPr>
      <w:framePr w:wrap="around" w:vAnchor="page" w:hAnchor="margin" w:x="1" w:y="5330"/>
      <w:spacing w:before="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LeftBold">
    <w:name w:val="Disclaimer Text Left Bold"/>
    <w:basedOn w:val="DisclaimerTextLeft"/>
    <w:next w:val="DisclaimerTextLeft"/>
    <w:uiPriority w:val="99"/>
    <w:semiHidden/>
    <w:rsid w:val="00BE1C3D"/>
    <w:pPr>
      <w:framePr w:wrap="around"/>
    </w:pPr>
    <w:rPr>
      <w:b/>
    </w:rPr>
  </w:style>
  <w:style w:type="paragraph" w:customStyle="1" w:styleId="DisclaimerTextLeft">
    <w:name w:val="Disclaimer Text Left"/>
    <w:basedOn w:val="DisclaimerText"/>
    <w:uiPriority w:val="99"/>
    <w:semiHidden/>
    <w:rsid w:val="00BE1C3D"/>
    <w:pPr>
      <w:framePr w:w="7427" w:wrap="around" w:y="7286"/>
      <w:spacing w:after="60"/>
    </w:pPr>
  </w:style>
  <w:style w:type="paragraph" w:customStyle="1" w:styleId="DisclaimerTextRightBold">
    <w:name w:val="Disclaimer Text Right Bold"/>
    <w:basedOn w:val="Normal"/>
    <w:uiPriority w:val="99"/>
    <w:semiHidden/>
    <w:rsid w:val="00BE1C3D"/>
    <w:pPr>
      <w:framePr w:w="7427" w:wrap="around" w:vAnchor="page" w:hAnchor="page" w:x="8561" w:y="7286"/>
      <w:spacing w:before="0" w:after="60"/>
      <w:suppressOverlap/>
    </w:pPr>
    <w:rPr>
      <w:rFonts w:ascii="Arial Bold" w:hAnsi="Arial Bold" w:cs="Arial"/>
      <w:color w:val="232222" w:themeColor="text1"/>
    </w:rPr>
  </w:style>
  <w:style w:type="paragraph" w:customStyle="1" w:styleId="DisclaimerTextRight12pt">
    <w:name w:val="Disclaimer Text Right 12pt"/>
    <w:basedOn w:val="Normal"/>
    <w:uiPriority w:val="99"/>
    <w:semiHidden/>
    <w:rsid w:val="00BE1C3D"/>
    <w:pPr>
      <w:framePr w:w="7427" w:wrap="around" w:vAnchor="page" w:hAnchor="page" w:x="8561" w:y="7286"/>
      <w:spacing w:before="0" w:after="60"/>
      <w:suppressOverlap/>
    </w:pPr>
    <w:rPr>
      <w:rFonts w:cs="Arial"/>
      <w:color w:val="232222" w:themeColor="text1"/>
      <w:sz w:val="24"/>
    </w:rPr>
  </w:style>
  <w:style w:type="paragraph" w:customStyle="1" w:styleId="DisclaimerTextRightBold12pt">
    <w:name w:val="Disclaimer Text Right Bold 12 pt"/>
    <w:basedOn w:val="DisclaimerTextRightBold"/>
    <w:next w:val="DisclaimerTextRight12pt"/>
    <w:uiPriority w:val="99"/>
    <w:semiHidden/>
    <w:rsid w:val="00BE1C3D"/>
    <w:pPr>
      <w:framePr w:wrap="around"/>
    </w:pPr>
    <w:rPr>
      <w:sz w:val="24"/>
    </w:rPr>
  </w:style>
  <w:style w:type="paragraph" w:customStyle="1" w:styleId="DisclaimerTextRight">
    <w:name w:val="Disclaimer Text Right"/>
    <w:basedOn w:val="DisclaimerText"/>
    <w:uiPriority w:val="99"/>
    <w:semiHidden/>
    <w:rsid w:val="00BE1C3D"/>
    <w:pPr>
      <w:framePr w:w="7427" w:wrap="around" w:vAnchor="margin" w:hAnchor="page" w:x="8561" w:y="7286"/>
      <w:spacing w:after="60"/>
    </w:pPr>
  </w:style>
  <w:style w:type="paragraph" w:customStyle="1" w:styleId="xWebBackCover">
    <w:name w:val="xWebBackCover"/>
    <w:basedOn w:val="NoSpacing"/>
    <w:semiHidden/>
    <w:rsid w:val="00E97B47"/>
    <w:pPr>
      <w:shd w:val="clear" w:color="auto" w:fill="201547" w:themeFill="text2"/>
    </w:pPr>
    <w:rPr>
      <w:b/>
      <w:bCs/>
      <w:color w:val="FFFFFF" w:themeColor="background1"/>
      <w:sz w:val="21"/>
      <w:szCs w:val="21"/>
      <w:lang w:val="en-US"/>
    </w:rPr>
  </w:style>
  <w:style w:type="paragraph" w:customStyle="1" w:styleId="TableTextNumbered">
    <w:name w:val="Table Text Numbered"/>
    <w:basedOn w:val="Normal"/>
    <w:qFormat/>
    <w:rsid w:val="00662283"/>
    <w:pPr>
      <w:tabs>
        <w:tab w:val="num" w:pos="369"/>
      </w:tabs>
      <w:spacing w:before="60" w:after="60" w:line="220" w:lineRule="atLeast"/>
      <w:ind w:left="369" w:right="113" w:hanging="369"/>
    </w:pPr>
    <w:rPr>
      <w:rFonts w:cs="Arial"/>
      <w:color w:val="232222" w:themeColor="text1"/>
      <w:sz w:val="18"/>
    </w:rPr>
  </w:style>
  <w:style w:type="paragraph" w:customStyle="1" w:styleId="ESVBody">
    <w:name w:val="ESV Body"/>
    <w:qFormat/>
    <w:rsid w:val="00031736"/>
    <w:pPr>
      <w:spacing w:before="0" w:line="270" w:lineRule="atLeast"/>
    </w:pPr>
    <w:rPr>
      <w:rFonts w:ascii="Arial" w:eastAsia="Times" w:hAnsi="Arial"/>
      <w:color w:val="53565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deeca.vic.gov.au/" TargetMode="External"/><Relationship Id="rId26" Type="http://schemas.openxmlformats.org/officeDocument/2006/relationships/hyperlink" Target="https://www.esv.vic.gov.au/about-us/our-organisation/working-others/memorandums-understanding" TargetMode="External"/><Relationship Id="rId39" Type="http://schemas.openxmlformats.org/officeDocument/2006/relationships/customXml" Target="../customXml/item2.xml"/><Relationship Id="rId21" Type="http://schemas.openxmlformats.org/officeDocument/2006/relationships/footer" Target="footer5.xml"/><Relationship Id="rId34" Type="http://schemas.openxmlformats.org/officeDocument/2006/relationships/hyperlink" Target="https://www.esv.vic.gov.au/sites/default/files/2022-12/Gas-Safety-Case-Preparation-and-Submission-for-facilities-and-pipelines.pdf" TargetMode="External"/><Relationship Id="rId42" Type="http://schemas.openxmlformats.org/officeDocument/2006/relationships/customXml" Target="../customXml/item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creativecommons.org/licenses/by/4.0/" TargetMode="External"/><Relationship Id="rId20" Type="http://schemas.openxmlformats.org/officeDocument/2006/relationships/footer" Target="footer4.xml"/><Relationship Id="rId29" Type="http://schemas.openxmlformats.org/officeDocument/2006/relationships/hyperlink" Target="https://www.esv.vic.gov.au/sites/default/files/2022-12/ESV_NaturalGasHazardsSafetyGuide_WEB.pdf" TargetMode="Externa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esv.vic.gov.au/about-us/our-organisation/reports/gas-and-pipeline-infrastructure-safety-performance-reports" TargetMode="External"/><Relationship Id="rId32" Type="http://schemas.openxmlformats.org/officeDocument/2006/relationships/hyperlink" Target="https://www.esv.vic.gov.au/sites/default/files/2022-12/ESV_Future_Energy_Strategic_Plan_2020.pdf" TargetMode="Externa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creativecommons.org/licenses/by/4.0/" TargetMode="External"/><Relationship Id="rId23" Type="http://schemas.openxmlformats.org/officeDocument/2006/relationships/hyperlink" Target="https://www.esv.vic.gov.au/about-us/our-organisation/reports/electrical-safety-performance-reports" TargetMode="External"/><Relationship Id="rId28" Type="http://schemas.openxmlformats.org/officeDocument/2006/relationships/hyperlink" Target="https://esv.vic.gov.au/pdfs/electricity-hazards-safety-guide/" TargetMode="External"/><Relationship Id="rId36" Type="http://schemas.openxmlformats.org/officeDocument/2006/relationships/hyperlink" Target="http://www.esv.vic.gov.au" TargetMode="External"/><Relationship Id="rId10" Type="http://schemas.openxmlformats.org/officeDocument/2006/relationships/image" Target="media/image3.svg"/><Relationship Id="rId19" Type="http://schemas.openxmlformats.org/officeDocument/2006/relationships/header" Target="header1.xml"/><Relationship Id="rId31" Type="http://schemas.openxmlformats.org/officeDocument/2006/relationships/hyperlink" Target="https://www.esv.vic.gov.au/about-us/our-organisation/people-and-values/governance-and-commiss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oter" Target="footer6.xml"/><Relationship Id="rId27" Type="http://schemas.openxmlformats.org/officeDocument/2006/relationships/hyperlink" Target="https://www.esc.vic.gov.au/sites/default/files/documents/Electricity%20Distribution%20Code%20-%20Technical%20review%20-%20Final%20decision%20paper.pdf" TargetMode="External"/><Relationship Id="rId30" Type="http://schemas.openxmlformats.org/officeDocument/2006/relationships/hyperlink" Target="https://www.esv.vic.gov.au/about-us/our-organisation/working-others/memorandums-understanding" TargetMode="External"/><Relationship Id="rId35" Type="http://schemas.openxmlformats.org/officeDocument/2006/relationships/hyperlink" Target="https://esv.vic.gov.au/about-esv/energy_regulatory_framework/policies-and-guidelines/" TargetMode="External"/><Relationship Id="rId43" Type="http://schemas.openxmlformats.org/officeDocument/2006/relationships/customXml" Target="../customXml/item6.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mailto:customer.service@delwp.vic.gov.au" TargetMode="External"/><Relationship Id="rId25" Type="http://schemas.openxmlformats.org/officeDocument/2006/relationships/hyperlink" Target="https://www.legislation.vic.gov.au/bills/energy-legislation-amendment-energy-safety-bill-2023" TargetMode="External"/><Relationship Id="rId33" Type="http://schemas.openxmlformats.org/officeDocument/2006/relationships/hyperlink" Target="https://www.esv.vic.gov.au/sites/default/files/2022-12/Adaptive-Strategic-Roadmap-2022.pdf" TargetMode="External"/><Relationship Id="rId38" Type="http://schemas.openxmlformats.org/officeDocument/2006/relationships/theme" Target="theme/theme1.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UI/_rels/customUI14.xml.rels><?xml version="1.0" encoding="UTF-8" standalone="yes"?>
<Relationships xmlns="http://schemas.openxmlformats.org/package/2006/relationships"><Relationship Id="Number3" Type="http://schemas.openxmlformats.org/officeDocument/2006/relationships/image" Target="images/3a8ac9b9-6d4d-4b51-a1cd-a8a039c74a27.png"/><Relationship Id="Bullet2" Type="http://schemas.openxmlformats.org/officeDocument/2006/relationships/image" Target="images/7c691337-688a-48ad-912e-00792c2f2bd1.png"/><Relationship Id="One" Type="http://schemas.openxmlformats.org/officeDocument/2006/relationships/image" Target="images/341b360f-c70a-404f-aa4d-5301faf3921b.png"/><Relationship Id="Five" Type="http://schemas.openxmlformats.org/officeDocument/2006/relationships/image" Target="images/206a7a49-c60a-4015-a494-3304f2a0fe72.png"/><Relationship Id="ArrowMore" Type="http://schemas.openxmlformats.org/officeDocument/2006/relationships/image" Target="images/ca16be7c-8fa1-4552-8a76-c8b299b7a34b.png"/><Relationship Id="Four" Type="http://schemas.openxmlformats.org/officeDocument/2006/relationships/image" Target="images/abddcf3e-a1d8-4f1d-9b58-e5e405e71512.png"/><Relationship Id="PullOutBox" Type="http://schemas.openxmlformats.org/officeDocument/2006/relationships/image" Target="images/3a71b959-3d04-4d2f-a9c5-4e6e4a5cd60d.png"/><Relationship Id="ColumnBreakIcon" Type="http://schemas.openxmlformats.org/officeDocument/2006/relationships/image" Target="images/139c8526-b336-4dd7-aae0-e71211bf814e.png"/><Relationship Id="Number2" Type="http://schemas.openxmlformats.org/officeDocument/2006/relationships/image" Target="images/004a5552-3e44-48f8-916f-bbb1309d173f.png"/><Relationship Id="HighlightBox" Type="http://schemas.openxmlformats.org/officeDocument/2006/relationships/image" Target="images/b826f867-1c0c-41af-85e3-510a6b6df1de.png"/><Relationship Id="Navy" Type="http://schemas.openxmlformats.org/officeDocument/2006/relationships/image" Target="images/e9a44bf3-3dec-4c80-b264-368ff7e7d0ee.png"/><Relationship Id="BackPage" Type="http://schemas.openxmlformats.org/officeDocument/2006/relationships/image" Target="images/5d88edff-74b1-43a3-bce2-eaf3d06e6d04.png"/><Relationship Id="Body" Type="http://schemas.openxmlformats.org/officeDocument/2006/relationships/image" Target="images/99a33dd0-9286-477c-9c55-7a4c48073810.png"/><Relationship Id="btnInsert" Type="http://schemas.openxmlformats.org/officeDocument/2006/relationships/image" Target="images/e18f9bce-43e6-42bc-9de1-29c2cc3b2811.png"/><Relationship Id="Six" Type="http://schemas.openxmlformats.org/officeDocument/2006/relationships/image" Target="images/59bbb3c5-f48e-4b30-bfda-e0e43ac4c511.png"/><Relationship Id="Number1" Type="http://schemas.openxmlformats.org/officeDocument/2006/relationships/image" Target="images/11b12a5c-a977-4ecc-9c41-eca14b09e4ae.png"/><Relationship Id="Two" Type="http://schemas.openxmlformats.org/officeDocument/2006/relationships/image" Target="images/0ed04185-fec7-4e95-88b3-1ca2319a2060.png"/><Relationship Id="Number5" Type="http://schemas.openxmlformats.org/officeDocument/2006/relationships/image" Target="images/8ae6d219-3795-4a8d-bff0-6cee92830125.png"/><Relationship Id="Settings" Type="http://schemas.openxmlformats.org/officeDocument/2006/relationships/image" Target="images/c554436f-a3e4-4fcb-8711-f34c81ef2bfb.png"/><Relationship Id="Three" Type="http://schemas.openxmlformats.org/officeDocument/2006/relationships/image" Target="images/127fd666-8396-425e-ba0e-b0791840a221.png"/><Relationship Id="Bullet3" Type="http://schemas.openxmlformats.org/officeDocument/2006/relationships/image" Target="images/322512c1-9ef8-40d9-bfef-6043bad89751.png"/><Relationship Id="Number4" Type="http://schemas.openxmlformats.org/officeDocument/2006/relationships/image" Target="images/8ae2e15d-9c20-478a-90a5-b0d3cccd4b37.png"/><Relationship Id="numberfind" Type="http://schemas.openxmlformats.org/officeDocument/2006/relationships/image" Target="images/4a80cd6b-2678-4a06-9ee8-3223c1a1dbfe.png"/><Relationship Id="SectionDivider" Type="http://schemas.openxmlformats.org/officeDocument/2006/relationships/image" Target="images/95b16ae2-d151-4c55-942b-22883d87d951.png"/></Relationships>
</file>

<file path=customUI/customUI14.xml><?xml version="1.0" encoding="utf-8"?>
<customUI xmlns="http://schemas.microsoft.com/office/2009/07/customui" onLoad="DEECARibbonLoad">
  <ribbon startFromScratch="false">
    <tabs>
      <tab id="DEECATools" label="DEECA" insertBeforeMso="TabHome" visible="true">
        <!-- *********************************************** Document setup -->
        <group id="GrpSetup" label="Settings" autoScale="true">
          <menu id="menuSettings" label="Document Settings" image="Settings" size="large" supertip="Document settings, front cover page settings and colour theme settings.">
            <button id="DocumentSettings" label="Document Settings" image="Settings" onAction="modRibbonControls.ShowDocumentSettings" supertip="Setup your document, eg title, subtitle, footer details, page watermarks and columns."/>
            <button id="Cover" label="Cover Page Layout" image="Settings" onAction="modRibbonControls.ShowCoverPage" supertip="Modify the layout of the front cover page."/>
            <button id="Theme" label="DEECA Colour Settings" image="Settings" onAction="modRibbonControls.ShowDocumentTheme" supertip="Select the document colour theme."/>
          </menu>
        </group>
        <!-- *********************************************** Pic Fill  -->
        <group id="PicFill" label="Picture" autoScale="true">
          <menu id="ShapeFill" label="Picture Fill" showLabel="true" imageMso="SlideMasterPicturePlaceholderInsert" size="normal" supertip="Fill selected shape with picture or solid colour.">
            <button id="PictureFill" label="Picture Fill..." imageMso="SlideMasterPicturePlaceholderInsert" onAction="modRibbonControls.InsertPictureFill" supertip="Inserts photo into selected shape. Once inserted you can resize your image. If resizing hold down the shift key and drag a corner handle. You can then drag the photo into desired position within shape."/>
            <button id="NavyFill" label="Navy Fill" image="Navy" onAction="modRibbonControls.InsertSolidFill_Navy" supertip="Solid fills selected shape with DEECA Navy."/>
          </menu>
          <button idMso="PictureFillCrop" label="Crop to Fill" size="normal" supertip="Locks the aspect ratio of the shape if it is filled with a photo."/>
          <button id="PicAltText" label="Alt Text" imageMso="AlternativeText" supertip="Shows custom Alternative Text dialog box" onAction="modRibbonControls.AccessibilityOnAction"/>
        </group>
        <!-- *********************************************** Heading Styles  -->
        <group id="Headings" label="Headings" autoScale="true">
          <splitButton id="SplitH1" size="normal">
            <button id="Heading1" label="Heading 1" showLabel="false" image="One" supertip="Apply Heading 1 style." onAction="modRibbonControls.StylesOnAction"/>
            <menu id="Heading1Menu" label="Heading 1" showLabel="false" supertip="Apply Heading 1 style options.">
              <button id="Heading1b" label="Heading 1" showLabel="true" image="One" supertip="Apply Heading 1 style. " onAction="modRibbonControls.StylesOnAction"/>
              <button id="Heading1NoNumber" label="Heading 1 No Number" showLabel="true" image="One" getVisible="modRibbonControls.H1NoNumberGetVisible" supertip="Apply Heading 1 and turn off numbering." onAction="modRibbonControls.StylesOnAction"/>
              <button id="Heading1TopofPage" label="Heading 1 at top of page" showLabel="true" image="One" supertip="Apply Heading 1 at the top of the page preceded by a section break (new page)." onAction="modRibbonControls.StylesOnAction"/>
              <button id="Heading1AcrossColumns" label="Heading 1 spanning columns" showLabel="true" image="One" supertip="Apply Heading 1 with continuous section breaks above and below. Only use this if using 2-column layout." onAction="modRibbonControls.StylesOnAction"/>
            </menu>
          </splitButton>
          <button id="Heading2" label="Heading 2" showLabel="false" image="Two" supertip="Apply Heading 2." onAction="modRibbonControls.StylesOnAction"/>
          <button id="Heading3" label="Heading 3" showLabel="false" image="Three" supertip="Apply Heading 3." onAction="modRibbonControls.StylesOnAction"/>
          <button id="Heading4" label="Heading 4" showLabel="false" image="Four" supertip="Apply Heading 4." onAction="modRibbonControls.StylesOnAction"/>
          <button id="Heading5" label="Heading 5" showLabel="false" image="Five" size="normal" supertip="Apply Heading 5. " onAction="modRibbonControls.StylesOnAction"/>
          <button id="Heading6" label="Heading 6" showLabel="false" image="Six" size="normal" supertip="Apply Heading 6. " onAction="modRibbonControls.StylesOnAction"/>
        </group>
        <!-- *********************************************** General Styles  -->
        <group id="Styles" label="General Styles" autoScale="false">
          <box id="boxInner1" boxStyle="horizontal">
            <button id="AppHeading1" label="Appendix Heading" size="normal" supertip="Inserts an Appendix sequential number and applies Heading 1 paragraph style. Appears on a new page preceded by a section break. To cross reference an appendix, click Insert &gt; Cross Reference &gt; Reference type select Appendix." onAction="modRibbonControls.StylesOnAction"/>
          </box>
          <box id="boxInner2B" boxStyle="horizontal">
            <menu id="OtherStyles" label="Other Styles" imageMso="TextStyle" size="normal" supertip="A list of other styles.">
              <button id="Introduction" label="Intro/Feature Text" supertip="Apply Intro/Feature Text style. Use for introduction paragraphs after a heading 1, or as large pull out text." onAction="modRibbonControls.StylesOnAction"/>
              <button id="NoSpacing" label="No Spacing" supertip="Apply No Spacing style. This style has no white space above and below the paragraph. An example for use is an address." onAction="modRibbonControls.StylesOnAction"/>
              <menuSeparator id="separatorOtherStyles1"/>
              <button id="HighlightBoxHeading" label="Highlight Box Heading" supertip="Apply Highlight Box Heading style which appears in a coloured box." onAction="modRibbonControls.StylesOnAction"/>
              <button id="HighlightBoxText" label="Highlight Box Text" supertip="Apply Highlight Box Text style which appears in a coloured box." onAction="modRibbonControls.StylesOnAction"/>
              <button id="HighlightBoxBullet" label="Highlight Box Bullet" supertip="Apply Highlight Box Bullet style which appears in a coloured box." onAction="modRibbonControls.StylesOnAction"/>
              <menuSeparator id="separatorOtherStyles2"/>
              <button id="Quote" label="Quote" supertip="Apply Quote style." onAction="modRibbonControls.StylesOnAction"/>
              <button id="QuoteBullet" label="Quote Bullet" supertip="Apply Quote Bullet style." onAction="modRibbonControls.StylesOnAction"/>
              <button id="QuoteBullet2" label="Quote Bullet 2" supertip="Apply Quote Bullet 2 style." onAction="modRibbonControls.StylesOnAction"/>
              <menuSeparator id="separatorOtherStyles3"/>
              <button id="Source" label="Source" supertip="Apply Source style." onAction="modRibbonControls.StylesOnAction"/>
              <button id="Note" label="Note" supertip="Apply Note style." onAction="modRibbonControls.StylesOnAction"/>
              <button id="NoteNumbered" label="Note Numbered" supertip="Apply Note Numbered style." onAction="modRibbonControls.StylesOnAction"/>
            </menu>
            <control idMso="StylesPane" label="All" showLabel="false"/>
          </box>
          <box id="boxInner4" boxStyle="horizontal">
            <splitButton id="SplitBT" size="normal">
              <button id="BodyText" label="Body Text" image="Body" supertip="Apply Body Text Style. " onAction="modRibbonControls.StylesOnAction"/>
              <menu id="BTOptions" label="Body Text" showLabel="true" supertip="Apply Body Text style options.">
                <button id="BodyTextb" label="Body Text" image="Body" supertip="Apply Body Text style." onAction="modRibbonControls.StylesOnAction"/>
                <button id="BodyText12Above" label="Body Text 12pt Above" image="Body" supertip="Apply Body Text 12pt Above style. This style puts extra white space above the paragraph." onAction="modRibbonControls.StylesOnAction"/>
                <button id="BoldBodyText" label="Bold Body Text" imageMso="Bold" supertip="Apply Bold Body Text style. " onAction="modRibbonControls.StylesOnAction"/>
              </menu>
            </splitButton>
          </box>
        </group>
        <!-- *********************************************** Bullets -->
        <group id="grpLists" label="Lists" autoScale="true">
          <button id="Bullets" label="Bullets" imageMso="Bullets" size="normal" showLabel="true" supertip="Apply Bullet level 1 style. " onAction="modRibbonControls.StylesOnAction"/>
          <button id="Numbers" label="Numbers" imageMso="Numbering" size="normal" showLabel="true" supertip="Apply List Number level 1 style. " onAction="modRibbonControls.StylesOnAction"/>
          <menu id="ListsMore" label="More" image="ArrowMore" size="normal" itemSize="normal" supertip="More list styles.">
            <menuSeparator id="BulletsMoreSep1" title="Bullet styles"/>
            <button id="Bullet1" label="Bullet 1" supertip="Apply Bullet level 1 style." onAction="modRibbonControls.StylesOnAction"/>
            <button id="Bullet2" label="Bullet 2" supertip="Apply Bullet level 2 style." onAction="modRibbonControls.StylesOnAction"/>
            <button id="Bullet3" label="Bullet 3" supertip="Apply Bullet level 3 style." onAction="modRibbonControls.StylesOnAction"/>
            <menuSeparator id="NumberingMoreSep1" title="Multi-level List styles"/>
            <button id="Number1" label="List Number 1" supertip="Apply List Number level 1 style" onAction="modRibbonControls.StylesOnAction"/>
            <button id="Number2" label="List Number 2" supertip="Apply List Number level 2 style." onAction="modRibbonControls.StylesOnAction"/>
            <button id="Number3" label="List Number 3" supertip="Apply List Number level 3 style." onAction="modRibbonControls.StylesOnAction"/>
            <button id="Number4" label="List Number 4" supertip="Apply List Number level 4 style." onAction="modRibbonControls.StylesOnAction"/>
            <button id="Number5" label="List Number 5" supertip="Apply List Number level 5 style." onAction="modRibbonControls.StylesOnAction"/>
            <menuSeparator id="BulletsMoreSep2" title="Multi-level Alpha List styles"/>
            <button id="ListAlpha" label="List Alpha" supertip="Apply List Alpha style." onAction="modRibbonControls.StylesOnAction"/>
            <button id="ListAlpha2" label="List Alpha 2" supertip="Apply List Alpha 2 style." onAction="modRibbonControls.StylesOnAction"/>
            <button id="ListAlpha3" label="List Alpha 3" supertip="Apply List Alpha 3 style." onAction="modRibbonControls.StylesOnAction"/>
            <menuSeparator id="NumberingMoreSep4" title="List Continued Styles"/>
            <button id="ListContinue" label="List Continue" supertip="Apply List Continue style." onAction="modRibbonControls.StylesOnAction"/>
            <button id="ListContinue2" label="List Continue 2" supertip="Apply List Continue 2 style." onAction="modRibbonControls.StylesOnAction"/>
            <button id="ListContinue3" label="List Continue 3" supertip="Apply List Continue 3 style." onAction="modRibbonControls.StylesOnAction"/>
          </menu>
        </group>
        <!-- *********************************************** Paste and Insert Menu -->
        <group id="MyInsertAndPaste" label="Insert and Paste" autoScale="true">
          <menu id="PasteMenu" label="Paste Options" imageMso="Paste" size="normal" itemSize="normal" supertip="A list of customised paste options to maintain DEECA branding.">
            <menuSeparator id="MyPasteSep1" title="Paste general content or text"/>
            <button id="BtnPasteFromAnotherDoc" label="Smart paste content from another document" imageMso="Paste" onAction="modRibbonControls.PasteOnAction" supertip="Helps protect your page layout, style suite, headers and footers when you paste."/>
            <button id="BtnPasteTextOnly" label="Paste text only" imageMso="PasteTextOnly" onAction="modRibbonControls.PasteOnAction" supertip="Pastes text only; formatting stripped, user then applies DEECA styles to format the pasted content. Be careful, this option strips field codes, tables, pictures, etc."/>
            <menuSeparator id="MyPasteSep2" title="Paste picture or figures"/>
            <button id="BtnPasteGraphicPasteMenu" label="Paste picture" imageMso="PictureFromFileInsert" onAction="modRibbonControls.PasteOnAction" supertip="Paste an image, figure or PowerPoint slide from your clipboard (image must first be copied to the clipboard)."/>
            <menuSeparator id="MyPasteSep3" title="Paste data table"/>
            <button id="BtnPasteExcel" label="Paste data table as a Word table" showLabel="true" imageMso="TableInsert" onAction="modRibbonControls.PasteOnAction" supertip="Paste a data table into the document and format it in an DEECA table style."/>
            <menuSeparator id="MyPasteSep4" title="Paste Microsoft Excel items"/>
            <button id="BtnPasteExcelChartAsChartObject" label="Paste Microsoft Excel chart as MS Chart Object" showLabel="true" imageMso="ChartLayoutGallery" onAction="modRibbonControls.PasteOnAction" supertip="Paste your Excel chart as a MS Chart Object. Also prompts for figure, source and notes."/>
            <button id="BtnPasteExcelChartAsPic" label="Paste Microsoft Excel chart as a picture" showLabel="true" imageMso="ChartLayoutGallery" onAction="modRibbonControls.PasteOnAction" supertip="Paste an Excel chart as a picture. Also prompts for figure caption, source and notes."/>
            <button id="BtnPasteExcelTableAsPic" label="Paste Microsoft Excel Table as a picture" showLabel="true" imageMso="ChartLayoutGallery" onAction="modRibbonControls.PasteOnAction" supertip="Paste Excel table data as a picture. Also prompts for figure caption, source and notes."/>
          </menu>
          <menu id="MenuInserts1" label="Insert Options" image="btnInsert" size="normal" itemSize="normal" supertip="A list of customised items to insert into your document designed to maintain DEECA branding.">
            <menuSeparator id="GrpInsertsSep1" title="Custom DEECA Insertions"/>
            <menu id="MenuImageInserts" label="Insert picture..." imageMso="PictureFromFileInsert" supertip="Insert an image or photo from file.">
              <button id="ImageInsert" label="Insert picture" imageMso="PictureFromFileInsert" supertip="Insert an image or photo from file. The photo will fit to the column width." onAction="modRibbonControls.PicturesOnAction"/>
              <button id="ImageInsertSpanningColumns" label="Insert picture spanning columns" imageMso="PictureFromFileInsert" supertip="Insert an image or photo spanning columns. Use when you are using a two column page layout." onAction="modRibbonControls.PicturesOnAction"/>
            </menu>
            <button id="CaptionInsert" label="Insert caption, source or note prompt" imageMso="RightArrow2" supertip="Insert caption, source or notes." onAction="modRibbonControls.StylesOnAction"/>
            <button id="InsertHighlightBox" label="Insert highlight box" image="HighlightBox" supertip="Inserts a DEECA pull box." onAction="modRibbonControls.PullBoxOnAction"/>
            <button id="InsertPullBox" label="Insert pull box" image="PullOutBox" supertip="Inserts an DEECA pull box." onAction="modRibbonControls.PullBoxOnAction"/>
            <button id="TableInsert" label="Insert table" imageMso="TableInsert" supertip="Insert DEECA branded table. Prompts for number of columns and rows, table caption and notes." onAction="modRibbonControls.showTableInsertNew"/>
            <button id="InsertColumnBreak" label="Insert column break" image="ColumnBreakIcon" supertip="Inserts a column break." onAction="modRibbonControls.InsertColumnBreak"/>
            <menu id="MenuBlankPage" label="Insert Blank Page" imageMso="ReviewCombineRevisions" supertip="Insert a blank page.">
              <button idMso="PageBreakInsertWord"/>
              <button id="InsertBlankPage" label="Insert blank page" imageMso="ReviewCombineRevisions" supertip="Inserts a blank page with the option to change orientation/page size." onAction="modRibbonControls.ShowPageLayoutInsert"/>
              <button id="InsertBlankIntentional" label="Insert blank page stamped intentionally blank" imageMso="CreateReportBlankReport" supertip="Inserts a blank page stamped this page is intentionally blank." onAction="modRibbonControls.BlankIntentional"/>
            </menu>
            <menu id="MenuSectionDividerInserts" label="Section Divider Page..." image="SectionDivider" supertip="Insert or delete a section divider.">
              <button id="SectionDividerInsert" label="Insert Section Divider" imageMso="ScheduledProjectFinishDate" supertip="Inserts a section divider." onAction="modRibbonControls.SectionDivider_Insert"/>
              <button id="SectionDividerDelete" label="Delete Section Divider" imageMso="SectionMergeWithPrevious" supertip="Deletes a section divider page." onAction="modRibbonControls.SectionDivider_Delete"/>
            </menu>
            <button id="ReferenceseInsert" label="Insert References" image="NewPageFromTemplate" onAction="modRibbonControls.References_Insert" supertip="Inserts a section/page called References. Endnotes will be set to appear in this section."/>
            <menu id="MenuBackCoverInserts" label="Back Cover Page..." image="BackPage" supertip="Insert or delete the back cover.">
              <button id="BackCoverInsert" label="Insert Back Cover" imageMso="ScheduledProjectFinishDate" onAction="modRibbonControls.BackCover_Insert" supertip="Insert DEECA back cover page."/>
              <button id="BackCoverDelete" label="Delete Back Cover" imageMso="SectionMergeWithPrevious" onAction="modRibbonControls.BackCover_Delete" supertip="Delete DEECA back cover page."/>
            </menu>
            <menuSeparator id="GrpInsertsSep2" title="Shortcut to Word's built-in insert items"/>
            <button id="HyperlinkInsert" label="Insert Hyperlink" imageMso="HyperlinkInsert" supertip="Insert hyperlink" onAction="modRibbonControls.InsertHyperlinkBtn"/>
            <button idMso="CrossReferenceInsert"/>
            <button idMso="FootnoteInsert"/>
            <button idMso="EndnoteInsertWord"/>
          </menu>
        </group>
        <!-- *********************************************** Tables Menu -->
        <group id="Table" label="Tables" autoScale="true">
          <button id="InsertTable" label="Insert  Table" imageMso="TableDrawTable" size="normal" supertip="Insert DEECA branded table. Prompts for number of columns and rows, table caption and notes." onAction="modRibbonControls.showTableInsertNew"/>
          <button id="ReApplyTable" label="Apply  Table" imageMso="TableInsert" size="normal" supertip="Applies DEECA table format. Prompts to reformat text within table." onAction="showApplyTable"/>
          <menu id="TablesBtn00" label="Table Styles" imageMso="TextStyle" size="normal" supertip="Apply table styles to text.">
            <menuSeparator id="separatorTbl2" title="Table Text"/>
            <button id="TablesBtn7" label="Table Text Left" supertip="Apply Table Text Left style" onAction="modRibbonControls.TablesOnAction"/>
            <button id="TableTextCentre" label="Table Text Centre" supertip="Apply Table Text Centre style" onAction="modRibbonControls.TablesOnAction"/>
            <button id="TableTextRight" label="Table Text Right" supertip="Apply Table Text Right style" onAction="modRibbonControls.TablesOnAction"/>
            <menuSeparator id="separatorTbl3" title="Table Text Bold"/>
            <button id="TablesBtn8" label="Table Text Bold" supertip="Apply Table Text Bold style" onAction="modRibbonControls.TablesOnAction"/>
            <menuSeparator id="separatorTbl4" title="Table Headings"/>
            <button id="TableHeadingLeft" label="Table Heading Left" supertip="Apply Table Text Left style" onAction="modRibbonControls.TablesOnAction"/>
            <button id="TableHeadingCentre" label="Table Heading Centre" supertip="Apply Table Text Centre style" onAction="modRibbonControls.TablesOnAction"/>
            <button id="TableHeadingRight" label="Table Heading Right" supertip="Apply Table Text Right style" onAction="modRibbonControls.TablesOnAction"/>
            <menuSeparator id="separatorTbl5" title="Apply Table Bullets"/>
            <button id="TablesBtn9" label="Table Text Bullet" imageMso="Bullets" supertip="Table Text Bullet style" onAction="modRibbonControls.TablesOnAction"/>
            <button id="TablesBtn10" label="Table Text Bullet 2" supertip="Apply Table Text Bullet 2 style" onAction="modRibbonControls.TablesOnAction"/>
            <button id="TablesBtn11" label="Table Text Bullet 3" supertip="Apply Table Text Bullet 3 style" onAction="modRibbonControls.TablesOnAction"/>
            <menuSeparator id="separatorTbl6" title="Table Numbering"/>
            <button id="TablesBtn12" label="Table Text Numbered" supertip="Apply Table Text Numbered style" imageMso="Numbering" onAction="modRibbonControls.TablesOnAction"/>
            <button id="TablesBtn13" label="Table Text Numbered 2" supertip="Apply Table Text Numbered 2 style" onAction="modRibbonControls.TablesOnAction"/>
            <button id="TablesBtn14" label="Table Text Numbered 3" supertip="Apply Table Text Numbered 3 style" onAction="modRibbonControls.TablesOnAction"/>
            <menuSeparator id="separatorTbl7" title="Source/Notes"/>
            <button id="SourceInsert" label="Insert source or notes" imageMso="ActionInsertAccess" onAction="modRibbonControls.StylesOnAction" supertip="Custom pop up box to insert source and/or notes."/>
          </menu>
          <splitButton id="SplitBorders" size="normal">
            <button id="TableLines01" label="Borders" imageMso="BorderInsideHorizontal" onAction="modRibbonControls.BordersOnAction" tag="wdBorderHorizontal" supertip="Apply 0.5 pt inside horizontal border to selected cells. Requires a minimum of two rows to be selected."/>
            <menu id="TablesMenuBorders" label="Borders" showLabel="true" imageMso="BorderInsideHorizontal" supertip="Apply custom DEECA borders.">
              <menuSeparator id="separatorTbl3B" title="DEECA Borders"/>
              <button id="TableAllLines" label="Apply All Borders" imageMso="BordersAll" onAction="modRibbonControls.BordersOnAction" tag="wdBordersAll" supertip="Applies 0.5 pt all borders around selected cells."/>
              <button id="TableLines02" label="Apply Bottom Border" imageMso="BorderBottom" onAction="modRibbonControls.BordersOnAction" tag="wdBorderBottom" supertip="Apply 0.5 pt bottom border to selected cells. Requires a minimum of two rows to be selected."/>
              <button id="TableLines03" label="Apply Top Border" imageMso="BorderTop" onAction="modRibbonControls.BordersOnAction" tag="wdBorderTop" supertip="Apply 0.5 pt border to top of selected cell."/>
              <button id="TableLines04" label="Apply Left Border" imageMso="BorderLeft" onAction="modRibbonControls.BordersOnAction" tag="wdBorderLeft" supertip="Apply 0.5 pt border left of selected cell."/>
              <button id="TableLines05" label="Apply Right Border" imageMso="BorderRight" onAction="modRibbonControls.BordersOnAction" tag="wdBorderRight" supertip="Apply 0.5 pt border right of selected cell."/>
              <button id="TableLines06" label="Apply Inside Horizontal Border" imageMso="BorderInsideHorizontal" onAction="modRibbonControls.BordersOnAction" tag="wdBorderHorizontal" supertip="Apply 0.5 pt inside horizontal border to selected cells. Requires a minimum of two rows to be selected."/>
              <button id="TableLines07" label="Apply Inside Vertical Border" imageMso="BorderInsideVertical" onAction="modRibbonControls.BordersOnAction" tag="wdBorderVertical" supertip="Apply 0.5 pt inside vertical border to selected cells. Requires a minimum of two columns to be selected."/>
              <menuSeparator id="separatorTbl3C" title="None"/>
              <button id="TableRemoveAllLines" label="No Border" imageMso="BorderNone" onAction="modRibbonControls.BordersOnAction" tag="wdBordersAll" supertip="Remove all borders from selected cell."/>
              <button id="TableRemoveLines01" label="No Bottom Border" imageMso="BorderBottom" onAction="modRibbonControls.BordersOnAction" tag="wdBorderBottom" supertip="Remove bottom border from selected cell."/>
              <button id="TableRemoveLines02" label="No Top Border" imageMso="BorderTop" onAction="modRibbonControls.BordersOnAction" tag="wdBorderTop" supertip="Remove top border from selected cell."/>
              <button id="TableRemoveLines03" label="No Left Border" imageMso="BorderLeft" onAction="modRibbonControls.BordersOnAction" tag="wdBorderLeft" supertip="Remove left border from selected cell."/>
              <button id="TableRemoveLines04" label="No Right Border" imageMso="BorderRight" onAction="modRibbonControls.BordersOnAction" tag="wdBorderRight" supertip="Remove right border from selected cell."/>
              <button id="TableRemoveLines05" label="No Inside Horizontal Border" imageMso="BorderInsideHorizontal" onAction="modRibbonControls.BordersOnAction" tag="wdBorderHorizontal" supertip="Remove inside horizonal border from selected cells."/>
              <button id="TableRemoveLines06" label="No Inside Vertical Border" imageMso="BorderInsideVertical" onAction="modRibbonControls.BordersOnAction" tag="wdBorderVertical" supertip="Remove inside vertical border from selected cells."/>
            </menu>
          </splitButton>
          <splitButton id="FillCells" size="normal" showLabel="false">
            <button id="TablesBtnShade20theme1" label="Shade" imageMso="FillDialog" tag="Theme20" onAction="ShadeCellOnAction" supertip="Shade selected cells 20% theme shade."/>
            <menu id="TablesMenuFillCells" label="Fill" showLabel="true" imageMso="ShadingPicker" supertip="Apply custom DEECA shades.">
              <button id="TablesBtnShade100theme" label="Theme colour 100% (header row)" tag="Theme100" onAction="ShadeCellOnAction" supertip="Shade selected cells 100% theme shade."/>
              <button id="TablesBtnShade40theme" label="Theme colour 40%" tag="Theme40" onAction="ShadeCellOnAction" supertip="Shade selected cells 40% theme shade."/>
              <button id="TablesBtnShade20theme2" label="Theme colour 20%  (column banding)" tag="Theme20" onAction="ShadeCellOnAction" supertip="Shade selected cells 20% theme shade."/>
              <button id="TablesBtnShade10theme" label="Theme colour 10%" tag="Theme10" onAction="ShadeCellOnAction" supertip="Shade selected cells 10% theme shade."/>
              <button id="TablesBtnShade40grey" label="Grey 40%" tag="Grey40" onAction="ShadeCellOnAction" supertip="Shade selected cells 40% grey shade."/>
              <button id="TablesBtnShade20grey" label="Grey 20%" tag="Grey20" onAction="ShadeCellOnAction" supertip="Shade selected cells 20% grey shade."/>
              <button id="TablesBtnShade10grey" label="Grey 10%" tag="Grey10" onAction="ShadeCellOnAction" supertip="Shade selected cells 10% grey shade."/>
              <button id="ShadeNone" label="Shade none" tag="None" image="White" onAction="ShadeCellOnAction" supertip="Remove cells shading."/>
            </menu>
          </splitButton>
        </group>
        <!-- *********************************************** Page Layouts   -->
        <group id="PageLayouts" label="Page Layout" autoScale="true">
          <menu id="PageLayoutMenu1" label="Orientation &amp;&amp; Page Size" imageMso="PageOrientation" size="normal" itemSize="normal" supertip="Insert a landscape page or change a page orientation.">
            <button id="PageLayoutsBtn1A" label="Insert BLANK PAGE with orientation and page size options" imageMso="PageOrientation" onAction="modRibbonControls.ShowPageLayoutInsert" supertip="Inserts a blank A4 or A3 page in either portrait or landscape orientation."/>
            <menuSeparator id="Grp3Sep1"/>
            <button id="PageLayoutsBtn2" label="Change page size and/or orientation of CURRENT SECTION" imageMso="PageOrientation" onAction="modRibbonControls.ShowPageLayoutChange" supertip="Change the page size and/or orientation of the current section (as determined by the position of your cursor)."/>
            <menuSeparator id="Grp3Sep2"/>
            <button id="PageLayoutsBtn3" label="Change page size and/or orientation of SELECTED TEXT" imageMso="PageOrientation" onAction="modRibbonControls.ShowSelectedTextPageLayoutMenu" supertip="Change the page size and/or orientation of the selected text. For example, a table on an A4 portait page that needs to appear on an A4 landscape page. Select the table caption and the table and then use this feature."/>
          </menu>
          <menu id="ColumnMenu1" label="Columns" size="normal" itemSize="normal" imageMso="ParagraphMoreColumnsDialog" supertip="A customised list of column formatting options.">
            <button id="ColumnBtn1" label="Change THIS SECTION to One Column" onAction="ColumnsOnAction" supertip="Changes the section determined by the position of your cursor to one column layout."/>
            <button id="ColumnBtn2" label="Change THIS SECTION to Two Columns" onAction="ColumnsOnAction" supertip="Changes the section determined by the position of your cursor to two column layout."/>
            <menuSeparator id="ColumnMenuSep1"/>
            <button id="ColumnBtn3" label="Change SELECTED TEXT to One Column" onAction="ColumnsOnAction" supertip="Changes the selected text to one column layout."/>
            <button id="ColumnBtn4" label="Change SELECTED TEXT to Two Columns" onAction="ColumnsOnAction" supertip="Changes the selected text to two column layout."/>
            <menuSeparator id="ColumnMenuSep2"/>
            <button id="ColumnBtn5" label="Insert One Column from this point forward" onAction="ColumnsOnAction" supertip="Insert one column from the position of your cursor forward."/>
            <button id="ColumnBtn6" label="Insert Two Columns from this point forward" onAction="ColumnsOnAction" supertip="Insert two columns from the position of your cursor forward."/>
          </menu>
        </group>
        <!-- *********************************************** Doc Update and Review  -->
        <group id="DocSummary" label="Update/Review" autoScale="true">
          <!-- TOC -->
          <button id="UpdateFields" label="Update all fields" imageMso="SourceControlRun" size="normal" onAction="modRibbonControls.MyUpdateFields" supertip="Update all fields in document."/>
          <!-- TOC -->
          <menu id="TOCMenu" label="Table of Contents options" imageMso="TableOfContentsGallery" size="normal" itemSize="normal" supertip="Custom TOC tools.">
            <button id="UpdateTOC" label="Update Table of Contents" imageMso="RefreshAll" supertip="Updates the table of contents and lists of figures and tables in your document." onAction="modRibbonControls.UpdateTOC"/>
            <button id="TOCBuild" label="Modify Table of Contents settings" image="Settings" supertip="Modify your Table of Contents settings, e.g. set heading levels to show, include or exclude list of figures and list of tables." onAction="modRibbonControls.BuildTOC"/>
          </menu>
          <!-- FIND, FIX and REVIEW -->
          <menu id="ProofingMenu" label="Find, Fix, Review &amp;&amp; Help" imageMso="HappyFace" size="normal" itemSize="normal" supertip="Custom tools to review your document and seek support.">
            <menuSeparator id="GrpProofSep1" title="Find"/>
            <button id="GotoHighlightedText" label="Go to highlighted text" onAction="modRibbonControls.ButtonHighlightedText" imageMso="GoTo" supertip="Go to the next occurrence of highlighted text."/>
            <menuSeparator id="GroupProofSep2" title="Fix"/>
            <button id="HeaderFooterRebuild" label="Fix Header &amp;&amp; Footer" imageMso="AutoFormat" onAction="modRibbonControls.HeaderFooterRebuild" supertip="Rebuilds the header, footer, page margins and page numbers. Changes will be applied to the entire document."/>
            <button idMso="PageNumberFormat"/>
            <button id="ResetListBullets" label="Reset List Bullets" imageMso="HappyFace" onAction="modRibbonControls.FixOnAction" supertip="Imports and resets the List Bullet styles. Use if the bullets disappear from the List Bullet styles in your document."/>
            <button id="ResetListNumbering" label="Reset List Numbering" imageMso="HappyFace" onAction="modRibbonControls.FixOnAction" supertip="Imports and resets the List Number styles. Use if the numbers disappear from the List Number styles in your document."/>
            <button id="ApplyFootnoteParagraphStyle" label="Apply Footnote paragraph style to Footnotes" imageMso="HappyFace" onAction="modRibbonControls.FixOnAction" supertip="Applies Footnote paragraph style to each paragraph in footnotes, and ensures each footnote begins with a tab."/>
            <button id="ApplyEndnoteParagraphStyle" label="Apply Endnote paragraph style to Endnotes" imageMso="HappyFace" onAction="modRibbonControls.FixOnAction" supertip="Applies Endnote paragraph style to each paragraph in endnotes, and ensures each endnote begins with a tab."/>
            <button id="EndnotesDeclareSection" label="Set section for Endnotes to appear" imageMso="HappyFace" onAction="modRibbonControls.FixOnAction" supertip="Suppresses endnotes in all sections except the selected section. Endnotes should appear in a section prior to the back cover. Hint: Position your cursor on the page heading."/>
            <menuSeparator id="GroupProofSep3" title="Accessibility"/>
            <button idMso="AccessibilityChecker"/>
            <menuSeparator id="GrpProofSep4" title="Reviewing"/>
            <button idMso="ReviewNewComment"/>
            <toggleButton idMso="ReviewTrackChanges"/>
            <splitButton idMso="ReviewAcceptChangeMenu"/>
            <splitButton idMso="ReviewRejectChangeMenu"/>
            <menuSeparator id="GrpProofSep5" title="Help"/>
            <button id="Help1" label="Help" imageMso="TentativeAcceptInvitation" onAction="QuickGuide" supertip="Template Help"/>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FA08FD44ECB0BB41A68F13490EB8DB4B" ma:contentTypeVersion="154" ma:contentTypeDescription="All project related information. The library can be used to manage multiple projects." ma:contentTypeScope="" ma:versionID="fd0ae2c6e6488a2cb469e63ae20f3f25">
  <xsd:schema xmlns:xsd="http://www.w3.org/2001/XMLSchema" xmlns:xs="http://www.w3.org/2001/XMLSchema" xmlns:p="http://schemas.microsoft.com/office/2006/metadata/properties" xmlns:ns2="9fd47c19-1c4a-4d7d-b342-c10cef269344" xmlns:ns3="a5f32de4-e402-4188-b034-e71ca7d22e54" xmlns:ns4="b0e481b2-fbf4-452b-afab-b06b5a497fe4" xmlns:ns5="c184308e-a55a-4671-8972-d66ed93e48a0" xmlns:ns6="add75793-3539-4089-8056-52012629aff0" targetNamespace="http://schemas.microsoft.com/office/2006/metadata/properties" ma:root="true" ma:fieldsID="430c9e635f303ab1e100ae8d02d1b931" ns2:_="" ns3:_="" ns4:_="" ns5:_="" ns6:_="">
    <xsd:import namespace="9fd47c19-1c4a-4d7d-b342-c10cef269344"/>
    <xsd:import namespace="a5f32de4-e402-4188-b034-e71ca7d22e54"/>
    <xsd:import namespace="b0e481b2-fbf4-452b-afab-b06b5a497fe4"/>
    <xsd:import namespace="c184308e-a55a-4671-8972-d66ed93e48a0"/>
    <xsd:import namespace="add75793-3539-4089-8056-52012629aff0"/>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2:g91c59fb10974fa1a03160ad8386f0f4" minOccurs="0"/>
                <xsd:element ref="ns4:MediaServiceAutoKeyPoints" minOccurs="0"/>
                <xsd:element ref="ns4:MediaServiceKeyPoints" minOccurs="0"/>
                <xsd:element ref="ns5:SharedWithUsers" minOccurs="0"/>
                <xsd:element ref="ns5: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6:MediaServiceMetadata" minOccurs="0"/>
                <xsd:element ref="ns6:MediaServiceFastMetadata" minOccurs="0"/>
                <xsd:element ref="ns2:ProjName"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f2ccc2d036544b63b99cbcec8aa9ae6a" ma:index="20" ma:taxonomy="true" ma:internalName="f2ccc2d036544b63b99cbcec8aa9ae6a" ma:taxonomyFieldName="Records_x0020_Class_x0020_Project" ma:displayName="Classification"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1"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ProjName" ma:index="35"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0e481b2-fbf4-452b-afab-b06b5a497fe4" elementFormDefault="qualified">
    <xsd:import namespace="http://schemas.microsoft.com/office/2006/documentManagement/types"/>
    <xsd:import namespace="http://schemas.microsoft.com/office/infopath/2007/PartnerControls"/>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DateTaken" ma:index="31" nillable="true" ma:displayName="MediaServiceDateTaken" ma:hidden="true" ma:internalName="MediaServiceDateTaken"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308e-a55a-4671-8972-d66ed93e48a0"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d75793-3539-4089-8056-52012629aff0"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97aeec6-0273-40f2-ab3e-beee73212332" ContentTypeId="0x0101009298E819CE1EBB4F8D2096B3E0F0C29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roject_Phase xmlns="9fd47c19-1c4a-4d7d-b342-c10cef269344" xsi:nil="true"/>
    <g91c59fb10974fa1a03160ad8386f0f4 xmlns="9fd47c19-1c4a-4d7d-b342-c10cef269344">
      <Terms xmlns="http://schemas.microsoft.com/office/infopath/2007/PartnerControls"/>
    </g91c59fb10974fa1a03160ad8386f0f4>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_dlc_DocId xmlns="a5f32de4-e402-4188-b034-e71ca7d22e54">DOCID695-1986227405-4820</_dlc_DocI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Url xmlns="a5f32de4-e402-4188-b034-e71ca7d22e54">
      <Url>https://delwpvicgovau.sharepoint.com/sites/ecm_695/_layouts/15/DocIdRedir.aspx?ID=DOCID695-1986227405-4820</Url>
      <Description>DOCID695-1986227405-4820</Description>
    </_dlc_DocIdUrl>
    <ProjName xmlns="9fd47c19-1c4a-4d7d-b342-c10cef269344" xsi:nil="true"/>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Program Strategy</TermName>
          <TermId xmlns="http://schemas.microsoft.com/office/infopath/2007/PartnerControls">a6651d8a-f3ed-41da-abaa-64fe320e523e</TermId>
        </TermInfo>
      </Terms>
    </f2ccc2d036544b63b99cbcec8aa9ae6a>
    <lcf76f155ced4ddcb4097134ff3c332f xmlns="b0e481b2-fbf4-452b-afab-b06b5a497fe4">
      <Terms xmlns="http://schemas.microsoft.com/office/infopath/2007/PartnerControls"/>
    </lcf76f155ced4ddcb4097134ff3c332f>
    <TaxCatchAll xmlns="9fd47c19-1c4a-4d7d-b342-c10cef269344">
      <Value>20</Value>
      <Value>38</Value>
      <Value>2</Value>
      <Value>1</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68f408df-3c0e-45dc-a0eb-b580fdedae5b</TermId>
        </TermInfo>
      </Terms>
    </b9b43b809ea4445880dbf70bb9849525>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970BD9-0A35-4D2E-97EE-2339E6BB9DB3}"/>
</file>

<file path=customXml/itemProps3.xml><?xml version="1.0" encoding="utf-8"?>
<ds:datastoreItem xmlns:ds="http://schemas.openxmlformats.org/officeDocument/2006/customXml" ds:itemID="{B09D525F-FD2A-4B6F-A780-E9AB85DEC89D}"/>
</file>

<file path=customXml/itemProps4.xml><?xml version="1.0" encoding="utf-8"?>
<ds:datastoreItem xmlns:ds="http://schemas.openxmlformats.org/officeDocument/2006/customXml" ds:itemID="{472A9BAF-47A4-42EF-B9BC-2A0D6C60F530}"/>
</file>

<file path=customXml/itemProps5.xml><?xml version="1.0" encoding="utf-8"?>
<ds:datastoreItem xmlns:ds="http://schemas.openxmlformats.org/officeDocument/2006/customXml" ds:itemID="{E58EA0E6-EA94-4198-A821-CF00D4655969}"/>
</file>

<file path=customXml/itemProps6.xml><?xml version="1.0" encoding="utf-8"?>
<ds:datastoreItem xmlns:ds="http://schemas.openxmlformats.org/officeDocument/2006/customXml" ds:itemID="{A934A660-98DF-4E72-B9EB-62D89FD39759}"/>
</file>

<file path=docProps/app.xml><?xml version="1.0" encoding="utf-8"?>
<Properties xmlns="http://schemas.openxmlformats.org/officeDocument/2006/extended-properties" xmlns:vt="http://schemas.openxmlformats.org/officeDocument/2006/docPropsVTypes">
  <Template>Normal.dotm</Template>
  <TotalTime>0</TotalTime>
  <Pages>19</Pages>
  <Words>7332</Words>
  <Characters>41798</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2023-12-21T06:42:00Z</dcterms:created>
  <dcterms:modified xsi:type="dcterms:W3CDTF">2023-12-21T06:45:00Z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20,21,22,23,25,26</vt:lpwstr>
  </property>
  <property fmtid="{D5CDD505-2E9C-101B-9397-08002B2CF9AE}" pid="3" name="ClassificationContentMarkingFooterFontProps">
    <vt:lpwstr>#000000,12,Calibri</vt:lpwstr>
  </property>
  <property fmtid="{D5CDD505-2E9C-101B-9397-08002B2CF9AE}" pid="4" name="ClassificationContentMarkingFooterText">
    <vt:lpwstr>OFFICIAL</vt:lpwstr>
  </property>
  <property fmtid="{D5CDD505-2E9C-101B-9397-08002B2CF9AE}" pid="5" name="MSIP_Label_4257e2ab-f512-40e2-9c9a-c64247360765_Enabled">
    <vt:lpwstr>true</vt:lpwstr>
  </property>
  <property fmtid="{D5CDD505-2E9C-101B-9397-08002B2CF9AE}" pid="6" name="MSIP_Label_4257e2ab-f512-40e2-9c9a-c64247360765_SetDate">
    <vt:lpwstr>2023-12-21T06:42:21Z</vt:lpwstr>
  </property>
  <property fmtid="{D5CDD505-2E9C-101B-9397-08002B2CF9AE}" pid="7" name="MSIP_Label_4257e2ab-f512-40e2-9c9a-c64247360765_Method">
    <vt:lpwstr>Privileged</vt:lpwstr>
  </property>
  <property fmtid="{D5CDD505-2E9C-101B-9397-08002B2CF9AE}" pid="8" name="MSIP_Label_4257e2ab-f512-40e2-9c9a-c64247360765_Name">
    <vt:lpwstr>OFFICIAL</vt:lpwstr>
  </property>
  <property fmtid="{D5CDD505-2E9C-101B-9397-08002B2CF9AE}" pid="9" name="MSIP_Label_4257e2ab-f512-40e2-9c9a-c64247360765_SiteId">
    <vt:lpwstr>e8bdd6f7-fc18-4e48-a554-7f547927223b</vt:lpwstr>
  </property>
  <property fmtid="{D5CDD505-2E9C-101B-9397-08002B2CF9AE}" pid="10" name="MSIP_Label_4257e2ab-f512-40e2-9c9a-c64247360765_ActionId">
    <vt:lpwstr>f47a865b-e15d-4841-9214-5c916da32fa5</vt:lpwstr>
  </property>
  <property fmtid="{D5CDD505-2E9C-101B-9397-08002B2CF9AE}" pid="11" name="MSIP_Label_4257e2ab-f512-40e2-9c9a-c64247360765_ContentBits">
    <vt:lpwstr>2</vt:lpwstr>
  </property>
  <property fmtid="{D5CDD505-2E9C-101B-9397-08002B2CF9AE}" pid="12" name="MediaServiceImageTags">
    <vt:lpwstr/>
  </property>
  <property fmtid="{D5CDD505-2E9C-101B-9397-08002B2CF9AE}" pid="13" name="ContentTypeId">
    <vt:lpwstr>0x0101009298E819CE1EBB4F8D2096B3E0F0C2911D00FA08FD44ECB0BB41A68F13490EB8DB4B</vt:lpwstr>
  </property>
  <property fmtid="{D5CDD505-2E9C-101B-9397-08002B2CF9AE}" pid="14" name="Records Class Project">
    <vt:lpwstr>20</vt:lpwstr>
  </property>
  <property fmtid="{D5CDD505-2E9C-101B-9397-08002B2CF9AE}" pid="15" name="Department Document Type">
    <vt:lpwstr>38;#Report|68f408df-3c0e-45dc-a0eb-b580fdedae5b</vt:lpwstr>
  </property>
  <property fmtid="{D5CDD505-2E9C-101B-9397-08002B2CF9AE}" pid="16" name="Dissemination Limiting Marker">
    <vt:lpwstr>2;#FOUO|955eb6fc-b35a-4808-8aa5-31e514fa3f26</vt:lpwstr>
  </property>
  <property fmtid="{D5CDD505-2E9C-101B-9397-08002B2CF9AE}" pid="17" name="Security Classification">
    <vt:lpwstr>1;#Unclassified|7fa379f4-4aba-4692-ab80-7d39d3a23cf4</vt:lpwstr>
  </property>
  <property fmtid="{D5CDD505-2E9C-101B-9397-08002B2CF9AE}" pid="18" name="Record Purpose">
    <vt:lpwstr/>
  </property>
  <property fmtid="{D5CDD505-2E9C-101B-9397-08002B2CF9AE}" pid="19" name="_dlc_DocIdItemGuid">
    <vt:lpwstr>52e1d8ef-391a-4356-b0ab-e3381410a270</vt:lpwstr>
  </property>
</Properties>
</file>

<file path=userCustomization/customUI.xml><?xml version="1.0" encoding="utf-8"?>
<mso:customUI xmlns:mso="http://schemas.microsoft.com/office/2006/01/customui">
  <mso:ribbon>
    <mso:qat>
      <mso:documentControls>
        <mso:control idQ="mso:FileOpenUsingBackstage" visible="true"/>
        <mso:control idQ="mso:FileSave" visible="true"/>
        <mso:control idQ="mso:FileSaveAs" visible="true"/>
        <mso:control idQ="mso:ParagraphKeepLinesTogether" visible="true"/>
        <mso:control idQ="mso:ParagraphKeepWithNext" visible="true"/>
        <mso:control idQ="mso:BreakParagraphPageBreakBefore" visible="true"/>
      </mso:documentControls>
    </mso:qat>
  </mso:ribbon>
</mso:customUI>
</file>