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3D" w:rsidRDefault="0056473D" w:rsidP="006203F9">
      <w:pPr>
        <w:pStyle w:val="headingtop"/>
      </w:pPr>
      <w:bookmarkStart w:id="0" w:name="_GoBack"/>
      <w:bookmarkEnd w:id="0"/>
    </w:p>
    <w:p w:rsidR="00D409F1" w:rsidRDefault="0010668F" w:rsidP="00BB25DB">
      <w:pPr>
        <w:pStyle w:val="authorisedby"/>
      </w:pPr>
      <w:r>
        <w:t>The Victorian Government is recommencing incentives for</w:t>
      </w:r>
      <w:r w:rsidR="000C36E5">
        <w:t xml:space="preserve"> ceiling insulation in the Victorian Energy Efficiency Target (VEET) scheme, also known as the Energy Saver In</w:t>
      </w:r>
      <w:r>
        <w:t>centive</w:t>
      </w:r>
      <w:r w:rsidR="003C5500">
        <w:t xml:space="preserve">.  </w:t>
      </w:r>
      <w:r>
        <w:t xml:space="preserve">Prior to these incentives recommencing the Victorian Government is consulting on proposed changes to the VEET Regulations to </w:t>
      </w:r>
      <w:r w:rsidR="0047626F">
        <w:t>support the installation of</w:t>
      </w:r>
      <w:r>
        <w:t xml:space="preserve"> </w:t>
      </w:r>
      <w:r w:rsidR="002D5C97">
        <w:t>ceiling insulation in a safe and correct manner</w:t>
      </w:r>
      <w:r>
        <w:t xml:space="preserve">. </w:t>
      </w:r>
    </w:p>
    <w:p w:rsidR="00842F04" w:rsidRDefault="000C36E5" w:rsidP="00BB25DB">
      <w:pPr>
        <w:pStyle w:val="authorisedby"/>
      </w:pPr>
      <w:r>
        <w:t>The proposed changes to the VEET Regulations</w:t>
      </w:r>
      <w:r w:rsidR="00842F04">
        <w:t xml:space="preserve"> are:</w:t>
      </w:r>
    </w:p>
    <w:p w:rsidR="003A0CC3" w:rsidRDefault="00842F04" w:rsidP="002D5C97">
      <w:pPr>
        <w:pStyle w:val="authorisedby"/>
        <w:numPr>
          <w:ilvl w:val="0"/>
          <w:numId w:val="5"/>
        </w:numPr>
      </w:pPr>
      <w:r>
        <w:t xml:space="preserve">to restrict </w:t>
      </w:r>
      <w:r w:rsidR="003A0CC3">
        <w:t xml:space="preserve">the type of insulation products eligible for </w:t>
      </w:r>
      <w:r>
        <w:t>VEET incentives to non-conductive products</w:t>
      </w:r>
      <w:r w:rsidR="003A0CC3">
        <w:t>, and</w:t>
      </w:r>
    </w:p>
    <w:p w:rsidR="000C36E5" w:rsidRDefault="003A0CC3" w:rsidP="002D5C97">
      <w:pPr>
        <w:pStyle w:val="authorisedby"/>
        <w:numPr>
          <w:ilvl w:val="0"/>
          <w:numId w:val="5"/>
        </w:numPr>
      </w:pPr>
      <w:r>
        <w:t xml:space="preserve">to update the referenced </w:t>
      </w:r>
      <w:r w:rsidR="002D5C97">
        <w:t xml:space="preserve">ceiling insulation </w:t>
      </w:r>
      <w:r>
        <w:t xml:space="preserve">installation standard. </w:t>
      </w:r>
      <w:r w:rsidR="00842F04">
        <w:t xml:space="preserve"> </w:t>
      </w:r>
    </w:p>
    <w:p w:rsidR="000C36E5" w:rsidRDefault="002D5C97" w:rsidP="000C36E5">
      <w:pPr>
        <w:pStyle w:val="authorisedby"/>
        <w:rPr>
          <w:rStyle w:val="Hyperlink"/>
          <w:rFonts w:cs="Tahoma"/>
        </w:rPr>
      </w:pPr>
      <w:r>
        <w:rPr>
          <w:rFonts w:cs="Tahoma"/>
        </w:rPr>
        <w:t>Further details</w:t>
      </w:r>
      <w:r w:rsidR="000C36E5">
        <w:rPr>
          <w:rFonts w:cs="Tahoma"/>
        </w:rPr>
        <w:t xml:space="preserve"> of these proposed changes </w:t>
      </w:r>
      <w:r>
        <w:rPr>
          <w:rFonts w:cs="Tahoma"/>
        </w:rPr>
        <w:t>are provided</w:t>
      </w:r>
      <w:r w:rsidR="000C36E5">
        <w:rPr>
          <w:rFonts w:cs="Tahoma"/>
        </w:rPr>
        <w:t xml:space="preserve"> below. </w:t>
      </w:r>
      <w:r>
        <w:rPr>
          <w:rFonts w:cs="Tahoma"/>
        </w:rPr>
        <w:t>Additionally, d</w:t>
      </w:r>
      <w:r w:rsidR="00D409F1">
        <w:rPr>
          <w:rFonts w:cs="Tahoma"/>
        </w:rPr>
        <w:t xml:space="preserve">raft Regulations </w:t>
      </w:r>
      <w:r w:rsidR="000C36E5" w:rsidRPr="00BC6704">
        <w:rPr>
          <w:rFonts w:cs="Tahoma"/>
        </w:rPr>
        <w:t>are available online at:</w:t>
      </w:r>
      <w:r w:rsidR="000C36E5">
        <w:rPr>
          <w:rFonts w:cs="Tahoma"/>
        </w:rPr>
        <w:t xml:space="preserve"> </w:t>
      </w:r>
      <w:hyperlink r:id="rId9" w:history="1">
        <w:r w:rsidR="000C36E5" w:rsidRPr="00BC6704">
          <w:rPr>
            <w:rStyle w:val="Hyperlink"/>
            <w:rFonts w:cs="Tahoma"/>
          </w:rPr>
          <w:t>energyandresources.vic.gov.au/esi</w:t>
        </w:r>
      </w:hyperlink>
    </w:p>
    <w:p w:rsidR="000C36E5" w:rsidRDefault="00096148" w:rsidP="000C36E5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T</w:t>
      </w:r>
      <w:r w:rsidRPr="00096148">
        <w:rPr>
          <w:rFonts w:cs="Tahoma"/>
          <w:sz w:val="20"/>
          <w:szCs w:val="20"/>
        </w:rPr>
        <w:t>he Department of Economic Development, Jobs, Resources and Transport (the Department)</w:t>
      </w:r>
      <w:r>
        <w:rPr>
          <w:rFonts w:cs="Tahoma"/>
          <w:sz w:val="20"/>
          <w:szCs w:val="20"/>
        </w:rPr>
        <w:t xml:space="preserve"> </w:t>
      </w:r>
      <w:r w:rsidR="000C36E5" w:rsidRPr="00BC6704">
        <w:rPr>
          <w:rFonts w:cs="Tahoma"/>
          <w:sz w:val="20"/>
          <w:szCs w:val="20"/>
        </w:rPr>
        <w:t xml:space="preserve">are currently seeking your feedback on </w:t>
      </w:r>
      <w:r w:rsidR="000C36E5">
        <w:rPr>
          <w:rFonts w:cs="Tahoma"/>
          <w:sz w:val="20"/>
          <w:szCs w:val="20"/>
        </w:rPr>
        <w:t xml:space="preserve">the proposed regulatory changes. Details of how to make a submission are provided in the ‘How to provide feedback’ section of this document. </w:t>
      </w:r>
    </w:p>
    <w:p w:rsidR="00842F04" w:rsidRDefault="00842F04" w:rsidP="000C36E5">
      <w:pPr>
        <w:rPr>
          <w:rFonts w:cs="Tahoma"/>
          <w:sz w:val="20"/>
          <w:szCs w:val="20"/>
        </w:rPr>
      </w:pPr>
    </w:p>
    <w:p w:rsidR="000C36E5" w:rsidRPr="002D5C97" w:rsidRDefault="000C36E5" w:rsidP="0047626F">
      <w:pPr>
        <w:pStyle w:val="heading"/>
        <w:tabs>
          <w:tab w:val="center" w:pos="5102"/>
        </w:tabs>
      </w:pPr>
      <w:r w:rsidRPr="002D5C97">
        <w:t>Background</w:t>
      </w:r>
      <w:r w:rsidR="0047626F">
        <w:tab/>
      </w:r>
    </w:p>
    <w:p w:rsidR="00096148" w:rsidRDefault="002A04A1" w:rsidP="0010668F">
      <w:pPr>
        <w:pStyle w:val="authorisedby"/>
      </w:pPr>
      <w:r>
        <w:t xml:space="preserve">Ceiling insulation represents a low cost opportunity to improve energy efficiency and thermal comfort in Victorian homes.  Stakeholders have </w:t>
      </w:r>
      <w:r w:rsidR="00096148">
        <w:t xml:space="preserve">previously </w:t>
      </w:r>
      <w:r>
        <w:t>expressed strong support for the reintroduction of incentives for ceiling insulation</w:t>
      </w:r>
      <w:r w:rsidR="00096148">
        <w:t>.</w:t>
      </w:r>
    </w:p>
    <w:p w:rsidR="0010668F" w:rsidRDefault="0010668F" w:rsidP="0010668F">
      <w:pPr>
        <w:pStyle w:val="authorisedby"/>
      </w:pPr>
      <w:r>
        <w:t>In December 2015 the Department consulted on recommencing incentives for ceiling insulation</w:t>
      </w:r>
      <w:r w:rsidR="0047626F">
        <w:t xml:space="preserve"> in the VEET scheme</w:t>
      </w:r>
      <w:r>
        <w:t>.  The proposed approach, reintroducing ceiling insulation once updated guidelines were published, received strong support from stakeholders.  The</w:t>
      </w:r>
      <w:r w:rsidR="00842F04">
        <w:t xml:space="preserve"> scheme administrator, the</w:t>
      </w:r>
      <w:r>
        <w:t xml:space="preserve"> Essential Services Commission (ESC)</w:t>
      </w:r>
      <w:r w:rsidR="00842F04">
        <w:t>,</w:t>
      </w:r>
      <w:r>
        <w:t xml:space="preserve"> is </w:t>
      </w:r>
      <w:r w:rsidR="002A04A1">
        <w:t xml:space="preserve">currently </w:t>
      </w:r>
      <w:r>
        <w:t xml:space="preserve">preparing these guidelines.   </w:t>
      </w:r>
    </w:p>
    <w:p w:rsidR="00C36934" w:rsidRDefault="0047626F" w:rsidP="00C36934">
      <w:pPr>
        <w:pStyle w:val="authorisedby"/>
      </w:pPr>
      <w:r>
        <w:t>In addition to updating the guidelines there is also a need to revise the</w:t>
      </w:r>
      <w:r w:rsidR="00842F04">
        <w:t xml:space="preserve"> VEET Regulations</w:t>
      </w:r>
      <w:r>
        <w:t xml:space="preserve">. </w:t>
      </w:r>
      <w:r w:rsidR="00842F04">
        <w:t xml:space="preserve"> </w:t>
      </w:r>
      <w:r>
        <w:t>It is proposed to amend the VEET Regulations to restrict</w:t>
      </w:r>
      <w:r w:rsidR="00842F04">
        <w:t xml:space="preserve"> the type of insulation product</w:t>
      </w:r>
      <w:r w:rsidR="00096148">
        <w:t>s</w:t>
      </w:r>
      <w:r w:rsidR="00842F04">
        <w:t xml:space="preserve"> supported in the VEET scheme and </w:t>
      </w:r>
      <w:r>
        <w:t xml:space="preserve">make </w:t>
      </w:r>
      <w:r w:rsidR="00842F04">
        <w:t xml:space="preserve">minor changes to </w:t>
      </w:r>
      <w:r w:rsidR="002D5C97">
        <w:t xml:space="preserve">referenced </w:t>
      </w:r>
      <w:r w:rsidR="00842F04">
        <w:t xml:space="preserve">standards. </w:t>
      </w:r>
      <w:r w:rsidR="00C36934">
        <w:t xml:space="preserve">The Department intends that the proposed regulation changes in this document will come into effect before the ESC publishes their guidelines. </w:t>
      </w:r>
    </w:p>
    <w:p w:rsidR="00842F04" w:rsidRDefault="00842F04" w:rsidP="00C36934">
      <w:pPr>
        <w:pStyle w:val="authorisedby"/>
      </w:pPr>
    </w:p>
    <w:p w:rsidR="006203F9" w:rsidRDefault="00385ADC">
      <w:pPr>
        <w:pStyle w:val="heading"/>
      </w:pPr>
      <w:r>
        <w:t xml:space="preserve">Updated references to </w:t>
      </w:r>
      <w:r w:rsidR="0047626F">
        <w:t xml:space="preserve">insulation </w:t>
      </w:r>
      <w:r w:rsidR="003C5500">
        <w:t xml:space="preserve">installation </w:t>
      </w:r>
      <w:r>
        <w:t>standard</w:t>
      </w:r>
    </w:p>
    <w:p w:rsidR="003C5500" w:rsidRDefault="003C5500" w:rsidP="00C36934">
      <w:pPr>
        <w:pStyle w:val="bodycopy"/>
      </w:pPr>
      <w:r>
        <w:t xml:space="preserve">The VEET Regulations are being amended to reference the most recent version of the ceiling insulation installation standard. </w:t>
      </w:r>
    </w:p>
    <w:p w:rsidR="00842F04" w:rsidRDefault="00C36934" w:rsidP="00C36934">
      <w:pPr>
        <w:pStyle w:val="bodycopy"/>
        <w:rPr>
          <w:i/>
        </w:rPr>
      </w:pPr>
      <w:r>
        <w:t xml:space="preserve">The VEET Regulations currently </w:t>
      </w:r>
      <w:r w:rsidR="001B3D8F">
        <w:t>require ceiling installation products</w:t>
      </w:r>
      <w:r w:rsidR="002D5C97">
        <w:t xml:space="preserve"> to be installed</w:t>
      </w:r>
      <w:r w:rsidR="001B3D8F">
        <w:t xml:space="preserve"> in accordance with AS 3999: 1992.  </w:t>
      </w:r>
      <w:r w:rsidR="003C5500">
        <w:t>This standard has been updated s</w:t>
      </w:r>
      <w:r w:rsidR="00385ADC">
        <w:t>ince ceiling insulation was last eligible to receive incentives und</w:t>
      </w:r>
      <w:r w:rsidR="00BC6704">
        <w:t>er the VEET scheme</w:t>
      </w:r>
      <w:r w:rsidR="003C5500">
        <w:t xml:space="preserve">. It is proposed the VEET Regulations now reference the latest version of the standard: </w:t>
      </w:r>
      <w:r>
        <w:rPr>
          <w:i/>
        </w:rPr>
        <w:t xml:space="preserve">AS 3999: 2015 </w:t>
      </w:r>
      <w:r w:rsidRPr="002D5C97">
        <w:rPr>
          <w:i/>
        </w:rPr>
        <w:t xml:space="preserve">Bulk thermal insulation </w:t>
      </w:r>
      <w:r w:rsidR="003C5500">
        <w:rPr>
          <w:i/>
        </w:rPr>
        <w:t>–</w:t>
      </w:r>
      <w:r w:rsidRPr="002D5C97">
        <w:rPr>
          <w:i/>
        </w:rPr>
        <w:t xml:space="preserve"> Installation</w:t>
      </w:r>
      <w:r w:rsidR="003C5500">
        <w:rPr>
          <w:i/>
        </w:rPr>
        <w:t>.</w:t>
      </w:r>
    </w:p>
    <w:p w:rsidR="006203F9" w:rsidRDefault="006203F9" w:rsidP="00C36934">
      <w:pPr>
        <w:pStyle w:val="bodycopy"/>
      </w:pPr>
    </w:p>
    <w:p w:rsidR="00385ADC" w:rsidRDefault="003277C0" w:rsidP="00385ADC">
      <w:pPr>
        <w:pStyle w:val="heading"/>
      </w:pPr>
      <w:r>
        <w:lastRenderedPageBreak/>
        <w:t>Restricting eligibility to non-conductive insulation</w:t>
      </w:r>
    </w:p>
    <w:p w:rsidR="003C5500" w:rsidRDefault="003C5500" w:rsidP="003C5500">
      <w:pPr>
        <w:pStyle w:val="authorisedby"/>
      </w:pPr>
      <w:r>
        <w:t xml:space="preserve">The </w:t>
      </w:r>
      <w:r w:rsidR="00842F04">
        <w:t xml:space="preserve">Department commissioned advice from </w:t>
      </w:r>
      <w:r>
        <w:t xml:space="preserve">KPMG </w:t>
      </w:r>
      <w:r w:rsidR="00842F04">
        <w:t xml:space="preserve">on the correct and safe management of ceiling insulation in the VEET scheme.  The </w:t>
      </w:r>
      <w:r>
        <w:t xml:space="preserve">review identified that </w:t>
      </w:r>
      <w:r w:rsidR="00D409F1">
        <w:t>conductive</w:t>
      </w:r>
      <w:r>
        <w:t xml:space="preserve"> insulation products are, in general, less suitable for installation in the Victorian climate</w:t>
      </w:r>
      <w:r>
        <w:rPr>
          <w:rStyle w:val="FootnoteReference"/>
        </w:rPr>
        <w:footnoteReference w:id="1"/>
      </w:r>
      <w:r>
        <w:t xml:space="preserve">.  </w:t>
      </w:r>
      <w:r w:rsidR="0047626F">
        <w:t>The review notes</w:t>
      </w:r>
      <w:r>
        <w:t xml:space="preserve"> that </w:t>
      </w:r>
      <w:r w:rsidR="003A0CC3">
        <w:t xml:space="preserve">currently </w:t>
      </w:r>
      <w:r>
        <w:t xml:space="preserve">no </w:t>
      </w:r>
      <w:r w:rsidR="00D409F1">
        <w:t>conductive</w:t>
      </w:r>
      <w:r>
        <w:t xml:space="preserve"> </w:t>
      </w:r>
      <w:r w:rsidR="002C3D3C">
        <w:t xml:space="preserve">ceiling </w:t>
      </w:r>
      <w:r>
        <w:t xml:space="preserve">insulation products have been approved for use in the </w:t>
      </w:r>
      <w:r w:rsidR="00D409F1">
        <w:t xml:space="preserve">VEET </w:t>
      </w:r>
      <w:r>
        <w:t xml:space="preserve">scheme and that </w:t>
      </w:r>
      <w:r w:rsidR="00D409F1">
        <w:t>conductive</w:t>
      </w:r>
      <w:r>
        <w:t xml:space="preserve"> </w:t>
      </w:r>
      <w:r w:rsidR="00D409F1">
        <w:t xml:space="preserve">insulation </w:t>
      </w:r>
      <w:r>
        <w:t xml:space="preserve">products may not be suitable to meet the product requirements for ceiling insulation under the VEET scheme (ceiling insulation must achieve an R-value of 3.5). </w:t>
      </w:r>
    </w:p>
    <w:p w:rsidR="00D409F1" w:rsidRDefault="002D5C97" w:rsidP="00D409F1">
      <w:pPr>
        <w:pStyle w:val="authorisedby"/>
      </w:pPr>
      <w:r>
        <w:t>Roof</w:t>
      </w:r>
      <w:r w:rsidR="00D409F1">
        <w:t xml:space="preserve"> cavit</w:t>
      </w:r>
      <w:r>
        <w:t>ies</w:t>
      </w:r>
      <w:r w:rsidR="00D409F1">
        <w:t xml:space="preserve"> of houses </w:t>
      </w:r>
      <w:r>
        <w:t>contain</w:t>
      </w:r>
      <w:r w:rsidR="00912E8A">
        <w:t xml:space="preserve"> </w:t>
      </w:r>
      <w:r w:rsidR="00D409F1">
        <w:t xml:space="preserve">electrical </w:t>
      </w:r>
      <w:r w:rsidR="00912E8A">
        <w:t xml:space="preserve">wiring.  Co-locating conductive </w:t>
      </w:r>
      <w:r w:rsidR="00D409F1">
        <w:t>insulation</w:t>
      </w:r>
      <w:r w:rsidR="00912E8A">
        <w:t xml:space="preserve"> products in the vicinity of </w:t>
      </w:r>
      <w:r w:rsidR="00D409F1">
        <w:t xml:space="preserve">electrical </w:t>
      </w:r>
      <w:r w:rsidR="00912E8A">
        <w:t>wiring must be undertaken with significant care.  On balance</w:t>
      </w:r>
      <w:r w:rsidR="009B5D6C">
        <w:t>,</w:t>
      </w:r>
      <w:r w:rsidR="00912E8A">
        <w:t xml:space="preserve"> it is proposed to exclude conductive insulation as there are limited range of products relevant to the Victorian climate and </w:t>
      </w:r>
      <w:r w:rsidR="009B5D6C">
        <w:t xml:space="preserve">a </w:t>
      </w:r>
      <w:r w:rsidR="00912E8A">
        <w:t xml:space="preserve">generally increased level of installation risk. </w:t>
      </w:r>
      <w:r w:rsidR="00D409F1">
        <w:t>Excluding conductive insulation is consistent with the approach of other jurisdictions, including the South Australian Retailer Energy Efficiency Scheme.</w:t>
      </w:r>
    </w:p>
    <w:p w:rsidR="00BC6704" w:rsidRPr="00894B33" w:rsidRDefault="00BC6704" w:rsidP="00BC6704">
      <w:pPr>
        <w:pStyle w:val="heading"/>
      </w:pPr>
      <w:bookmarkStart w:id="1" w:name="_Toc430964739"/>
      <w:bookmarkStart w:id="2" w:name="_Toc433201232"/>
      <w:r>
        <w:t>How to provide feedback</w:t>
      </w:r>
      <w:bookmarkEnd w:id="1"/>
      <w:bookmarkEnd w:id="2"/>
    </w:p>
    <w:p w:rsidR="00BC6704" w:rsidRPr="00BC6704" w:rsidRDefault="00BC6704" w:rsidP="00BC6704">
      <w:pPr>
        <w:rPr>
          <w:rFonts w:cs="Tahoma"/>
          <w:sz w:val="20"/>
          <w:szCs w:val="20"/>
        </w:rPr>
      </w:pPr>
      <w:r w:rsidRPr="00BC6704">
        <w:rPr>
          <w:rFonts w:cs="Tahoma"/>
          <w:sz w:val="20"/>
          <w:szCs w:val="20"/>
        </w:rPr>
        <w:t xml:space="preserve">Submissions may be emailed to </w:t>
      </w:r>
      <w:hyperlink r:id="rId10" w:history="1">
        <w:r w:rsidRPr="00BC6704">
          <w:rPr>
            <w:rStyle w:val="Hyperlink"/>
            <w:rFonts w:cs="Tahoma"/>
            <w:sz w:val="20"/>
            <w:szCs w:val="20"/>
          </w:rPr>
          <w:t>energysaver.incentive@ecodev.vic.gov.au</w:t>
        </w:r>
      </w:hyperlink>
      <w:r w:rsidRPr="00BC6704">
        <w:rPr>
          <w:rFonts w:cs="Tahoma"/>
          <w:sz w:val="20"/>
          <w:szCs w:val="20"/>
        </w:rPr>
        <w:t xml:space="preserve">. </w:t>
      </w:r>
    </w:p>
    <w:p w:rsidR="00BC6704" w:rsidRPr="00BC6704" w:rsidRDefault="00BC6704" w:rsidP="00BC6704">
      <w:pPr>
        <w:pStyle w:val="NoSpacing"/>
        <w:rPr>
          <w:rFonts w:ascii="Tahoma" w:hAnsi="Tahoma" w:cs="Tahoma"/>
          <w:sz w:val="20"/>
          <w:szCs w:val="20"/>
        </w:rPr>
      </w:pPr>
      <w:r w:rsidRPr="00BC6704">
        <w:rPr>
          <w:rFonts w:ascii="Tahoma" w:hAnsi="Tahoma" w:cs="Tahoma"/>
          <w:sz w:val="20"/>
          <w:szCs w:val="20"/>
        </w:rPr>
        <w:t xml:space="preserve">Please use the subject: </w:t>
      </w:r>
      <w:r w:rsidR="003A0CC3">
        <w:rPr>
          <w:rFonts w:ascii="Tahoma" w:hAnsi="Tahoma" w:cs="Tahoma"/>
          <w:b/>
          <w:sz w:val="20"/>
          <w:szCs w:val="20"/>
        </w:rPr>
        <w:t xml:space="preserve">Ceiling insulation </w:t>
      </w:r>
      <w:r w:rsidR="002D5C97">
        <w:rPr>
          <w:rFonts w:ascii="Tahoma" w:hAnsi="Tahoma" w:cs="Tahoma"/>
          <w:b/>
          <w:sz w:val="20"/>
          <w:szCs w:val="20"/>
        </w:rPr>
        <w:t xml:space="preserve">regulation amendments </w:t>
      </w:r>
      <w:r w:rsidR="0047626F">
        <w:rPr>
          <w:rFonts w:ascii="Tahoma" w:hAnsi="Tahoma" w:cs="Tahoma"/>
          <w:b/>
          <w:sz w:val="20"/>
          <w:szCs w:val="20"/>
        </w:rPr>
        <w:t xml:space="preserve">consultation </w:t>
      </w:r>
      <w:r w:rsidR="002D5C97">
        <w:rPr>
          <w:rFonts w:ascii="Tahoma" w:hAnsi="Tahoma" w:cs="Tahoma"/>
          <w:b/>
          <w:sz w:val="20"/>
          <w:szCs w:val="20"/>
        </w:rPr>
        <w:t>2016</w:t>
      </w:r>
    </w:p>
    <w:p w:rsidR="00BC6704" w:rsidRPr="00BC6704" w:rsidRDefault="00BC6704" w:rsidP="00BC6704">
      <w:pPr>
        <w:rPr>
          <w:rFonts w:cs="Tahoma"/>
          <w:sz w:val="20"/>
          <w:szCs w:val="20"/>
        </w:rPr>
      </w:pPr>
    </w:p>
    <w:p w:rsidR="00BC6704" w:rsidRPr="00BC6704" w:rsidRDefault="00BC6704" w:rsidP="00BC6704">
      <w:pPr>
        <w:rPr>
          <w:rFonts w:cs="Tahoma"/>
          <w:sz w:val="20"/>
          <w:szCs w:val="20"/>
        </w:rPr>
      </w:pPr>
      <w:r w:rsidRPr="00BC6704">
        <w:rPr>
          <w:rFonts w:cs="Tahoma"/>
          <w:sz w:val="20"/>
          <w:szCs w:val="20"/>
        </w:rPr>
        <w:t>Alternatively they may be provided in writing:</w:t>
      </w:r>
    </w:p>
    <w:p w:rsidR="00BC6704" w:rsidRPr="00BC6704" w:rsidRDefault="00BC6704" w:rsidP="00BC6704">
      <w:pPr>
        <w:rPr>
          <w:rFonts w:cs="Tahoma"/>
          <w:sz w:val="20"/>
          <w:szCs w:val="20"/>
        </w:rPr>
      </w:pPr>
    </w:p>
    <w:p w:rsidR="00BC6704" w:rsidRPr="00BC6704" w:rsidRDefault="0047626F" w:rsidP="00BC6704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Ceiling i</w:t>
      </w:r>
      <w:r w:rsidR="00BC6704">
        <w:rPr>
          <w:rFonts w:ascii="Tahoma" w:hAnsi="Tahoma" w:cs="Tahoma"/>
          <w:sz w:val="20"/>
          <w:szCs w:val="20"/>
        </w:rPr>
        <w:t>nsulation</w:t>
      </w:r>
      <w:r w:rsidR="00BC6704" w:rsidRPr="00BC670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regulation amendments consultation 2016</w:t>
      </w:r>
    </w:p>
    <w:p w:rsidR="00BC6704" w:rsidRPr="00BC6704" w:rsidRDefault="00BC6704" w:rsidP="00BC6704">
      <w:pPr>
        <w:pStyle w:val="NoSpacing"/>
        <w:rPr>
          <w:rFonts w:ascii="Tahoma" w:hAnsi="Tahoma" w:cs="Tahoma"/>
          <w:sz w:val="20"/>
          <w:szCs w:val="20"/>
        </w:rPr>
      </w:pPr>
      <w:r w:rsidRPr="00BC6704">
        <w:rPr>
          <w:rFonts w:ascii="Tahoma" w:hAnsi="Tahoma" w:cs="Tahoma"/>
          <w:sz w:val="20"/>
          <w:szCs w:val="20"/>
        </w:rPr>
        <w:t>Energy Policy and Programs</w:t>
      </w:r>
    </w:p>
    <w:p w:rsidR="00BC6704" w:rsidRPr="00BC6704" w:rsidRDefault="00BC6704" w:rsidP="00BC6704">
      <w:pPr>
        <w:pStyle w:val="NoSpacing"/>
        <w:rPr>
          <w:rFonts w:ascii="Tahoma" w:hAnsi="Tahoma" w:cs="Tahoma"/>
          <w:sz w:val="20"/>
          <w:szCs w:val="20"/>
        </w:rPr>
      </w:pPr>
      <w:r w:rsidRPr="00BC6704">
        <w:rPr>
          <w:rFonts w:ascii="Tahoma" w:hAnsi="Tahoma" w:cs="Tahoma"/>
          <w:sz w:val="20"/>
          <w:szCs w:val="20"/>
        </w:rPr>
        <w:t>Department of Economic Development, Jobs, Transport and Resources</w:t>
      </w:r>
    </w:p>
    <w:p w:rsidR="00BC6704" w:rsidRPr="00BC6704" w:rsidRDefault="00BC6704" w:rsidP="00BC6704">
      <w:pPr>
        <w:pStyle w:val="NoSpacing"/>
        <w:rPr>
          <w:rFonts w:ascii="Tahoma" w:hAnsi="Tahoma" w:cs="Tahoma"/>
          <w:sz w:val="20"/>
          <w:szCs w:val="20"/>
        </w:rPr>
      </w:pPr>
      <w:r w:rsidRPr="00BC6704">
        <w:rPr>
          <w:rFonts w:ascii="Tahoma" w:hAnsi="Tahoma" w:cs="Tahoma"/>
          <w:sz w:val="20"/>
          <w:szCs w:val="20"/>
        </w:rPr>
        <w:t>GPO Box 4509</w:t>
      </w:r>
    </w:p>
    <w:p w:rsidR="00BC6704" w:rsidRPr="00BC6704" w:rsidRDefault="00BC6704" w:rsidP="00BC6704">
      <w:pPr>
        <w:rPr>
          <w:rFonts w:cs="Tahoma"/>
          <w:sz w:val="20"/>
          <w:szCs w:val="20"/>
        </w:rPr>
      </w:pPr>
      <w:r w:rsidRPr="00BC6704">
        <w:rPr>
          <w:rFonts w:cs="Tahoma"/>
          <w:sz w:val="20"/>
          <w:szCs w:val="20"/>
        </w:rPr>
        <w:t xml:space="preserve">Melbourne VIC 3001 </w:t>
      </w:r>
    </w:p>
    <w:p w:rsidR="00BC6704" w:rsidRPr="00BC6704" w:rsidRDefault="00BC6704" w:rsidP="00BC6704">
      <w:pPr>
        <w:rPr>
          <w:rFonts w:cs="Tahoma"/>
          <w:b/>
          <w:sz w:val="20"/>
          <w:szCs w:val="20"/>
        </w:rPr>
      </w:pPr>
    </w:p>
    <w:p w:rsidR="00BC6704" w:rsidRPr="00BC6704" w:rsidRDefault="00BC6704" w:rsidP="00BC6704">
      <w:pPr>
        <w:rPr>
          <w:rFonts w:cs="Tahoma"/>
          <w:b/>
          <w:sz w:val="20"/>
          <w:szCs w:val="20"/>
        </w:rPr>
      </w:pPr>
      <w:r w:rsidRPr="00BC6704">
        <w:rPr>
          <w:rFonts w:cs="Tahoma"/>
          <w:b/>
          <w:sz w:val="20"/>
          <w:szCs w:val="20"/>
        </w:rPr>
        <w:t>Please see website for submission closing date:</w:t>
      </w:r>
    </w:p>
    <w:p w:rsidR="00BC6704" w:rsidRPr="00BC6704" w:rsidRDefault="00371740" w:rsidP="00BC6704">
      <w:pPr>
        <w:rPr>
          <w:rStyle w:val="Hyperlink"/>
          <w:rFonts w:cs="Tahoma"/>
          <w:sz w:val="20"/>
          <w:szCs w:val="20"/>
        </w:rPr>
      </w:pPr>
      <w:hyperlink r:id="rId11" w:history="1">
        <w:r w:rsidR="00BC6704" w:rsidRPr="00BC6704">
          <w:rPr>
            <w:rStyle w:val="Hyperlink"/>
            <w:rFonts w:cs="Tahoma"/>
            <w:sz w:val="20"/>
            <w:szCs w:val="20"/>
          </w:rPr>
          <w:t>energyandresources.vic.gov.au/esi</w:t>
        </w:r>
      </w:hyperlink>
    </w:p>
    <w:p w:rsidR="004A5567" w:rsidRDefault="004A5567" w:rsidP="00E14144">
      <w:pPr>
        <w:pStyle w:val="authorisedby"/>
      </w:pPr>
    </w:p>
    <w:p w:rsidR="00E14144" w:rsidRDefault="00E14144" w:rsidP="00E14144">
      <w:pPr>
        <w:pStyle w:val="authorisedby"/>
      </w:pPr>
      <w:r>
        <w:br/>
        <w:t>Department of Economic Development, Jobs, Transport and Resources</w:t>
      </w:r>
      <w:r>
        <w:br/>
        <w:t>1 Spring Street Melbourne Victoria 3000</w:t>
      </w:r>
      <w:r>
        <w:br/>
        <w:t>Telephone (03) 9208 3333</w:t>
      </w:r>
    </w:p>
    <w:p w:rsidR="00CE6EBC" w:rsidRDefault="00CE6EBC" w:rsidP="00E14144">
      <w:pPr>
        <w:pStyle w:val="authorisedby"/>
      </w:pPr>
      <w:r>
        <w:t>December 2015</w:t>
      </w:r>
    </w:p>
    <w:p w:rsidR="00E14144" w:rsidRDefault="00E14144" w:rsidP="00E14144">
      <w:pPr>
        <w:pStyle w:val="authorisedby"/>
      </w:pPr>
      <w:r>
        <w:t xml:space="preserve">© Copyright State of Victoria, </w:t>
      </w:r>
      <w:r>
        <w:br/>
        <w:t>Department of E</w:t>
      </w:r>
      <w:r w:rsidR="0044632F">
        <w:t xml:space="preserve">conomic Development, Jobs, </w:t>
      </w:r>
      <w:r>
        <w:t>Transport and Resources 2015</w:t>
      </w:r>
    </w:p>
    <w:p w:rsidR="00E14144" w:rsidRDefault="00E14144" w:rsidP="00E14144">
      <w:pPr>
        <w:pStyle w:val="authorisedby"/>
      </w:pPr>
      <w:r>
        <w:t>Except for any logos, emblems, trademarks, artwork and photography this document is made available under the terms of the Creative Commons Attribution 3.0 Australia license.</w:t>
      </w:r>
    </w:p>
    <w:p w:rsidR="008D1917" w:rsidRDefault="00E14144" w:rsidP="002D5C97">
      <w:pPr>
        <w:pStyle w:val="authorisedby"/>
        <w:sectPr w:rsidR="008D1917" w:rsidSect="00527C9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-3402" w:right="851" w:bottom="1701" w:left="851" w:header="993" w:footer="567" w:gutter="0"/>
          <w:cols w:space="708"/>
          <w:titlePg/>
          <w:docGrid w:linePitch="360"/>
        </w:sectPr>
      </w:pPr>
      <w:r>
        <w:t xml:space="preserve">This document is also available in an accessible format at </w:t>
      </w:r>
      <w:r w:rsidR="0044632F">
        <w:t>economicdevelopment.vic.gov.au</w:t>
      </w:r>
      <w:r w:rsidR="0047626F">
        <w:t xml:space="preserve">  </w:t>
      </w:r>
    </w:p>
    <w:p w:rsidR="008D1917" w:rsidRPr="0063058A" w:rsidRDefault="008D1917" w:rsidP="008D1917">
      <w:pPr>
        <w:spacing w:after="120"/>
        <w:jc w:val="center"/>
        <w:rPr>
          <w:rFonts w:ascii="Times New Roman" w:hAnsi="Times New Roman"/>
          <w:b/>
          <w:sz w:val="32"/>
        </w:rPr>
      </w:pPr>
      <w:r w:rsidRPr="008D69DC">
        <w:rPr>
          <w:rFonts w:ascii="Times New Roman" w:hAnsi="Times New Roman"/>
          <w:b/>
          <w:sz w:val="32"/>
        </w:rPr>
        <w:lastRenderedPageBreak/>
        <w:t>Victorian Energy Efficiency Target Amendme</w:t>
      </w:r>
      <w:r>
        <w:rPr>
          <w:rFonts w:ascii="Times New Roman" w:hAnsi="Times New Roman"/>
          <w:b/>
          <w:sz w:val="32"/>
        </w:rPr>
        <w:t>nt (Ceiling Insulation) Regulations 2016</w:t>
      </w:r>
    </w:p>
    <w:p w:rsidR="008D1917" w:rsidRPr="0063058A" w:rsidRDefault="008D1917" w:rsidP="008D1917">
      <w:pPr>
        <w:pStyle w:val="DraftHeading1"/>
        <w:tabs>
          <w:tab w:val="right" w:pos="680"/>
        </w:tabs>
      </w:pPr>
    </w:p>
    <w:p w:rsidR="008D1917" w:rsidRPr="0063058A" w:rsidRDefault="008D1917" w:rsidP="008D1917">
      <w:pPr>
        <w:pStyle w:val="DraftHeading1"/>
        <w:tabs>
          <w:tab w:val="right" w:pos="680"/>
        </w:tabs>
        <w:ind w:left="850" w:hanging="850"/>
      </w:pPr>
      <w:r w:rsidRPr="0063058A">
        <w:tab/>
        <w:t>1</w:t>
      </w:r>
      <w:r w:rsidRPr="0063058A">
        <w:tab/>
        <w:t xml:space="preserve">Objective </w:t>
      </w:r>
    </w:p>
    <w:p w:rsidR="008D1917" w:rsidRPr="0063058A" w:rsidRDefault="008D1917" w:rsidP="008D1917">
      <w:pPr>
        <w:pStyle w:val="BodySectionSub"/>
      </w:pPr>
      <w:r w:rsidRPr="0063058A">
        <w:t xml:space="preserve">The objective of these Regulations is to amend the Victorian Energy Efficiency Target Regulations 2008 to— </w:t>
      </w:r>
    </w:p>
    <w:p w:rsidR="008D1917" w:rsidRPr="0063058A" w:rsidRDefault="008D1917" w:rsidP="008D1917">
      <w:pPr>
        <w:pStyle w:val="DraftHeading3"/>
        <w:tabs>
          <w:tab w:val="right" w:pos="1757"/>
        </w:tabs>
        <w:ind w:left="1871" w:hanging="1871"/>
      </w:pPr>
      <w:r w:rsidRPr="0063058A">
        <w:tab/>
      </w:r>
      <w:r>
        <w:t>(a</w:t>
      </w:r>
      <w:r w:rsidRPr="0063058A">
        <w:t>)</w:t>
      </w:r>
      <w:r w:rsidRPr="0063058A">
        <w:tab/>
        <w:t>make changes to certain prescribed activities; and</w:t>
      </w:r>
    </w:p>
    <w:p w:rsidR="008D1917" w:rsidRPr="0063058A" w:rsidRDefault="008D1917" w:rsidP="008D1917">
      <w:pPr>
        <w:pStyle w:val="DraftHeading3"/>
        <w:tabs>
          <w:tab w:val="right" w:pos="1757"/>
        </w:tabs>
        <w:ind w:left="1871" w:hanging="1871"/>
      </w:pPr>
      <w:r w:rsidRPr="0063058A">
        <w:tab/>
      </w:r>
      <w:r>
        <w:t>(b</w:t>
      </w:r>
      <w:r w:rsidRPr="0063058A">
        <w:t>)</w:t>
      </w:r>
      <w:r w:rsidRPr="0063058A">
        <w:tab/>
        <w:t>incorporate more recent versions of certain documents that are relevant to certain prescribed activities; and</w:t>
      </w:r>
    </w:p>
    <w:p w:rsidR="008D1917" w:rsidRPr="0063058A" w:rsidRDefault="008D1917" w:rsidP="00933C10">
      <w:pPr>
        <w:pStyle w:val="DraftHeading3"/>
        <w:tabs>
          <w:tab w:val="right" w:pos="175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75"/>
        </w:tabs>
        <w:ind w:left="1871" w:hanging="1871"/>
      </w:pPr>
      <w:r w:rsidRPr="0063058A">
        <w:tab/>
        <w:t>(</w:t>
      </w:r>
      <w:r>
        <w:t>c</w:t>
      </w:r>
      <w:r w:rsidRPr="0063058A">
        <w:t>)</w:t>
      </w:r>
      <w:r w:rsidRPr="0063058A">
        <w:tab/>
        <w:t xml:space="preserve">make other minor and technical amendments. </w:t>
      </w:r>
      <w:r w:rsidR="00933C10">
        <w:tab/>
      </w:r>
    </w:p>
    <w:p w:rsidR="008D1917" w:rsidRPr="0063058A" w:rsidRDefault="008D1917" w:rsidP="008D1917">
      <w:pPr>
        <w:spacing w:after="120"/>
        <w:rPr>
          <w:rFonts w:ascii="Times New Roman" w:hAnsi="Times New Roman"/>
        </w:rPr>
      </w:pPr>
    </w:p>
    <w:p w:rsidR="008D1917" w:rsidRPr="0063058A" w:rsidRDefault="008D1917" w:rsidP="008D1917">
      <w:pPr>
        <w:pStyle w:val="DraftHeading1"/>
        <w:tabs>
          <w:tab w:val="right" w:pos="680"/>
        </w:tabs>
        <w:ind w:left="850" w:hanging="850"/>
      </w:pPr>
      <w:r w:rsidRPr="0063058A">
        <w:tab/>
        <w:t>2</w:t>
      </w:r>
      <w:r w:rsidRPr="0063058A">
        <w:tab/>
        <w:t>Authorising provision</w:t>
      </w:r>
    </w:p>
    <w:p w:rsidR="008D1917" w:rsidRPr="0063058A" w:rsidRDefault="008D1917" w:rsidP="008D1917">
      <w:pPr>
        <w:pStyle w:val="BodySectionSub"/>
      </w:pPr>
      <w:r w:rsidRPr="0063058A">
        <w:rPr>
          <w:szCs w:val="24"/>
        </w:rPr>
        <w:t xml:space="preserve">These Regulations </w:t>
      </w:r>
      <w:r w:rsidRPr="0063058A">
        <w:t>are</w:t>
      </w:r>
      <w:r w:rsidRPr="0063058A">
        <w:rPr>
          <w:szCs w:val="24"/>
        </w:rPr>
        <w:t xml:space="preserve"> made under section 75 of the </w:t>
      </w:r>
      <w:r w:rsidRPr="0063058A">
        <w:rPr>
          <w:b/>
          <w:szCs w:val="24"/>
        </w:rPr>
        <w:t>Victorian Energy Efficiency Target Act 2007</w:t>
      </w:r>
      <w:r w:rsidRPr="0063058A">
        <w:rPr>
          <w:szCs w:val="24"/>
        </w:rPr>
        <w:t>.</w:t>
      </w:r>
    </w:p>
    <w:p w:rsidR="008D1917" w:rsidRPr="0063058A" w:rsidRDefault="008D1917" w:rsidP="008D1917">
      <w:pPr>
        <w:pStyle w:val="DraftHeading1"/>
        <w:tabs>
          <w:tab w:val="right" w:pos="680"/>
        </w:tabs>
        <w:ind w:left="850" w:hanging="850"/>
      </w:pPr>
      <w:r w:rsidRPr="0063058A">
        <w:tab/>
        <w:t>3</w:t>
      </w:r>
      <w:r w:rsidRPr="0063058A">
        <w:tab/>
        <w:t>Commencement</w:t>
      </w:r>
    </w:p>
    <w:p w:rsidR="008D1917" w:rsidRPr="00F416D2" w:rsidRDefault="008D1917" w:rsidP="008D1917">
      <w:pPr>
        <w:pStyle w:val="DraftHeading2"/>
        <w:tabs>
          <w:tab w:val="right" w:pos="1247"/>
        </w:tabs>
        <w:ind w:left="1361" w:hanging="1361"/>
      </w:pPr>
      <w:r>
        <w:tab/>
      </w:r>
      <w:r>
        <w:tab/>
      </w:r>
      <w:r w:rsidRPr="0063058A">
        <w:rPr>
          <w:szCs w:val="24"/>
        </w:rPr>
        <w:t xml:space="preserve">These Regulations come into operation on </w:t>
      </w:r>
      <w:r>
        <w:rPr>
          <w:szCs w:val="24"/>
        </w:rPr>
        <w:t>1 March</w:t>
      </w:r>
      <w:r w:rsidRPr="0063058A">
        <w:rPr>
          <w:szCs w:val="24"/>
        </w:rPr>
        <w:t xml:space="preserve"> 2016.</w:t>
      </w:r>
    </w:p>
    <w:p w:rsidR="008D1917" w:rsidRPr="0063058A" w:rsidRDefault="008D1917" w:rsidP="008D1917">
      <w:pPr>
        <w:pStyle w:val="DraftHeading1"/>
        <w:tabs>
          <w:tab w:val="right" w:pos="680"/>
        </w:tabs>
        <w:ind w:left="850" w:hanging="850"/>
      </w:pPr>
      <w:r w:rsidRPr="0063058A">
        <w:tab/>
        <w:t>4</w:t>
      </w:r>
      <w:r w:rsidRPr="0063058A">
        <w:tab/>
        <w:t>Principal Regulations</w:t>
      </w:r>
    </w:p>
    <w:p w:rsidR="008D1917" w:rsidRDefault="008D1917" w:rsidP="008D1917">
      <w:pPr>
        <w:pStyle w:val="BodySectionSub"/>
        <w:rPr>
          <w:szCs w:val="24"/>
        </w:rPr>
      </w:pPr>
      <w:r w:rsidRPr="0063058A">
        <w:rPr>
          <w:szCs w:val="24"/>
        </w:rPr>
        <w:t>In these Regulations, the Victorian Energy Efficiency Target Regulations 2008</w:t>
      </w:r>
      <w:r>
        <w:rPr>
          <w:szCs w:val="24"/>
        </w:rPr>
        <w:t xml:space="preserve"> </w:t>
      </w:r>
      <w:r w:rsidRPr="0063058A">
        <w:rPr>
          <w:szCs w:val="24"/>
        </w:rPr>
        <w:t>are called the Principal Regulations.</w:t>
      </w:r>
    </w:p>
    <w:p w:rsidR="008D1917" w:rsidRPr="00F416D2" w:rsidRDefault="008D1917" w:rsidP="008D1917">
      <w:pPr>
        <w:pStyle w:val="BodySectionSub"/>
        <w:ind w:left="851" w:hanging="284"/>
        <w:rPr>
          <w:b/>
          <w:szCs w:val="24"/>
        </w:rPr>
      </w:pPr>
      <w:r w:rsidRPr="00F416D2">
        <w:rPr>
          <w:b/>
          <w:szCs w:val="24"/>
        </w:rPr>
        <w:t>5</w:t>
      </w:r>
      <w:r w:rsidRPr="00F416D2">
        <w:rPr>
          <w:b/>
          <w:szCs w:val="24"/>
        </w:rPr>
        <w:tab/>
      </w:r>
      <w:r w:rsidRPr="00F416D2">
        <w:rPr>
          <w:b/>
        </w:rPr>
        <w:t>Prescribed activities</w:t>
      </w:r>
    </w:p>
    <w:p w:rsidR="008D1917" w:rsidRPr="00F416D2" w:rsidRDefault="008D1917" w:rsidP="008D1917">
      <w:pPr>
        <w:ind w:left="720" w:firstLine="720"/>
      </w:pPr>
      <w:r>
        <w:rPr>
          <w:rFonts w:ascii="Times New Roman" w:hAnsi="Times New Roman"/>
        </w:rPr>
        <w:t xml:space="preserve">For regulation 6(2)(a) of the Principal Regulations, </w:t>
      </w:r>
      <w:r w:rsidRPr="00C017BD">
        <w:rPr>
          <w:rFonts w:ascii="Times New Roman" w:hAnsi="Times New Roman"/>
          <w:b/>
        </w:rPr>
        <w:t>substitute</w:t>
      </w:r>
      <w:r w:rsidRPr="00C017BD">
        <w:rPr>
          <w:rFonts w:ascii="Times New Roman" w:hAnsi="Times New Roman"/>
        </w:rPr>
        <w:t xml:space="preserve"> </w:t>
      </w:r>
    </w:p>
    <w:p w:rsidR="008D1917" w:rsidRDefault="008D1917" w:rsidP="008D1917">
      <w:pPr>
        <w:spacing w:after="120"/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“(a)</w:t>
      </w:r>
      <w:r>
        <w:rPr>
          <w:rFonts w:ascii="Times New Roman" w:hAnsi="Times New Roman"/>
        </w:rPr>
        <w:tab/>
      </w:r>
      <w:r w:rsidRPr="00451B9B">
        <w:rPr>
          <w:rFonts w:ascii="Times New Roman" w:hAnsi="Times New Roman"/>
        </w:rPr>
        <w:t>installing a product</w:t>
      </w:r>
      <w:r>
        <w:rPr>
          <w:rFonts w:ascii="Times New Roman" w:hAnsi="Times New Roman"/>
        </w:rPr>
        <w:t>, or two or more products,</w:t>
      </w:r>
      <w:r w:rsidRPr="00451B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combination of products that complies with the </w:t>
      </w:r>
      <w:r w:rsidRPr="00451B9B">
        <w:rPr>
          <w:rFonts w:ascii="Times New Roman" w:hAnsi="Times New Roman"/>
        </w:rPr>
        <w:t>criteria specified in Part A of Schedule 11</w:t>
      </w:r>
      <w:r>
        <w:rPr>
          <w:rFonts w:ascii="Times New Roman" w:hAnsi="Times New Roman"/>
        </w:rPr>
        <w:t>—</w:t>
      </w:r>
    </w:p>
    <w:p w:rsidR="008D1917" w:rsidRDefault="008D1917" w:rsidP="008D1917">
      <w:pPr>
        <w:spacing w:after="120"/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(i)</w:t>
      </w:r>
      <w:r>
        <w:rPr>
          <w:rFonts w:ascii="Times New Roman" w:hAnsi="Times New Roman"/>
        </w:rPr>
        <w:tab/>
      </w:r>
      <w:r w:rsidRPr="00451B9B">
        <w:rPr>
          <w:rFonts w:ascii="Times New Roman" w:hAnsi="Times New Roman"/>
        </w:rPr>
        <w:t>in accordance with</w:t>
      </w:r>
      <w:r>
        <w:rPr>
          <w:rFonts w:ascii="Times New Roman" w:hAnsi="Times New Roman"/>
        </w:rPr>
        <w:t xml:space="preserve"> </w:t>
      </w:r>
      <w:r w:rsidRPr="00C017BD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C017BD">
        <w:rPr>
          <w:rFonts w:ascii="Times New Roman" w:hAnsi="Times New Roman"/>
        </w:rPr>
        <w:t>3999—2015 published on 23 July 2015</w:t>
      </w:r>
      <w:r>
        <w:rPr>
          <w:rFonts w:ascii="Times New Roman" w:hAnsi="Times New Roman"/>
        </w:rPr>
        <w:t>; and</w:t>
      </w:r>
    </w:p>
    <w:p w:rsidR="008D1917" w:rsidRDefault="008D1917" w:rsidP="008D1917">
      <w:pPr>
        <w:spacing w:after="120"/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(ii)</w:t>
      </w:r>
      <w:r>
        <w:rPr>
          <w:rFonts w:ascii="Times New Roman" w:hAnsi="Times New Roman"/>
        </w:rPr>
        <w:tab/>
        <w:t xml:space="preserve"> in a ceiling area not </w:t>
      </w:r>
      <w:r w:rsidRPr="00451B9B">
        <w:rPr>
          <w:rFonts w:ascii="Times New Roman" w:hAnsi="Times New Roman"/>
        </w:rPr>
        <w:t xml:space="preserve">previously </w:t>
      </w:r>
      <w:r>
        <w:rPr>
          <w:rFonts w:ascii="Times New Roman" w:hAnsi="Times New Roman"/>
        </w:rPr>
        <w:t>insulated for a minimum area of 20m</w:t>
      </w:r>
      <w:r w:rsidRPr="00B648D4">
        <w:rPr>
          <w:rFonts w:ascii="Times New Roman" w:hAnsi="Times New Roman"/>
          <w:vertAlign w:val="superscript"/>
        </w:rPr>
        <w:t>2</w:t>
      </w:r>
      <w:r w:rsidRPr="00451B9B">
        <w:rPr>
          <w:rFonts w:ascii="Times New Roman" w:hAnsi="Times New Roman"/>
        </w:rPr>
        <w:t>, being a</w:t>
      </w:r>
      <w:r>
        <w:rPr>
          <w:rFonts w:ascii="Times New Roman" w:hAnsi="Times New Roman"/>
        </w:rPr>
        <w:t xml:space="preserve"> product (or products) that complies with the </w:t>
      </w:r>
      <w:r w:rsidRPr="00451B9B">
        <w:rPr>
          <w:rFonts w:ascii="Times New Roman" w:hAnsi="Times New Roman"/>
        </w:rPr>
        <w:t>criteria specified in Part A of Schedule 11;</w:t>
      </w:r>
      <w:r>
        <w:rPr>
          <w:rFonts w:ascii="Times New Roman" w:hAnsi="Times New Roman"/>
        </w:rPr>
        <w:t>”</w:t>
      </w:r>
    </w:p>
    <w:p w:rsidR="008D1917" w:rsidRPr="00F416D2" w:rsidRDefault="008D1917" w:rsidP="008D1917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16D2">
        <w:rPr>
          <w:rFonts w:ascii="Times New Roman" w:hAnsi="Times New Roman" w:cs="Times New Roman"/>
          <w:b/>
          <w:color w:val="000000"/>
          <w:sz w:val="24"/>
          <w:szCs w:val="24"/>
        </w:rPr>
        <w:t>Schedule 11 amended</w:t>
      </w:r>
    </w:p>
    <w:p w:rsidR="008D1917" w:rsidRPr="00F416D2" w:rsidRDefault="008D1917" w:rsidP="008D1917">
      <w:pPr>
        <w:spacing w:after="120"/>
        <w:ind w:left="1440" w:hanging="720"/>
        <w:contextualSpacing/>
        <w:rPr>
          <w:rFonts w:ascii="Times New Roman" w:hAnsi="Times New Roman"/>
        </w:rPr>
      </w:pPr>
      <w:r w:rsidRPr="00F416D2">
        <w:rPr>
          <w:rFonts w:ascii="Times New Roman" w:hAnsi="Times New Roman"/>
          <w:color w:val="000000"/>
        </w:rPr>
        <w:t xml:space="preserve">(1) </w:t>
      </w:r>
      <w:r w:rsidRPr="00F416D2">
        <w:rPr>
          <w:rFonts w:ascii="Times New Roman" w:hAnsi="Times New Roman"/>
          <w:color w:val="000000"/>
        </w:rPr>
        <w:tab/>
        <w:t>In Schedule 11 to the Principal Regulations, after the heading, for "</w:t>
      </w:r>
      <w:r w:rsidRPr="00F416D2">
        <w:rPr>
          <w:rFonts w:ascii="Times New Roman" w:hAnsi="Times New Roman"/>
          <w:i/>
          <w:color w:val="000000"/>
        </w:rPr>
        <w:t>AS 3999—1992 published on 16 April 1992 incorporating Amendment No. 1 published on 9 March 2012</w:t>
      </w:r>
      <w:r w:rsidRPr="00F416D2">
        <w:rPr>
          <w:rFonts w:ascii="Times New Roman" w:hAnsi="Times New Roman"/>
          <w:color w:val="000000"/>
        </w:rPr>
        <w:t xml:space="preserve">" </w:t>
      </w:r>
      <w:r w:rsidRPr="00F416D2">
        <w:rPr>
          <w:rFonts w:ascii="Times New Roman" w:hAnsi="Times New Roman"/>
          <w:b/>
          <w:color w:val="000000"/>
        </w:rPr>
        <w:t>substitute</w:t>
      </w:r>
      <w:r w:rsidRPr="00F416D2">
        <w:rPr>
          <w:rFonts w:ascii="Times New Roman" w:hAnsi="Times New Roman"/>
          <w:color w:val="000000"/>
        </w:rPr>
        <w:t xml:space="preserve"> "</w:t>
      </w:r>
      <w:r w:rsidRPr="00F416D2">
        <w:rPr>
          <w:rFonts w:ascii="Times New Roman" w:hAnsi="Times New Roman"/>
          <w:i/>
          <w:color w:val="000000"/>
        </w:rPr>
        <w:t>AS3999—2015</w:t>
      </w:r>
      <w:r w:rsidRPr="00F416D2">
        <w:rPr>
          <w:rFonts w:ascii="Times New Roman" w:hAnsi="Times New Roman"/>
          <w:color w:val="000000"/>
        </w:rPr>
        <w:t>".</w:t>
      </w:r>
    </w:p>
    <w:p w:rsidR="008D1917" w:rsidRPr="00F416D2" w:rsidRDefault="008D1917" w:rsidP="008D1917">
      <w:pPr>
        <w:spacing w:after="120"/>
        <w:ind w:left="1440" w:hanging="720"/>
        <w:contextualSpacing/>
        <w:rPr>
          <w:rFonts w:ascii="Times New Roman" w:hAnsi="Times New Roman"/>
          <w:color w:val="000000"/>
        </w:rPr>
      </w:pPr>
    </w:p>
    <w:p w:rsidR="008D1917" w:rsidRPr="00F416D2" w:rsidRDefault="008D1917" w:rsidP="008D1917">
      <w:pPr>
        <w:spacing w:after="120"/>
        <w:ind w:left="1440" w:hanging="720"/>
        <w:contextualSpacing/>
        <w:rPr>
          <w:rFonts w:ascii="Times New Roman" w:hAnsi="Times New Roman"/>
          <w:color w:val="000000"/>
        </w:rPr>
      </w:pPr>
      <w:r w:rsidRPr="00F416D2">
        <w:rPr>
          <w:rFonts w:ascii="Times New Roman" w:hAnsi="Times New Roman"/>
          <w:color w:val="000000"/>
        </w:rPr>
        <w:t>(2)</w:t>
      </w:r>
      <w:r w:rsidRPr="00F416D2">
        <w:rPr>
          <w:rFonts w:ascii="Times New Roman" w:hAnsi="Times New Roman"/>
          <w:color w:val="000000"/>
        </w:rPr>
        <w:tab/>
        <w:t xml:space="preserve">In Schedule 11 to the Principal Regulations, in Part A, for item 11A </w:t>
      </w:r>
      <w:r w:rsidRPr="00F416D2">
        <w:rPr>
          <w:rFonts w:ascii="Times New Roman" w:hAnsi="Times New Roman"/>
          <w:b/>
          <w:color w:val="000000"/>
        </w:rPr>
        <w:t>substitute</w:t>
      </w:r>
      <w:r w:rsidRPr="00F416D2">
        <w:rPr>
          <w:rFonts w:ascii="Times New Roman" w:hAnsi="Times New Roman"/>
          <w:color w:val="000000"/>
        </w:rPr>
        <w:t>:</w:t>
      </w:r>
    </w:p>
    <w:p w:rsidR="008D1917" w:rsidRPr="00F416D2" w:rsidRDefault="008D1917" w:rsidP="008D1917">
      <w:pPr>
        <w:spacing w:after="120"/>
        <w:ind w:left="2160" w:hanging="720"/>
        <w:contextualSpacing/>
        <w:rPr>
          <w:rFonts w:ascii="Times New Roman" w:hAnsi="Times New Roman"/>
        </w:rPr>
      </w:pPr>
      <w:r w:rsidRPr="00F416D2">
        <w:rPr>
          <w:rFonts w:ascii="Times New Roman" w:hAnsi="Times New Roman"/>
        </w:rPr>
        <w:t xml:space="preserve">"11A </w:t>
      </w:r>
      <w:r w:rsidRPr="00F416D2">
        <w:rPr>
          <w:rFonts w:ascii="Times New Roman" w:hAnsi="Times New Roman"/>
        </w:rPr>
        <w:tab/>
        <w:t>A product</w:t>
      </w:r>
      <w:r>
        <w:rPr>
          <w:rFonts w:ascii="Times New Roman" w:hAnsi="Times New Roman"/>
        </w:rPr>
        <w:t>, or</w:t>
      </w:r>
      <w:r w:rsidRPr="00F416D2">
        <w:rPr>
          <w:rFonts w:ascii="Times New Roman" w:hAnsi="Times New Roman"/>
        </w:rPr>
        <w:t xml:space="preserve"> combination of products</w:t>
      </w:r>
      <w:r>
        <w:rPr>
          <w:rFonts w:ascii="Times New Roman" w:hAnsi="Times New Roman"/>
        </w:rPr>
        <w:t>,</w:t>
      </w:r>
      <w:r w:rsidRPr="00F416D2">
        <w:t>—</w:t>
      </w:r>
      <w:r w:rsidRPr="00F416D2">
        <w:rPr>
          <w:rFonts w:ascii="Times New Roman" w:hAnsi="Times New Roman"/>
        </w:rPr>
        <w:t xml:space="preserve"> </w:t>
      </w:r>
    </w:p>
    <w:p w:rsidR="008D1917" w:rsidRPr="00F416D2" w:rsidRDefault="008D1917" w:rsidP="008D1917">
      <w:pPr>
        <w:tabs>
          <w:tab w:val="right" w:pos="1757"/>
        </w:tabs>
        <w:overflowPunct w:val="0"/>
        <w:autoSpaceDE w:val="0"/>
        <w:autoSpaceDN w:val="0"/>
        <w:adjustRightInd w:val="0"/>
        <w:spacing w:before="120"/>
        <w:ind w:left="2591" w:hanging="1871"/>
        <w:textAlignment w:val="baseline"/>
        <w:rPr>
          <w:rFonts w:ascii="Times New Roman" w:hAnsi="Times New Roman"/>
          <w:szCs w:val="20"/>
        </w:rPr>
      </w:pPr>
      <w:r w:rsidRPr="00F416D2">
        <w:rPr>
          <w:rFonts w:ascii="Times New Roman" w:hAnsi="Times New Roman"/>
          <w:szCs w:val="20"/>
        </w:rPr>
        <w:tab/>
        <w:t>(a)</w:t>
      </w:r>
      <w:r w:rsidRPr="00F416D2">
        <w:rPr>
          <w:rFonts w:ascii="Times New Roman" w:hAnsi="Times New Roman"/>
          <w:szCs w:val="20"/>
        </w:rPr>
        <w:tab/>
        <w:t>that achieves a minimum winter R value of 3.5 when measured in accordance with AS/NZS 4859.1:2002 incorporating Amendment No. 1 published on 28 December 2006; and</w:t>
      </w:r>
    </w:p>
    <w:p w:rsidR="008D1917" w:rsidRPr="00F416D2" w:rsidRDefault="008D1917" w:rsidP="008D1917">
      <w:pPr>
        <w:tabs>
          <w:tab w:val="right" w:pos="1757"/>
        </w:tabs>
        <w:overflowPunct w:val="0"/>
        <w:autoSpaceDE w:val="0"/>
        <w:autoSpaceDN w:val="0"/>
        <w:adjustRightInd w:val="0"/>
        <w:spacing w:before="120"/>
        <w:ind w:left="2591" w:hanging="1871"/>
        <w:textAlignment w:val="baseline"/>
        <w:rPr>
          <w:rFonts w:ascii="Times New Roman" w:hAnsi="Times New Roman"/>
          <w:szCs w:val="20"/>
        </w:rPr>
      </w:pPr>
      <w:r w:rsidRPr="00F416D2">
        <w:rPr>
          <w:rFonts w:ascii="Times New Roman" w:hAnsi="Times New Roman"/>
          <w:szCs w:val="20"/>
        </w:rPr>
        <w:tab/>
        <w:t>(b)</w:t>
      </w:r>
      <w:r w:rsidRPr="00F416D2">
        <w:rPr>
          <w:rFonts w:ascii="Times New Roman" w:hAnsi="Times New Roman"/>
          <w:szCs w:val="20"/>
        </w:rPr>
        <w:tab/>
        <w:t>each of which—</w:t>
      </w:r>
    </w:p>
    <w:p w:rsidR="008D1917" w:rsidRPr="00F416D2" w:rsidRDefault="008D1917" w:rsidP="008D1917">
      <w:pPr>
        <w:tabs>
          <w:tab w:val="right" w:pos="2268"/>
        </w:tabs>
        <w:overflowPunct w:val="0"/>
        <w:autoSpaceDE w:val="0"/>
        <w:autoSpaceDN w:val="0"/>
        <w:adjustRightInd w:val="0"/>
        <w:spacing w:before="120"/>
        <w:ind w:left="3101" w:hanging="2381"/>
        <w:textAlignment w:val="baseline"/>
        <w:rPr>
          <w:rFonts w:ascii="Times New Roman" w:hAnsi="Times New Roman"/>
          <w:szCs w:val="20"/>
        </w:rPr>
      </w:pPr>
      <w:r w:rsidRPr="00F416D2">
        <w:rPr>
          <w:rFonts w:ascii="Times New Roman" w:hAnsi="Times New Roman"/>
          <w:szCs w:val="20"/>
        </w:rPr>
        <w:tab/>
        <w:t>(i)</w:t>
      </w:r>
      <w:r w:rsidRPr="00F416D2">
        <w:rPr>
          <w:rFonts w:ascii="Times New Roman" w:hAnsi="Times New Roman"/>
          <w:szCs w:val="20"/>
        </w:rPr>
        <w:tab/>
        <w:t>is not conductive; and</w:t>
      </w:r>
    </w:p>
    <w:p w:rsidR="008D5143" w:rsidRPr="00AA6B6A" w:rsidRDefault="008D1917" w:rsidP="00AA6B6A">
      <w:pPr>
        <w:tabs>
          <w:tab w:val="right" w:pos="2268"/>
        </w:tabs>
        <w:overflowPunct w:val="0"/>
        <w:autoSpaceDE w:val="0"/>
        <w:autoSpaceDN w:val="0"/>
        <w:adjustRightInd w:val="0"/>
        <w:spacing w:before="120"/>
        <w:ind w:left="3101" w:hanging="2381"/>
        <w:textAlignment w:val="baseline"/>
        <w:rPr>
          <w:rFonts w:ascii="Times New Roman" w:hAnsi="Times New Roman"/>
          <w:szCs w:val="20"/>
        </w:rPr>
      </w:pPr>
      <w:r w:rsidRPr="00F416D2">
        <w:rPr>
          <w:rFonts w:ascii="Times New Roman" w:hAnsi="Times New Roman"/>
          <w:szCs w:val="20"/>
        </w:rPr>
        <w:tab/>
        <w:t>(ii)</w:t>
      </w:r>
      <w:r w:rsidRPr="00F416D2">
        <w:rPr>
          <w:rFonts w:ascii="Times New Roman" w:hAnsi="Times New Roman"/>
          <w:szCs w:val="20"/>
        </w:rPr>
        <w:tab/>
        <w:t>complies with the performance requirements of AS/NZS 4859.1:2002 incorporating Amendment No. 1 published on 28 December 2006.".</w:t>
      </w:r>
    </w:p>
    <w:sectPr w:rsidR="008D5143" w:rsidRPr="00AA6B6A" w:rsidSect="008D1917">
      <w:headerReference w:type="default" r:id="rId16"/>
      <w:footerReference w:type="default" r:id="rId17"/>
      <w:pgSz w:w="11906" w:h="16838"/>
      <w:pgMar w:top="851" w:right="851" w:bottom="1701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99" w:rsidRDefault="00527C99" w:rsidP="00D21116">
      <w:r>
        <w:separator/>
      </w:r>
    </w:p>
  </w:endnote>
  <w:endnote w:type="continuationSeparator" w:id="0">
    <w:p w:rsidR="00527C99" w:rsidRDefault="00527C99" w:rsidP="00D2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95832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20961779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66923832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527C99" w:rsidRDefault="00527C99" w:rsidP="003B4A4A">
                    <w:pPr>
                      <w:pStyle w:val="Footer"/>
                      <w:tabs>
                        <w:tab w:val="clear" w:pos="9026"/>
                        <w:tab w:val="right" w:pos="10348"/>
                      </w:tabs>
                    </w:pPr>
                    <w:r>
                      <w:ptab w:relativeTo="margin" w:alignment="left" w:leader="none"/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71740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71740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ab/>
                    </w:r>
                    <w:r>
                      <w:rPr>
                        <w:b/>
                        <w:bCs/>
                      </w:rPr>
                      <w:tab/>
                    </w:r>
                    <w:r w:rsidR="00933C10">
                      <w:rPr>
                        <w:noProof/>
                      </w:rPr>
                      <w:drawing>
                        <wp:inline distT="0" distB="0" distL="0" distR="0" wp14:anchorId="6765C937" wp14:editId="46E5395E">
                          <wp:extent cx="771525" cy="438205"/>
                          <wp:effectExtent l="0" t="0" r="0" b="0"/>
                          <wp:docPr id="2" name="Picture 2" descr="C:\Users\JacobsE\AppData\Local\Microsoft\Windows\Temporary Internet Files\Content.Word\Brand VicStateGov logo Black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JacobsE\AppData\Local\Microsoft\Windows\Temporary Internet Files\Content.Word\Brand VicStateGov logo Black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8210" cy="4420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99" w:rsidRDefault="00527C99" w:rsidP="00EA3BB4">
    <w:pPr>
      <w:pStyle w:val="Footer"/>
      <w:jc w:val="right"/>
    </w:pPr>
    <w:r>
      <w:ptab w:relativeTo="margin" w:alignment="left" w:leader="none"/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7174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371740">
      <w:rPr>
        <w:b/>
        <w:bCs/>
        <w:noProof/>
      </w:rPr>
      <w:t>3</w:t>
    </w:r>
    <w:r>
      <w:rPr>
        <w:b/>
        <w:bCs/>
      </w:rPr>
      <w:fldChar w:fldCharType="end"/>
    </w:r>
    <w:r w:rsidRPr="00527C99">
      <w:rPr>
        <w:noProof/>
      </w:rPr>
      <w:ptab w:relativeTo="margin" w:alignment="center" w:leader="none"/>
    </w:r>
    <w:r w:rsidRPr="00527C99">
      <w:rPr>
        <w:noProof/>
      </w:rPr>
      <w:ptab w:relativeTo="margin" w:alignment="right" w:leader="none"/>
    </w:r>
    <w:r w:rsidR="004343AC">
      <w:rPr>
        <w:noProof/>
      </w:rPr>
      <w:drawing>
        <wp:inline distT="0" distB="0" distL="0" distR="0" wp14:anchorId="538F5ED1" wp14:editId="3E35653F">
          <wp:extent cx="771525" cy="438205"/>
          <wp:effectExtent l="0" t="0" r="0" b="0"/>
          <wp:docPr id="1" name="Picture 1" descr="C:\Users\JacobsE\AppData\Local\Microsoft\Windows\Temporary Internet Files\Content.Word\Brand VicStateGov logo 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cobsE\AppData\Local\Microsoft\Windows\Temporary Internet Files\Content.Word\Brand VicStateGov logo 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0" cy="442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7347"/>
      <w:docPartObj>
        <w:docPartGallery w:val="Page Numbers (Bottom of Page)"/>
        <w:docPartUnique/>
      </w:docPartObj>
    </w:sdtPr>
    <w:sdtEndPr/>
    <w:sdtContent>
      <w:sdt>
        <w:sdtPr>
          <w:id w:val="-71635049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77725745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92017470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8D1917" w:rsidRDefault="004343AC" w:rsidP="003B4A4A">
                    <w:pPr>
                      <w:pStyle w:val="Footer"/>
                      <w:tabs>
                        <w:tab w:val="clear" w:pos="9026"/>
                        <w:tab w:val="right" w:pos="10348"/>
                      </w:tabs>
                    </w:pPr>
                    <w:r>
                      <w:ptab w:relativeTo="margin" w:alignment="left" w:leader="none"/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71740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71740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 w:rsidRPr="00527C99">
                      <w:rPr>
                        <w:noProof/>
                      </w:rPr>
                      <w:ptab w:relativeTo="margin" w:alignment="center" w:leader="none"/>
                    </w:r>
                    <w:r w:rsidRPr="00527C99">
                      <w:rPr>
                        <w:noProof/>
                      </w:rPr>
                      <w:ptab w:relativeTo="margin" w:alignment="right" w:leader="none"/>
                    </w:r>
                    <w:r w:rsidR="008D1917">
                      <w:ptab w:relativeTo="margin" w:alignment="left" w:leader="none"/>
                    </w:r>
                    <w:r w:rsidR="008D1917">
                      <w:rPr>
                        <w:b/>
                        <w:bCs/>
                      </w:rPr>
                      <w:tab/>
                    </w:r>
                    <w:r w:rsidR="008D1917">
                      <w:rPr>
                        <w:b/>
                        <w:bCs/>
                      </w:rPr>
                      <w:tab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99" w:rsidRDefault="00527C99" w:rsidP="00D21116">
      <w:r>
        <w:separator/>
      </w:r>
    </w:p>
  </w:footnote>
  <w:footnote w:type="continuationSeparator" w:id="0">
    <w:p w:rsidR="00527C99" w:rsidRDefault="00527C99" w:rsidP="00D21116">
      <w:r>
        <w:continuationSeparator/>
      </w:r>
    </w:p>
  </w:footnote>
  <w:footnote w:id="1">
    <w:p w:rsidR="003C5500" w:rsidRPr="00FA6A84" w:rsidRDefault="003C5500" w:rsidP="003C5500">
      <w:pPr>
        <w:pStyle w:val="FootnoteText"/>
      </w:pPr>
      <w:r>
        <w:rPr>
          <w:rStyle w:val="FootnoteReference"/>
        </w:rPr>
        <w:footnoteRef/>
      </w:r>
      <w:r>
        <w:t xml:space="preserve"> KPMG (2015) </w:t>
      </w:r>
      <w:r>
        <w:rPr>
          <w:i/>
        </w:rPr>
        <w:t>Review of Ceiling Insulation and the Victorian Energy Efficiency Target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99" w:rsidRDefault="00527C99" w:rsidP="006329EB">
    <w:pPr>
      <w:pStyle w:val="factsheettitle"/>
    </w:pPr>
    <w:r>
      <w:rPr>
        <w:noProof/>
      </w:rPr>
      <w:drawing>
        <wp:anchor distT="0" distB="0" distL="114300" distR="114300" simplePos="0" relativeHeight="251664384" behindDoc="1" locked="1" layoutInCell="1" allowOverlap="1" wp14:anchorId="6AA6AB2C" wp14:editId="1701964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2068554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DJTR A4 port word template dark header deep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6855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C99" w:rsidRPr="00D21116" w:rsidRDefault="00527C99" w:rsidP="008F511C">
    <w:pPr>
      <w:pStyle w:val="factsheettit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97" w:rsidRPr="0047626F" w:rsidRDefault="003A0CC3" w:rsidP="0047626F">
    <w:pPr>
      <w:pStyle w:val="factsheettitle"/>
      <w:jc w:val="center"/>
      <w:rPr>
        <w:sz w:val="38"/>
        <w:szCs w:val="38"/>
      </w:rPr>
    </w:pPr>
    <w:r w:rsidRPr="0047626F">
      <w:rPr>
        <w:sz w:val="38"/>
        <w:szCs w:val="38"/>
      </w:rPr>
      <w:t xml:space="preserve">Ceiling </w:t>
    </w:r>
    <w:r w:rsidR="002D5C97" w:rsidRPr="0047626F">
      <w:rPr>
        <w:sz w:val="38"/>
        <w:szCs w:val="38"/>
      </w:rPr>
      <w:t>I</w:t>
    </w:r>
    <w:r w:rsidRPr="0047626F">
      <w:rPr>
        <w:sz w:val="38"/>
        <w:szCs w:val="38"/>
      </w:rPr>
      <w:t xml:space="preserve">nsulation </w:t>
    </w:r>
    <w:r w:rsidR="002D5C97" w:rsidRPr="0047626F">
      <w:rPr>
        <w:sz w:val="38"/>
        <w:szCs w:val="38"/>
      </w:rPr>
      <w:t>Regulation Amendment Consultation 2016</w:t>
    </w:r>
  </w:p>
  <w:p w:rsidR="00527C99" w:rsidRPr="0047626F" w:rsidRDefault="00527C99" w:rsidP="0047626F">
    <w:pPr>
      <w:pStyle w:val="factsheettitle"/>
      <w:jc w:val="center"/>
      <w:rPr>
        <w:sz w:val="36"/>
        <w:szCs w:val="36"/>
      </w:rPr>
    </w:pPr>
    <w:r w:rsidRPr="0047626F">
      <w:rPr>
        <w:noProof/>
        <w:sz w:val="36"/>
        <w:szCs w:val="36"/>
      </w:rPr>
      <w:drawing>
        <wp:anchor distT="0" distB="0" distL="114300" distR="114300" simplePos="0" relativeHeight="251662336" behindDoc="1" locked="1" layoutInCell="1" allowOverlap="1" wp14:anchorId="4061232A" wp14:editId="698EE25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2068554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DJTR A4 port word template dark header deep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6855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C97" w:rsidRPr="0047626F" w:rsidRDefault="002D5C97" w:rsidP="0047626F">
    <w:pPr>
      <w:pStyle w:val="factsheettitle"/>
      <w:jc w:val="center"/>
      <w:rPr>
        <w:sz w:val="28"/>
        <w:szCs w:val="28"/>
      </w:rPr>
    </w:pPr>
    <w:r w:rsidRPr="0047626F">
      <w:rPr>
        <w:sz w:val="28"/>
        <w:szCs w:val="28"/>
      </w:rPr>
      <w:t>Proposed changes to eligible products and standards under the Victorian Energy Efficiency Target</w:t>
    </w:r>
    <w:r w:rsidR="0047626F">
      <w:rPr>
        <w:sz w:val="28"/>
        <w:szCs w:val="28"/>
      </w:rPr>
      <w:t xml:space="preserve"> Scheme</w:t>
    </w:r>
    <w:r w:rsidRPr="0047626F">
      <w:rPr>
        <w:sz w:val="28"/>
        <w:szCs w:val="28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917" w:rsidRDefault="008D1917" w:rsidP="006329EB">
    <w:pPr>
      <w:pStyle w:val="factsheettit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E83"/>
    <w:multiLevelType w:val="hybridMultilevel"/>
    <w:tmpl w:val="CF2443AC"/>
    <w:lvl w:ilvl="0" w:tplc="880E0E60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E5E8F68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574F7E"/>
    <w:multiLevelType w:val="hybridMultilevel"/>
    <w:tmpl w:val="CFF43D90"/>
    <w:lvl w:ilvl="0" w:tplc="831401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D6AE6"/>
    <w:multiLevelType w:val="hybridMultilevel"/>
    <w:tmpl w:val="6FD6C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93C55"/>
    <w:multiLevelType w:val="hybridMultilevel"/>
    <w:tmpl w:val="8A2A0E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D606E1"/>
    <w:multiLevelType w:val="multilevel"/>
    <w:tmpl w:val="6E3419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7A722B64"/>
    <w:multiLevelType w:val="hybridMultilevel"/>
    <w:tmpl w:val="C4AA3AC0"/>
    <w:lvl w:ilvl="0" w:tplc="836C6188">
      <w:start w:val="1"/>
      <w:numFmt w:val="bullet"/>
      <w:pStyle w:val="dotpoints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B0"/>
    <w:rsid w:val="00096148"/>
    <w:rsid w:val="000C36E5"/>
    <w:rsid w:val="000E79A5"/>
    <w:rsid w:val="0010668F"/>
    <w:rsid w:val="00130EC4"/>
    <w:rsid w:val="001576FE"/>
    <w:rsid w:val="001975CF"/>
    <w:rsid w:val="001B3D8F"/>
    <w:rsid w:val="001D2C31"/>
    <w:rsid w:val="001E1C45"/>
    <w:rsid w:val="0021793D"/>
    <w:rsid w:val="0026215C"/>
    <w:rsid w:val="002722B5"/>
    <w:rsid w:val="002A04A1"/>
    <w:rsid w:val="002C3D3C"/>
    <w:rsid w:val="002D5C97"/>
    <w:rsid w:val="00306D36"/>
    <w:rsid w:val="0031573F"/>
    <w:rsid w:val="003277C0"/>
    <w:rsid w:val="00371740"/>
    <w:rsid w:val="00385ADC"/>
    <w:rsid w:val="003A0CC3"/>
    <w:rsid w:val="003B4A4A"/>
    <w:rsid w:val="003C5500"/>
    <w:rsid w:val="003F2BBD"/>
    <w:rsid w:val="00422EBF"/>
    <w:rsid w:val="004343AC"/>
    <w:rsid w:val="0044632F"/>
    <w:rsid w:val="004606AA"/>
    <w:rsid w:val="00474375"/>
    <w:rsid w:val="0047626F"/>
    <w:rsid w:val="00482876"/>
    <w:rsid w:val="004A5567"/>
    <w:rsid w:val="00527C99"/>
    <w:rsid w:val="0056473D"/>
    <w:rsid w:val="005A0B2F"/>
    <w:rsid w:val="006203F9"/>
    <w:rsid w:val="00623ACB"/>
    <w:rsid w:val="006329EB"/>
    <w:rsid w:val="0063704E"/>
    <w:rsid w:val="00647F38"/>
    <w:rsid w:val="00674B7E"/>
    <w:rsid w:val="007047F2"/>
    <w:rsid w:val="007A212C"/>
    <w:rsid w:val="007C0978"/>
    <w:rsid w:val="007D0DAC"/>
    <w:rsid w:val="00813F06"/>
    <w:rsid w:val="00842F04"/>
    <w:rsid w:val="00851558"/>
    <w:rsid w:val="008561C2"/>
    <w:rsid w:val="008A2176"/>
    <w:rsid w:val="008A755A"/>
    <w:rsid w:val="008B7273"/>
    <w:rsid w:val="008D1917"/>
    <w:rsid w:val="008D5143"/>
    <w:rsid w:val="008F511C"/>
    <w:rsid w:val="00904AF3"/>
    <w:rsid w:val="00912E8A"/>
    <w:rsid w:val="00933C10"/>
    <w:rsid w:val="00933F83"/>
    <w:rsid w:val="0098297D"/>
    <w:rsid w:val="009B5D6C"/>
    <w:rsid w:val="009D30FC"/>
    <w:rsid w:val="009E3451"/>
    <w:rsid w:val="00AA6B6A"/>
    <w:rsid w:val="00AB5C9A"/>
    <w:rsid w:val="00AC55D5"/>
    <w:rsid w:val="00B228AC"/>
    <w:rsid w:val="00B359A9"/>
    <w:rsid w:val="00B5034B"/>
    <w:rsid w:val="00B91EB0"/>
    <w:rsid w:val="00BA5FDB"/>
    <w:rsid w:val="00BB25DB"/>
    <w:rsid w:val="00BB52BA"/>
    <w:rsid w:val="00BC4791"/>
    <w:rsid w:val="00BC6704"/>
    <w:rsid w:val="00BF5047"/>
    <w:rsid w:val="00C10C67"/>
    <w:rsid w:val="00C36934"/>
    <w:rsid w:val="00C462B0"/>
    <w:rsid w:val="00CB0C11"/>
    <w:rsid w:val="00CD4E9D"/>
    <w:rsid w:val="00CE100B"/>
    <w:rsid w:val="00CE6EBC"/>
    <w:rsid w:val="00D17F58"/>
    <w:rsid w:val="00D21116"/>
    <w:rsid w:val="00D409F1"/>
    <w:rsid w:val="00D502A3"/>
    <w:rsid w:val="00D62255"/>
    <w:rsid w:val="00DA5B3D"/>
    <w:rsid w:val="00DF7C80"/>
    <w:rsid w:val="00E14144"/>
    <w:rsid w:val="00EA3BB4"/>
    <w:rsid w:val="00EA3EFE"/>
    <w:rsid w:val="00F479C4"/>
    <w:rsid w:val="00F47BB8"/>
    <w:rsid w:val="00F865DB"/>
    <w:rsid w:val="00F92416"/>
    <w:rsid w:val="00F94028"/>
    <w:rsid w:val="00FA6A84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06"/>
    <w:rPr>
      <w:rFonts w:ascii="Tahoma" w:hAnsi="Tahoma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04"/>
    <w:pPr>
      <w:keepNext/>
      <w:numPr>
        <w:numId w:val="2"/>
      </w:numPr>
      <w:tabs>
        <w:tab w:val="clear" w:pos="360"/>
        <w:tab w:val="num" w:pos="720"/>
      </w:tabs>
      <w:spacing w:before="240" w:after="60" w:line="380" w:lineRule="atLeast"/>
      <w:ind w:left="720" w:hanging="720"/>
      <w:outlineLvl w:val="0"/>
    </w:pPr>
    <w:rPr>
      <w:rFonts w:ascii="Arial" w:hAnsi="Arial" w:cs="Arial"/>
      <w:bCs/>
      <w:color w:val="22058A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6704"/>
    <w:pPr>
      <w:keepNext/>
      <w:numPr>
        <w:ilvl w:val="1"/>
        <w:numId w:val="2"/>
      </w:numPr>
      <w:tabs>
        <w:tab w:val="left" w:pos="720"/>
      </w:tabs>
      <w:spacing w:before="240" w:after="60" w:line="320" w:lineRule="atLeast"/>
      <w:outlineLvl w:val="1"/>
    </w:pPr>
    <w:rPr>
      <w:rFonts w:ascii="Arial" w:hAnsi="Arial" w:cs="Arial"/>
      <w:bCs/>
      <w:iCs/>
      <w:color w:val="45508A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C6704"/>
    <w:pPr>
      <w:keepNext/>
      <w:numPr>
        <w:ilvl w:val="2"/>
        <w:numId w:val="2"/>
      </w:numPr>
      <w:tabs>
        <w:tab w:val="clear" w:pos="1800"/>
        <w:tab w:val="num" w:pos="720"/>
        <w:tab w:val="left" w:pos="1080"/>
      </w:tabs>
      <w:spacing w:before="240" w:after="60" w:line="260" w:lineRule="atLeast"/>
      <w:ind w:left="720" w:hanging="720"/>
      <w:outlineLvl w:val="2"/>
    </w:pPr>
    <w:rPr>
      <w:rFonts w:ascii="Arial" w:hAnsi="Arial" w:cs="Arial"/>
      <w:b/>
      <w:bCs/>
      <w:color w:val="1C1C1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16"/>
    <w:rPr>
      <w:rFonts w:ascii="Tahoma" w:hAnsi="Tahoma" w:cs="Tahoma"/>
      <w:sz w:val="16"/>
      <w:szCs w:val="16"/>
    </w:rPr>
  </w:style>
  <w:style w:type="paragraph" w:customStyle="1" w:styleId="factsheettitle">
    <w:name w:val="# factsheet title"/>
    <w:basedOn w:val="Normal"/>
    <w:link w:val="factsheettitleChar"/>
    <w:qFormat/>
    <w:rsid w:val="008A2176"/>
    <w:rPr>
      <w:color w:val="FFFFFF"/>
      <w:sz w:val="40"/>
      <w:szCs w:val="40"/>
    </w:rPr>
  </w:style>
  <w:style w:type="character" w:customStyle="1" w:styleId="factsheettitleChar">
    <w:name w:val="# factsheet title Char"/>
    <w:basedOn w:val="DefaultParagraphFont"/>
    <w:link w:val="factsheettitle"/>
    <w:rsid w:val="008A2176"/>
    <w:rPr>
      <w:rFonts w:ascii="Tahoma" w:hAnsi="Tahoma"/>
      <w:color w:val="FFFFFF"/>
      <w:sz w:val="40"/>
      <w:szCs w:val="40"/>
    </w:rPr>
  </w:style>
  <w:style w:type="paragraph" w:customStyle="1" w:styleId="factsheetsubtitle">
    <w:name w:val="# factsheet subtitle"/>
    <w:basedOn w:val="Normal"/>
    <w:link w:val="factsheetsubtitleChar"/>
    <w:qFormat/>
    <w:rsid w:val="008A2176"/>
    <w:pPr>
      <w:spacing w:before="60"/>
      <w:contextualSpacing/>
    </w:pPr>
    <w:rPr>
      <w:color w:val="FFFFFF"/>
    </w:rPr>
  </w:style>
  <w:style w:type="character" w:customStyle="1" w:styleId="factsheetsubtitleChar">
    <w:name w:val="# factsheet subtitle Char"/>
    <w:basedOn w:val="DefaultParagraphFont"/>
    <w:link w:val="factsheetsubtitle"/>
    <w:rsid w:val="008A2176"/>
    <w:rPr>
      <w:rFonts w:ascii="Tahoma" w:hAnsi="Tahoma"/>
      <w:color w:val="FFFFFF"/>
      <w:sz w:val="24"/>
      <w:szCs w:val="24"/>
    </w:rPr>
  </w:style>
  <w:style w:type="paragraph" w:customStyle="1" w:styleId="introtext">
    <w:name w:val="# intro text"/>
    <w:basedOn w:val="Normal"/>
    <w:next w:val="bodycopy"/>
    <w:qFormat/>
    <w:rsid w:val="0031573F"/>
    <w:pPr>
      <w:spacing w:before="240" w:after="240"/>
    </w:pPr>
    <w:rPr>
      <w:rFonts w:cs="Arial"/>
      <w:b/>
      <w:color w:val="797166"/>
      <w:szCs w:val="20"/>
    </w:rPr>
  </w:style>
  <w:style w:type="paragraph" w:customStyle="1" w:styleId="bodycopy">
    <w:name w:val="# body copy"/>
    <w:basedOn w:val="Normal"/>
    <w:qFormat/>
    <w:rsid w:val="00813F06"/>
    <w:pPr>
      <w:spacing w:after="120"/>
    </w:pPr>
    <w:rPr>
      <w:rFonts w:cs="Arial"/>
      <w:color w:val="auto"/>
      <w:sz w:val="20"/>
      <w:szCs w:val="20"/>
    </w:rPr>
  </w:style>
  <w:style w:type="paragraph" w:customStyle="1" w:styleId="dotpoints">
    <w:name w:val="# dot points"/>
    <w:basedOn w:val="Normal"/>
    <w:link w:val="dotpointsChar"/>
    <w:qFormat/>
    <w:rsid w:val="00813F06"/>
    <w:pPr>
      <w:keepLines/>
      <w:numPr>
        <w:numId w:val="1"/>
      </w:numPr>
      <w:spacing w:before="180" w:after="180" w:line="300" w:lineRule="auto"/>
      <w:ind w:left="357" w:hanging="357"/>
      <w:contextualSpacing/>
    </w:pPr>
    <w:rPr>
      <w:rFonts w:cs="Arial"/>
      <w:sz w:val="20"/>
      <w:szCs w:val="20"/>
    </w:rPr>
  </w:style>
  <w:style w:type="character" w:customStyle="1" w:styleId="dotpointsChar">
    <w:name w:val="# dot points Char"/>
    <w:basedOn w:val="DefaultParagraphFont"/>
    <w:link w:val="dotpoints"/>
    <w:rsid w:val="00813F06"/>
    <w:rPr>
      <w:rFonts w:ascii="Tahoma" w:hAnsi="Tahoma" w:cs="Arial"/>
      <w:color w:val="000000" w:themeColor="text1"/>
    </w:rPr>
  </w:style>
  <w:style w:type="paragraph" w:customStyle="1" w:styleId="heading">
    <w:name w:val="# heading"/>
    <w:basedOn w:val="Normal"/>
    <w:next w:val="introtext"/>
    <w:qFormat/>
    <w:rsid w:val="000E79A5"/>
    <w:pPr>
      <w:keepNext/>
      <w:spacing w:before="480" w:after="120"/>
    </w:pPr>
    <w:rPr>
      <w:rFonts w:cs="Arial"/>
      <w:color w:val="22058A"/>
      <w:sz w:val="30"/>
      <w:szCs w:val="20"/>
    </w:rPr>
  </w:style>
  <w:style w:type="paragraph" w:customStyle="1" w:styleId="authorisedby">
    <w:name w:val="# authorised by"/>
    <w:basedOn w:val="Normal"/>
    <w:qFormat/>
    <w:rsid w:val="008B7273"/>
    <w:pPr>
      <w:spacing w:before="120" w:after="120"/>
    </w:pPr>
    <w:rPr>
      <w:rFonts w:eastAsiaTheme="minorHAnsi"/>
      <w:color w:val="auto"/>
      <w:sz w:val="20"/>
      <w:szCs w:val="20"/>
      <w:lang w:eastAsia="en-US"/>
    </w:rPr>
  </w:style>
  <w:style w:type="paragraph" w:customStyle="1" w:styleId="headingtop">
    <w:name w:val="# heading top"/>
    <w:basedOn w:val="heading"/>
    <w:qFormat/>
    <w:rsid w:val="000E79A5"/>
    <w:pPr>
      <w:spacing w:before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22E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EBF"/>
    <w:rPr>
      <w:rFonts w:ascii="Tahoma" w:hAnsi="Tahoma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422E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22EB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5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9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9A9"/>
    <w:rPr>
      <w:rFonts w:ascii="Tahoma" w:hAnsi="Tahoma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9A9"/>
    <w:rPr>
      <w:rFonts w:ascii="Tahoma" w:hAnsi="Tahoma"/>
      <w:b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BC6704"/>
    <w:rPr>
      <w:rFonts w:ascii="Arial" w:hAnsi="Arial" w:cs="Arial"/>
      <w:bCs/>
      <w:color w:val="22058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C6704"/>
    <w:rPr>
      <w:rFonts w:ascii="Arial" w:hAnsi="Arial" w:cs="Arial"/>
      <w:bCs/>
      <w:iCs/>
      <w:color w:val="45508A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C6704"/>
    <w:rPr>
      <w:rFonts w:ascii="Arial" w:hAnsi="Arial" w:cs="Arial"/>
      <w:b/>
      <w:bCs/>
      <w:color w:val="1C1C1C"/>
      <w:sz w:val="26"/>
      <w:szCs w:val="26"/>
    </w:rPr>
  </w:style>
  <w:style w:type="paragraph" w:styleId="ListParagraph">
    <w:name w:val="List Paragraph"/>
    <w:basedOn w:val="Normal"/>
    <w:uiPriority w:val="34"/>
    <w:qFormat/>
    <w:rsid w:val="00BC67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NoSpacing">
    <w:name w:val="No Spacing"/>
    <w:uiPriority w:val="1"/>
    <w:qFormat/>
    <w:rsid w:val="00BC670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ullet2">
    <w:name w:val="Bullet 2"/>
    <w:basedOn w:val="Normal"/>
    <w:rsid w:val="00BC6704"/>
    <w:pPr>
      <w:numPr>
        <w:ilvl w:val="1"/>
        <w:numId w:val="4"/>
      </w:numPr>
      <w:tabs>
        <w:tab w:val="clear" w:pos="1440"/>
        <w:tab w:val="num" w:pos="1800"/>
      </w:tabs>
      <w:spacing w:line="260" w:lineRule="atLeast"/>
      <w:ind w:left="1800"/>
    </w:pPr>
    <w:rPr>
      <w:rFonts w:ascii="Arial" w:hAnsi="Arial"/>
      <w:color w:val="auto"/>
      <w:sz w:val="20"/>
    </w:rPr>
  </w:style>
  <w:style w:type="paragraph" w:customStyle="1" w:styleId="Bullet3">
    <w:name w:val="Bullet 3"/>
    <w:basedOn w:val="Bullet2"/>
    <w:rsid w:val="00BC6704"/>
    <w:pPr>
      <w:numPr>
        <w:ilvl w:val="0"/>
      </w:numPr>
    </w:pPr>
  </w:style>
  <w:style w:type="paragraph" w:customStyle="1" w:styleId="BodySectionSub">
    <w:name w:val="Body Section (Sub)"/>
    <w:next w:val="Normal"/>
    <w:rsid w:val="008D191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8D1917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color w:val="auto"/>
      <w:szCs w:val="20"/>
      <w:lang w:eastAsia="en-US"/>
    </w:rPr>
  </w:style>
  <w:style w:type="paragraph" w:customStyle="1" w:styleId="DraftHeading2">
    <w:name w:val="Draft Heading 2"/>
    <w:basedOn w:val="Normal"/>
    <w:next w:val="Normal"/>
    <w:rsid w:val="008D1917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color w:val="auto"/>
      <w:szCs w:val="20"/>
      <w:lang w:eastAsia="en-US"/>
    </w:rPr>
  </w:style>
  <w:style w:type="paragraph" w:customStyle="1" w:styleId="DraftHeading1">
    <w:name w:val="Draft Heading 1"/>
    <w:basedOn w:val="Normal"/>
    <w:next w:val="Normal"/>
    <w:rsid w:val="008D1917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Times New Roman" w:hAnsi="Times New Roman"/>
      <w:b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06"/>
    <w:rPr>
      <w:rFonts w:ascii="Tahoma" w:hAnsi="Tahoma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04"/>
    <w:pPr>
      <w:keepNext/>
      <w:numPr>
        <w:numId w:val="2"/>
      </w:numPr>
      <w:tabs>
        <w:tab w:val="clear" w:pos="360"/>
        <w:tab w:val="num" w:pos="720"/>
      </w:tabs>
      <w:spacing w:before="240" w:after="60" w:line="380" w:lineRule="atLeast"/>
      <w:ind w:left="720" w:hanging="720"/>
      <w:outlineLvl w:val="0"/>
    </w:pPr>
    <w:rPr>
      <w:rFonts w:ascii="Arial" w:hAnsi="Arial" w:cs="Arial"/>
      <w:bCs/>
      <w:color w:val="22058A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6704"/>
    <w:pPr>
      <w:keepNext/>
      <w:numPr>
        <w:ilvl w:val="1"/>
        <w:numId w:val="2"/>
      </w:numPr>
      <w:tabs>
        <w:tab w:val="left" w:pos="720"/>
      </w:tabs>
      <w:spacing w:before="240" w:after="60" w:line="320" w:lineRule="atLeast"/>
      <w:outlineLvl w:val="1"/>
    </w:pPr>
    <w:rPr>
      <w:rFonts w:ascii="Arial" w:hAnsi="Arial" w:cs="Arial"/>
      <w:bCs/>
      <w:iCs/>
      <w:color w:val="45508A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C6704"/>
    <w:pPr>
      <w:keepNext/>
      <w:numPr>
        <w:ilvl w:val="2"/>
        <w:numId w:val="2"/>
      </w:numPr>
      <w:tabs>
        <w:tab w:val="clear" w:pos="1800"/>
        <w:tab w:val="num" w:pos="720"/>
        <w:tab w:val="left" w:pos="1080"/>
      </w:tabs>
      <w:spacing w:before="240" w:after="60" w:line="260" w:lineRule="atLeast"/>
      <w:ind w:left="720" w:hanging="720"/>
      <w:outlineLvl w:val="2"/>
    </w:pPr>
    <w:rPr>
      <w:rFonts w:ascii="Arial" w:hAnsi="Arial" w:cs="Arial"/>
      <w:b/>
      <w:bCs/>
      <w:color w:val="1C1C1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16"/>
    <w:rPr>
      <w:rFonts w:ascii="Tahoma" w:hAnsi="Tahoma" w:cs="Tahoma"/>
      <w:sz w:val="16"/>
      <w:szCs w:val="16"/>
    </w:rPr>
  </w:style>
  <w:style w:type="paragraph" w:customStyle="1" w:styleId="factsheettitle">
    <w:name w:val="# factsheet title"/>
    <w:basedOn w:val="Normal"/>
    <w:link w:val="factsheettitleChar"/>
    <w:qFormat/>
    <w:rsid w:val="008A2176"/>
    <w:rPr>
      <w:color w:val="FFFFFF"/>
      <w:sz w:val="40"/>
      <w:szCs w:val="40"/>
    </w:rPr>
  </w:style>
  <w:style w:type="character" w:customStyle="1" w:styleId="factsheettitleChar">
    <w:name w:val="# factsheet title Char"/>
    <w:basedOn w:val="DefaultParagraphFont"/>
    <w:link w:val="factsheettitle"/>
    <w:rsid w:val="008A2176"/>
    <w:rPr>
      <w:rFonts w:ascii="Tahoma" w:hAnsi="Tahoma"/>
      <w:color w:val="FFFFFF"/>
      <w:sz w:val="40"/>
      <w:szCs w:val="40"/>
    </w:rPr>
  </w:style>
  <w:style w:type="paragraph" w:customStyle="1" w:styleId="factsheetsubtitle">
    <w:name w:val="# factsheet subtitle"/>
    <w:basedOn w:val="Normal"/>
    <w:link w:val="factsheetsubtitleChar"/>
    <w:qFormat/>
    <w:rsid w:val="008A2176"/>
    <w:pPr>
      <w:spacing w:before="60"/>
      <w:contextualSpacing/>
    </w:pPr>
    <w:rPr>
      <w:color w:val="FFFFFF"/>
    </w:rPr>
  </w:style>
  <w:style w:type="character" w:customStyle="1" w:styleId="factsheetsubtitleChar">
    <w:name w:val="# factsheet subtitle Char"/>
    <w:basedOn w:val="DefaultParagraphFont"/>
    <w:link w:val="factsheetsubtitle"/>
    <w:rsid w:val="008A2176"/>
    <w:rPr>
      <w:rFonts w:ascii="Tahoma" w:hAnsi="Tahoma"/>
      <w:color w:val="FFFFFF"/>
      <w:sz w:val="24"/>
      <w:szCs w:val="24"/>
    </w:rPr>
  </w:style>
  <w:style w:type="paragraph" w:customStyle="1" w:styleId="introtext">
    <w:name w:val="# intro text"/>
    <w:basedOn w:val="Normal"/>
    <w:next w:val="bodycopy"/>
    <w:qFormat/>
    <w:rsid w:val="0031573F"/>
    <w:pPr>
      <w:spacing w:before="240" w:after="240"/>
    </w:pPr>
    <w:rPr>
      <w:rFonts w:cs="Arial"/>
      <w:b/>
      <w:color w:val="797166"/>
      <w:szCs w:val="20"/>
    </w:rPr>
  </w:style>
  <w:style w:type="paragraph" w:customStyle="1" w:styleId="bodycopy">
    <w:name w:val="# body copy"/>
    <w:basedOn w:val="Normal"/>
    <w:qFormat/>
    <w:rsid w:val="00813F06"/>
    <w:pPr>
      <w:spacing w:after="120"/>
    </w:pPr>
    <w:rPr>
      <w:rFonts w:cs="Arial"/>
      <w:color w:val="auto"/>
      <w:sz w:val="20"/>
      <w:szCs w:val="20"/>
    </w:rPr>
  </w:style>
  <w:style w:type="paragraph" w:customStyle="1" w:styleId="dotpoints">
    <w:name w:val="# dot points"/>
    <w:basedOn w:val="Normal"/>
    <w:link w:val="dotpointsChar"/>
    <w:qFormat/>
    <w:rsid w:val="00813F06"/>
    <w:pPr>
      <w:keepLines/>
      <w:numPr>
        <w:numId w:val="1"/>
      </w:numPr>
      <w:spacing w:before="180" w:after="180" w:line="300" w:lineRule="auto"/>
      <w:ind w:left="357" w:hanging="357"/>
      <w:contextualSpacing/>
    </w:pPr>
    <w:rPr>
      <w:rFonts w:cs="Arial"/>
      <w:sz w:val="20"/>
      <w:szCs w:val="20"/>
    </w:rPr>
  </w:style>
  <w:style w:type="character" w:customStyle="1" w:styleId="dotpointsChar">
    <w:name w:val="# dot points Char"/>
    <w:basedOn w:val="DefaultParagraphFont"/>
    <w:link w:val="dotpoints"/>
    <w:rsid w:val="00813F06"/>
    <w:rPr>
      <w:rFonts w:ascii="Tahoma" w:hAnsi="Tahoma" w:cs="Arial"/>
      <w:color w:val="000000" w:themeColor="text1"/>
    </w:rPr>
  </w:style>
  <w:style w:type="paragraph" w:customStyle="1" w:styleId="heading">
    <w:name w:val="# heading"/>
    <w:basedOn w:val="Normal"/>
    <w:next w:val="introtext"/>
    <w:qFormat/>
    <w:rsid w:val="000E79A5"/>
    <w:pPr>
      <w:keepNext/>
      <w:spacing w:before="480" w:after="120"/>
    </w:pPr>
    <w:rPr>
      <w:rFonts w:cs="Arial"/>
      <w:color w:val="22058A"/>
      <w:sz w:val="30"/>
      <w:szCs w:val="20"/>
    </w:rPr>
  </w:style>
  <w:style w:type="paragraph" w:customStyle="1" w:styleId="authorisedby">
    <w:name w:val="# authorised by"/>
    <w:basedOn w:val="Normal"/>
    <w:qFormat/>
    <w:rsid w:val="008B7273"/>
    <w:pPr>
      <w:spacing w:before="120" w:after="120"/>
    </w:pPr>
    <w:rPr>
      <w:rFonts w:eastAsiaTheme="minorHAnsi"/>
      <w:color w:val="auto"/>
      <w:sz w:val="20"/>
      <w:szCs w:val="20"/>
      <w:lang w:eastAsia="en-US"/>
    </w:rPr>
  </w:style>
  <w:style w:type="paragraph" w:customStyle="1" w:styleId="headingtop">
    <w:name w:val="# heading top"/>
    <w:basedOn w:val="heading"/>
    <w:qFormat/>
    <w:rsid w:val="000E79A5"/>
    <w:pPr>
      <w:spacing w:before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22E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EBF"/>
    <w:rPr>
      <w:rFonts w:ascii="Tahoma" w:hAnsi="Tahoma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422E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22EB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5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9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9A9"/>
    <w:rPr>
      <w:rFonts w:ascii="Tahoma" w:hAnsi="Tahoma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9A9"/>
    <w:rPr>
      <w:rFonts w:ascii="Tahoma" w:hAnsi="Tahoma"/>
      <w:b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BC6704"/>
    <w:rPr>
      <w:rFonts w:ascii="Arial" w:hAnsi="Arial" w:cs="Arial"/>
      <w:bCs/>
      <w:color w:val="22058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C6704"/>
    <w:rPr>
      <w:rFonts w:ascii="Arial" w:hAnsi="Arial" w:cs="Arial"/>
      <w:bCs/>
      <w:iCs/>
      <w:color w:val="45508A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C6704"/>
    <w:rPr>
      <w:rFonts w:ascii="Arial" w:hAnsi="Arial" w:cs="Arial"/>
      <w:b/>
      <w:bCs/>
      <w:color w:val="1C1C1C"/>
      <w:sz w:val="26"/>
      <w:szCs w:val="26"/>
    </w:rPr>
  </w:style>
  <w:style w:type="paragraph" w:styleId="ListParagraph">
    <w:name w:val="List Paragraph"/>
    <w:basedOn w:val="Normal"/>
    <w:uiPriority w:val="34"/>
    <w:qFormat/>
    <w:rsid w:val="00BC67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NoSpacing">
    <w:name w:val="No Spacing"/>
    <w:uiPriority w:val="1"/>
    <w:qFormat/>
    <w:rsid w:val="00BC670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ullet2">
    <w:name w:val="Bullet 2"/>
    <w:basedOn w:val="Normal"/>
    <w:rsid w:val="00BC6704"/>
    <w:pPr>
      <w:numPr>
        <w:ilvl w:val="1"/>
        <w:numId w:val="4"/>
      </w:numPr>
      <w:tabs>
        <w:tab w:val="clear" w:pos="1440"/>
        <w:tab w:val="num" w:pos="1800"/>
      </w:tabs>
      <w:spacing w:line="260" w:lineRule="atLeast"/>
      <w:ind w:left="1800"/>
    </w:pPr>
    <w:rPr>
      <w:rFonts w:ascii="Arial" w:hAnsi="Arial"/>
      <w:color w:val="auto"/>
      <w:sz w:val="20"/>
    </w:rPr>
  </w:style>
  <w:style w:type="paragraph" w:customStyle="1" w:styleId="Bullet3">
    <w:name w:val="Bullet 3"/>
    <w:basedOn w:val="Bullet2"/>
    <w:rsid w:val="00BC6704"/>
    <w:pPr>
      <w:numPr>
        <w:ilvl w:val="0"/>
      </w:numPr>
    </w:pPr>
  </w:style>
  <w:style w:type="paragraph" w:customStyle="1" w:styleId="BodySectionSub">
    <w:name w:val="Body Section (Sub)"/>
    <w:next w:val="Normal"/>
    <w:rsid w:val="008D191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8D1917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color w:val="auto"/>
      <w:szCs w:val="20"/>
      <w:lang w:eastAsia="en-US"/>
    </w:rPr>
  </w:style>
  <w:style w:type="paragraph" w:customStyle="1" w:styleId="DraftHeading2">
    <w:name w:val="Draft Heading 2"/>
    <w:basedOn w:val="Normal"/>
    <w:next w:val="Normal"/>
    <w:rsid w:val="008D1917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color w:val="auto"/>
      <w:szCs w:val="20"/>
      <w:lang w:eastAsia="en-US"/>
    </w:rPr>
  </w:style>
  <w:style w:type="paragraph" w:customStyle="1" w:styleId="DraftHeading1">
    <w:name w:val="Draft Heading 1"/>
    <w:basedOn w:val="Normal"/>
    <w:next w:val="Normal"/>
    <w:rsid w:val="008D1917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Times New Roman" w:hAnsi="Times New Roman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core.ournet\DSDBI\GroupData\EER\ESD\Energy%20Policy\ENERGY%20POLICY%20FILE%20SYSTEM\VEET\08_Activities%20-%20review%20existing\Stakeholder%20consultation%20Sept2015\energyandresources.vic.gov.au\esi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nergysaver.incentive@ecodev.vic.gov.a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\\core.ournet\DSDBI\GroupData\EER\ESD\Energy%20Policy\ENERGY%20POLICY%20FILE%20SYSTEM\VEET\08_Activities%20-%20review%20existing\Stakeholder%20consultation%20Sept2015\energyandresources.vic.gov.au\es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msn7\AppData\Local\Temp\7zO4D5E.tmp\DEDJTR-DSDBI-factsheet-one-colum-tempal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9BFF-DFED-44ED-A5DC-C1453E7F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DEDJTR-DSDBI-factsheet-one-colum-tempalte.dotx</Template>
  <TotalTime>0</TotalTime>
  <Pages>3</Pages>
  <Words>951</Words>
  <Characters>5690</Characters>
  <Application>Microsoft Office Word</Application>
  <DocSecurity>0</DocSecurity>
  <Lines>114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vicmsn7</dc:creator>
  <cp:lastModifiedBy>Maria  Camillo</cp:lastModifiedBy>
  <cp:revision>2</cp:revision>
  <cp:lastPrinted>2015-12-09T01:29:00Z</cp:lastPrinted>
  <dcterms:created xsi:type="dcterms:W3CDTF">2015-12-22T03:37:00Z</dcterms:created>
  <dcterms:modified xsi:type="dcterms:W3CDTF">2015-12-22T03:37:00Z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b9e288cb-4795-4470-98bf-85aa19d412fd</vt:lpwstr>
  </property>
</Properties>
</file>