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0A15" w14:textId="77777777" w:rsidR="005A2A5D" w:rsidRPr="007519FC" w:rsidRDefault="00AD391C" w:rsidP="007519FC">
      <w:pPr>
        <w:pStyle w:val="BodyText"/>
      </w:pPr>
      <w:bookmarkStart w:id="0" w:name="_GoBack"/>
      <w:bookmarkEnd w:id="0"/>
      <w:r w:rsidRPr="007519FC">
        <w:rPr>
          <w:noProof/>
          <w:lang w:eastAsia="en-AU"/>
        </w:rPr>
        <mc:AlternateContent>
          <mc:Choice Requires="wps">
            <w:drawing>
              <wp:anchor distT="0" distB="0" distL="114300" distR="114300" simplePos="0" relativeHeight="251660800" behindDoc="0" locked="1" layoutInCell="1" allowOverlap="1" wp14:anchorId="20E97DB2" wp14:editId="3887C744">
                <wp:simplePos x="0" y="0"/>
                <wp:positionH relativeFrom="page">
                  <wp:posOffset>363855</wp:posOffset>
                </wp:positionH>
                <wp:positionV relativeFrom="page">
                  <wp:posOffset>2354580</wp:posOffset>
                </wp:positionV>
                <wp:extent cx="3182400" cy="4755600"/>
                <wp:effectExtent l="0" t="0" r="0" b="6985"/>
                <wp:wrapNone/>
                <wp:docPr id="43" name="Overlay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82400" cy="4755600"/>
                        </a:xfrm>
                        <a:custGeom>
                          <a:avLst/>
                          <a:gdLst>
                            <a:gd name="T0" fmla="*/ 1747 w 5941"/>
                            <a:gd name="T1" fmla="*/ 0 h 8858"/>
                            <a:gd name="T2" fmla="*/ 0 w 5941"/>
                            <a:gd name="T3" fmla="*/ 0 h 8858"/>
                            <a:gd name="T4" fmla="*/ 0 w 5941"/>
                            <a:gd name="T5" fmla="*/ 8858 h 8858"/>
                            <a:gd name="T6" fmla="*/ 5941 w 5941"/>
                            <a:gd name="T7" fmla="*/ 8858 h 8858"/>
                            <a:gd name="T8" fmla="*/ 1747 w 5941"/>
                            <a:gd name="T9" fmla="*/ 0 h 8858"/>
                          </a:gdLst>
                          <a:ahLst/>
                          <a:cxnLst>
                            <a:cxn ang="0">
                              <a:pos x="T0" y="T1"/>
                            </a:cxn>
                            <a:cxn ang="0">
                              <a:pos x="T2" y="T3"/>
                            </a:cxn>
                            <a:cxn ang="0">
                              <a:pos x="T4" y="T5"/>
                            </a:cxn>
                            <a:cxn ang="0">
                              <a:pos x="T6" y="T7"/>
                            </a:cxn>
                            <a:cxn ang="0">
                              <a:pos x="T8" y="T9"/>
                            </a:cxn>
                          </a:cxnLst>
                          <a:rect l="0" t="0" r="r" b="b"/>
                          <a:pathLst>
                            <a:path w="5941" h="8858">
                              <a:moveTo>
                                <a:pt x="1747" y="0"/>
                              </a:moveTo>
                              <a:lnTo>
                                <a:pt x="0" y="0"/>
                              </a:lnTo>
                              <a:lnTo>
                                <a:pt x="0" y="8858"/>
                              </a:lnTo>
                              <a:lnTo>
                                <a:pt x="5941" y="8858"/>
                              </a:lnTo>
                              <a:lnTo>
                                <a:pt x="1747" y="0"/>
                              </a:lnTo>
                              <a:close/>
                            </a:path>
                          </a:pathLst>
                        </a:custGeom>
                        <a:solidFill>
                          <a:srgbClr val="201547">
                            <a:alpha val="60000"/>
                          </a:srgb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663C2C" id="OverlayLeft" o:spid="_x0000_s1026" style="position:absolute;margin-left:28.65pt;margin-top:185.4pt;width:250.6pt;height:374.4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941,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" path="m1747,l,,,8858r5941,l1747,xe" fillcolor="#201547" stroked="f">
                <v:fill opacity="39321f"/>
                <v:path arrowok="t" o:connecttype="custom" o:connectlocs="935811,0;0,0;0,4755600;3182400,4755600;935811,0" o:connectangles="0,0,0,0,0"/>
                <w10:wrap anchorx="page" anchory="page"/>
                <w10:anchorlock/>
              </v:shape>
            </w:pict>
          </mc:Fallback>
        </mc:AlternateContent>
      </w:r>
      <w:r w:rsidR="00CA2A66" w:rsidRPr="007519FC">
        <w:rPr>
          <w:noProof/>
          <w:color w:val="0072CE" w:themeColor="text2"/>
          <w:lang w:eastAsia="en-AU"/>
        </w:rPr>
        <mc:AlternateContent>
          <mc:Choice Requires="wps">
            <w:drawing>
              <wp:anchor distT="0" distB="0" distL="114300" distR="114300" simplePos="0" relativeHeight="251659776" behindDoc="0" locked="1" layoutInCell="1" allowOverlap="1" wp14:anchorId="4BF45EFC" wp14:editId="78ECB6DF">
                <wp:simplePos x="0" y="0"/>
                <wp:positionH relativeFrom="page">
                  <wp:posOffset>3542665</wp:posOffset>
                </wp:positionH>
                <wp:positionV relativeFrom="page">
                  <wp:posOffset>2354580</wp:posOffset>
                </wp:positionV>
                <wp:extent cx="3657600" cy="4755600"/>
                <wp:effectExtent l="0" t="0" r="0" b="6985"/>
                <wp:wrapNone/>
                <wp:docPr id="16" name="Overlay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57600" cy="4755600"/>
                        </a:xfrm>
                        <a:custGeom>
                          <a:avLst/>
                          <a:gdLst>
                            <a:gd name="T0" fmla="*/ 3536 w 5762"/>
                            <a:gd name="T1" fmla="*/ 0 h 7483"/>
                            <a:gd name="T2" fmla="*/ 0 w 5762"/>
                            <a:gd name="T3" fmla="*/ 7483 h 7483"/>
                            <a:gd name="T4" fmla="*/ 5762 w 5762"/>
                            <a:gd name="T5" fmla="*/ 7483 h 7483"/>
                            <a:gd name="T6" fmla="*/ 5762 w 5762"/>
                            <a:gd name="T7" fmla="*/ 0 h 7483"/>
                            <a:gd name="T8" fmla="*/ 3536 w 5762"/>
                            <a:gd name="T9" fmla="*/ 0 h 7483"/>
                          </a:gdLst>
                          <a:ahLst/>
                          <a:cxnLst>
                            <a:cxn ang="0">
                              <a:pos x="T0" y="T1"/>
                            </a:cxn>
                            <a:cxn ang="0">
                              <a:pos x="T2" y="T3"/>
                            </a:cxn>
                            <a:cxn ang="0">
                              <a:pos x="T4" y="T5"/>
                            </a:cxn>
                            <a:cxn ang="0">
                              <a:pos x="T6" y="T7"/>
                            </a:cxn>
                            <a:cxn ang="0">
                              <a:pos x="T8" y="T9"/>
                            </a:cxn>
                          </a:cxnLst>
                          <a:rect l="0" t="0" r="r" b="b"/>
                          <a:pathLst>
                            <a:path w="5762" h="7483">
                              <a:moveTo>
                                <a:pt x="3536" y="0"/>
                              </a:moveTo>
                              <a:lnTo>
                                <a:pt x="0" y="7483"/>
                              </a:lnTo>
                              <a:lnTo>
                                <a:pt x="5762" y="7483"/>
                              </a:lnTo>
                              <a:lnTo>
                                <a:pt x="5762" y="0"/>
                              </a:lnTo>
                              <a:lnTo>
                                <a:pt x="3536" y="0"/>
                              </a:lnTo>
                              <a:close/>
                            </a:path>
                          </a:pathLst>
                        </a:custGeom>
                        <a:solidFill>
                          <a:schemeClr val="tx2">
                            <a:alpha val="29804"/>
                          </a:schemeClr>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C4A909C" id="OverlayRight" o:spid="_x0000_s1026" style="position:absolute;margin-left:278.95pt;margin-top:185.4pt;width:4in;height:374.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5762,74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" path="m3536,l,7483r5762,l5762,,3536,xe" fillcolor="#0072ce [3215]" stroked="f">
                <v:fill opacity="19532f"/>
                <v:path arrowok="t" o:connecttype="custom" o:connectlocs="2244581,0;0,4755600;3657600,4755600;3657600,0;2244581,0" o:connectangles="0,0,0,0,0"/>
                <w10:wrap anchorx="page" anchory="page"/>
                <w10:anchorlock/>
              </v:shape>
            </w:pict>
          </mc:Fallback>
        </mc:AlternateContent>
      </w:r>
      <w:r w:rsidR="009D0AFD" w:rsidRPr="007519FC">
        <w:rPr>
          <w:noProof/>
          <w:lang w:eastAsia="en-AU"/>
        </w:rPr>
        <mc:AlternateContent>
          <mc:Choice Requires="wps">
            <w:drawing>
              <wp:anchor distT="0" distB="0" distL="114300" distR="114300" simplePos="0" relativeHeight="251666944" behindDoc="0" locked="1" layoutInCell="1" allowOverlap="1" wp14:anchorId="2C30743C" wp14:editId="59E7F8F0">
                <wp:simplePos x="0" y="0"/>
                <wp:positionH relativeFrom="page">
                  <wp:posOffset>3543300</wp:posOffset>
                </wp:positionH>
                <wp:positionV relativeFrom="page">
                  <wp:posOffset>7107555</wp:posOffset>
                </wp:positionV>
                <wp:extent cx="1890000" cy="1994400"/>
                <wp:effectExtent l="0" t="0" r="0" b="6350"/>
                <wp:wrapNone/>
                <wp:docPr id="12"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D3203" id="TriangleBottom" o:spid="_x0000_s1026" style="position:absolute;margin-left:279pt;margin-top:559.65pt;width:148.8pt;height:157.0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" path="m1745,3697l,,3496,,1745,3697xe" fillcolor="#99c7eb [3208]" stroked="f">
                <v:path arrowok="t" o:connecttype="custom" o:connectlocs="943378,1994400;0,0;1890000,0;943378,1994400" o:connectangles="0,0,0,0"/>
                <w10:wrap anchorx="page" anchory="page"/>
                <w10:anchorlock/>
              </v:shape>
            </w:pict>
          </mc:Fallback>
        </mc:AlternateContent>
      </w:r>
      <w:r w:rsidR="009D0AFD" w:rsidRPr="007519FC">
        <w:rPr>
          <w:noProof/>
          <w:lang w:eastAsia="en-AU"/>
        </w:rPr>
        <mc:AlternateContent>
          <mc:Choice Requires="wps">
            <w:drawing>
              <wp:anchor distT="0" distB="0" distL="114300" distR="114300" simplePos="0" relativeHeight="251658752" behindDoc="0" locked="1" layoutInCell="1" allowOverlap="1" wp14:anchorId="3345F28B" wp14:editId="1D7692CB">
                <wp:simplePos x="0" y="0"/>
                <wp:positionH relativeFrom="page">
                  <wp:posOffset>360045</wp:posOffset>
                </wp:positionH>
                <wp:positionV relativeFrom="page">
                  <wp:posOffset>360045</wp:posOffset>
                </wp:positionV>
                <wp:extent cx="1890000" cy="1994400"/>
                <wp:effectExtent l="0" t="0" r="0" b="6350"/>
                <wp:wrapNone/>
                <wp:docPr id="11" name="TriangleTop"/>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90000" cy="1994400"/>
                        </a:xfrm>
                        <a:custGeom>
                          <a:avLst/>
                          <a:gdLst>
                            <a:gd name="T0" fmla="*/ 1745 w 3496"/>
                            <a:gd name="T1" fmla="*/ 3697 h 3697"/>
                            <a:gd name="T2" fmla="*/ 0 w 3496"/>
                            <a:gd name="T3" fmla="*/ 0 h 3697"/>
                            <a:gd name="T4" fmla="*/ 3496 w 3496"/>
                            <a:gd name="T5" fmla="*/ 0 h 3697"/>
                            <a:gd name="T6" fmla="*/ 1745 w 3496"/>
                            <a:gd name="T7" fmla="*/ 3697 h 3697"/>
                          </a:gdLst>
                          <a:ahLst/>
                          <a:cxnLst>
                            <a:cxn ang="0">
                              <a:pos x="T0" y="T1"/>
                            </a:cxn>
                            <a:cxn ang="0">
                              <a:pos x="T2" y="T3"/>
                            </a:cxn>
                            <a:cxn ang="0">
                              <a:pos x="T4" y="T5"/>
                            </a:cxn>
                            <a:cxn ang="0">
                              <a:pos x="T6" y="T7"/>
                            </a:cxn>
                          </a:cxnLst>
                          <a:rect l="0" t="0" r="r" b="b"/>
                          <a:pathLst>
                            <a:path w="3496" h="3697">
                              <a:moveTo>
                                <a:pt x="1745" y="3697"/>
                              </a:moveTo>
                              <a:lnTo>
                                <a:pt x="0" y="0"/>
                              </a:lnTo>
                              <a:lnTo>
                                <a:pt x="3496" y="0"/>
                              </a:lnTo>
                              <a:lnTo>
                                <a:pt x="1745" y="3697"/>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2B3F4" id="TriangleTop" o:spid="_x0000_s1026" style="position:absolute;margin-left:28.35pt;margin-top:28.35pt;width:148.8pt;height:15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3496,36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" path="m1745,3697l,,3496,,1745,3697xe" fillcolor="#0072ce [3202]" stroked="f">
                <v:path arrowok="t" o:connecttype="custom" o:connectlocs="943378,1994400;0,0;1890000,0;943378,1994400" o:connectangles="0,0,0,0"/>
                <w10:wrap anchorx="page" anchory="page"/>
                <w10:anchorlock/>
              </v:shape>
            </w:pict>
          </mc:Fallback>
        </mc:AlternateContent>
      </w:r>
      <w:r w:rsidR="00330302" w:rsidRPr="007519FC">
        <w:rPr>
          <w:noProof/>
          <w:lang w:eastAsia="en-AU"/>
        </w:rPr>
        <mc:AlternateContent>
          <mc:Choice Requires="wps">
            <w:drawing>
              <wp:anchor distT="0" distB="0" distL="114300" distR="114300" simplePos="0" relativeHeight="251655680" behindDoc="0" locked="1" layoutInCell="1" allowOverlap="1" wp14:anchorId="68EA367B" wp14:editId="7C390A7C">
                <wp:simplePos x="0" y="0"/>
                <wp:positionH relativeFrom="page">
                  <wp:posOffset>0</wp:posOffset>
                </wp:positionH>
                <wp:positionV relativeFrom="page">
                  <wp:align>bottom</wp:align>
                </wp:positionV>
                <wp:extent cx="3848400" cy="637200"/>
                <wp:effectExtent l="0" t="0" r="0" b="0"/>
                <wp:wrapNone/>
                <wp:docPr id="8" name="WebAddress" hidden="1"/>
                <wp:cNvGraphicFramePr/>
                <a:graphic xmlns:a="http://schemas.openxmlformats.org/drawingml/2006/main">
                  <a:graphicData uri="http://schemas.microsoft.com/office/word/2010/wordprocessingShape">
                    <wps:wsp>
                      <wps:cNvSpPr txBox="1"/>
                      <wps:spPr>
                        <a:xfrm>
                          <a:off x="0" y="0"/>
                          <a:ext cx="3848400" cy="637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EAB57F" w14:textId="77777777" w:rsidR="00263498" w:rsidRPr="009F69FA" w:rsidRDefault="00263498" w:rsidP="00330302">
                            <w:pPr>
                              <w:pStyle w:val="xWeb"/>
                            </w:pPr>
                            <w:r w:rsidRPr="009F69FA">
                              <w:t>www.de</w:t>
                            </w:r>
                            <w:r>
                              <w:t>lw</w:t>
                            </w:r>
                            <w:r w:rsidRPr="009F69FA">
                              <w:t>p.vic.gov.au</w:t>
                            </w:r>
                          </w:p>
                        </w:txbxContent>
                      </wps:txbx>
                      <wps:bodyPr rot="0" spcFirstLastPara="0" vertOverflow="overflow" horzOverflow="overflow" vert="horz" wrap="square" lIns="72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EA367B" id="_x0000_t202" coordsize="21600,21600" o:spt="202" path="m,l,21600r21600,l21600,xe">
                <v:stroke joinstyle="miter"/>
                <v:path gradientshapeok="t" o:connecttype="rect"/>
              </v:shapetype>
              <v:shape id="WebAddress" o:spid="_x0000_s1026" type="#_x0000_t202" style="position:absolute;margin-left:0;margin-top:0;width:303pt;height:50.15pt;z-index:251655680;visibility:hidden;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" filled="f" stroked="f" strokeweight=".5pt">
                <v:textbox inset="20mm">
                  <w:txbxContent>
                    <w:p w14:paraId="42EAB57F" w14:textId="77777777" w:rsidR="00263498" w:rsidRPr="009F69FA" w:rsidRDefault="00263498" w:rsidP="00330302">
                      <w:pPr>
                        <w:pStyle w:val="xWeb"/>
                      </w:pPr>
                      <w:r w:rsidRPr="009F69FA">
                        <w:t>www.de</w:t>
                      </w:r>
                      <w:r>
                        <w:t>lw</w:t>
                      </w:r>
                      <w:r w:rsidRPr="009F69FA">
                        <w:t>p.vic.gov.au</w:t>
                      </w:r>
                    </w:p>
                  </w:txbxContent>
                </v:textbox>
                <w10:wrap anchorx="page" anchory="page"/>
                <w10:anchorlock/>
              </v:shape>
            </w:pict>
          </mc:Fallback>
        </mc:AlternateContent>
      </w:r>
      <w:r w:rsidR="003D5476" w:rsidRPr="007519FC">
        <w:rPr>
          <w:noProof/>
          <w:lang w:eastAsia="en-AU"/>
        </w:rPr>
        <mc:AlternateContent>
          <mc:Choice Requires="wps">
            <w:drawing>
              <wp:anchor distT="0" distB="0" distL="114300" distR="114300" simplePos="0" relativeHeight="251650560" behindDoc="0" locked="1" layoutInCell="1" allowOverlap="1" wp14:anchorId="33543647" wp14:editId="40B305C1">
                <wp:simplePos x="0" y="0"/>
                <wp:positionH relativeFrom="page">
                  <wp:align>left</wp:align>
                </wp:positionH>
                <wp:positionV relativeFrom="page">
                  <wp:posOffset>8567420</wp:posOffset>
                </wp:positionV>
                <wp:extent cx="5554800" cy="370800"/>
                <wp:effectExtent l="0" t="0" r="0" b="0"/>
                <wp:wrapNone/>
                <wp:docPr id="1" name="CoverStatus" hidden="1" title="Watermark Document Status"/>
                <wp:cNvGraphicFramePr/>
                <a:graphic xmlns:a="http://schemas.openxmlformats.org/drawingml/2006/main">
                  <a:graphicData uri="http://schemas.microsoft.com/office/word/2010/wordprocessingShape">
                    <wps:wsp>
                      <wps:cNvSpPr txBox="1"/>
                      <wps:spPr>
                        <a:xfrm>
                          <a:off x="0" y="0"/>
                          <a:ext cx="5554800" cy="37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FB13000" w14:textId="77777777" w:rsidR="00263498" w:rsidRPr="00271B90" w:rsidRDefault="00263498" w:rsidP="00A653F3">
                            <w:pPr>
                              <w:pStyle w:val="xCoverStatus"/>
                            </w:pPr>
                            <w:r>
                              <w:fldChar w:fldCharType="begin"/>
                            </w:r>
                            <w:r>
                              <w:instrText xml:space="preserve"> DOCPROPERTY  xStatus  \* MERGEFORMAT </w:instrText>
                            </w:r>
                            <w:r>
                              <w:fldChar w:fldCharType="end"/>
                            </w:r>
                          </w:p>
                        </w:txbxContent>
                      </wps:txbx>
                      <wps:bodyPr rot="0" spcFirstLastPara="0" vertOverflow="overflow" horzOverflow="overflow" vert="horz" wrap="square" lIns="720000" tIns="0" rIns="3600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543647" id="CoverStatus" o:spid="_x0000_s1027" type="#_x0000_t202" alt="Title: Watermark Document Status" style="position:absolute;margin-left:0;margin-top:674.6pt;width:437.4pt;height:29.2pt;z-index:251650560;visibility:hidden;mso-wrap-style:square;mso-width-percent:0;mso-height-percent:0;mso-wrap-distance-left:9pt;mso-wrap-distance-top:0;mso-wrap-distance-right:9pt;mso-wrap-distance-bottom:0;mso-position-horizontal:lef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" filled="f" stroked="f" strokeweight=".5pt">
                <v:textbox inset="20mm,0,1mm,0">
                  <w:txbxContent>
                    <w:p w14:paraId="0FB13000" w14:textId="77777777" w:rsidR="00263498" w:rsidRPr="00271B90" w:rsidRDefault="00263498" w:rsidP="00A653F3">
                      <w:pPr>
                        <w:pStyle w:val="xCoverStatus"/>
                      </w:pPr>
                      <w:r>
                        <w:fldChar w:fldCharType="begin"/>
                      </w:r>
                      <w:r>
                        <w:instrText xml:space="preserve"> DOCPROPERTY  xStatus  \* MERGEFORMAT </w:instrText>
                      </w:r>
                      <w:r>
                        <w:fldChar w:fldCharType="end"/>
                      </w:r>
                    </w:p>
                  </w:txbxContent>
                </v:textbox>
                <w10:wrap anchorx="page" anchory="page"/>
                <w10:anchorlock/>
              </v:shape>
            </w:pict>
          </mc:Fallback>
        </mc:AlternateContent>
      </w:r>
      <w:r w:rsidR="003A2D2C" w:rsidRPr="007519FC">
        <w:rPr>
          <w:noProof/>
          <w:lang w:eastAsia="en-AU"/>
        </w:rPr>
        <mc:AlternateContent>
          <mc:Choice Requires="wps">
            <w:drawing>
              <wp:anchor distT="0" distB="0" distL="114300" distR="114300" simplePos="0" relativeHeight="251651584" behindDoc="1" locked="1" layoutInCell="1" allowOverlap="1" wp14:anchorId="2EF08D4A" wp14:editId="5D6910FE">
                <wp:simplePos x="0" y="0"/>
                <wp:positionH relativeFrom="page">
                  <wp:posOffset>360045</wp:posOffset>
                </wp:positionH>
                <wp:positionV relativeFrom="page">
                  <wp:posOffset>9102090</wp:posOffset>
                </wp:positionV>
                <wp:extent cx="6840000" cy="432000"/>
                <wp:effectExtent l="0" t="0" r="0" b="6350"/>
                <wp:wrapNone/>
                <wp:docPr id="19" name="CoverProjectBar" title="Decorative Cover Shape"/>
                <wp:cNvGraphicFramePr/>
                <a:graphic xmlns:a="http://schemas.openxmlformats.org/drawingml/2006/main">
                  <a:graphicData uri="http://schemas.microsoft.com/office/word/2010/wordprocessingShape">
                    <wps:wsp>
                      <wps:cNvSpPr txBox="1"/>
                      <wps:spPr>
                        <a:xfrm>
                          <a:off x="0" y="0"/>
                          <a:ext cx="6840000" cy="432000"/>
                        </a:xfrm>
                        <a:prstGeom prst="rect">
                          <a:avLst/>
                        </a:prstGeom>
                        <a:solidFill>
                          <a:schemeClr val="dk2"/>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7877A" w14:textId="4DB4D7C4" w:rsidR="00263498" w:rsidRPr="00D4758C" w:rsidRDefault="00D4758C" w:rsidP="002940DF">
                            <w:pPr>
                              <w:pStyle w:val="TitleBarText"/>
                              <w:spacing w:line="320" w:lineRule="exact"/>
                              <w:rPr>
                                <w:color w:val="FFFFFF" w:themeColor="background1"/>
                              </w:rPr>
                            </w:pPr>
                            <w:r w:rsidRPr="00D4758C">
                              <w:rPr>
                                <w:color w:val="FFFFFF" w:themeColor="background1"/>
                              </w:rPr>
                              <w:t xml:space="preserve">Version 1 </w:t>
                            </w:r>
                            <w:r w:rsidR="00E25E11">
                              <w:rPr>
                                <w:color w:val="FFFFFF" w:themeColor="background1"/>
                              </w:rPr>
                              <w:t>–</w:t>
                            </w:r>
                            <w:r w:rsidRPr="00D4758C">
                              <w:rPr>
                                <w:color w:val="FFFFFF" w:themeColor="background1"/>
                              </w:rPr>
                              <w:t xml:space="preserve"> </w:t>
                            </w:r>
                            <w:r w:rsidR="00E25E11">
                              <w:rPr>
                                <w:color w:val="FFFFFF" w:themeColor="background1"/>
                              </w:rPr>
                              <w:t xml:space="preserve">11 </w:t>
                            </w:r>
                            <w:r w:rsidRPr="00D4758C">
                              <w:rPr>
                                <w:color w:val="FFFFFF" w:themeColor="background1"/>
                              </w:rPr>
                              <w:t>December 2018</w:t>
                            </w:r>
                          </w:p>
                        </w:txbxContent>
                      </wps:txbx>
                      <wps:bodyPr rot="0" spcFirstLastPara="0" vertOverflow="overflow" horzOverflow="overflow" vert="horz" wrap="square" lIns="360000" tIns="0" rIns="360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08D4A" id="CoverProjectBar" o:spid="_x0000_s1028" type="#_x0000_t202" alt="Title: Decorative Cover Shape" style="position:absolute;margin-left:28.35pt;margin-top:716.7pt;width:538.6pt;height:34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" fillcolor="#0072ce [3202]" stroked="f" strokeweight=".5pt">
                <v:textbox inset="10mm,0,10mm,0">
                  <w:txbxContent>
                    <w:p w14:paraId="4777877A" w14:textId="4DB4D7C4" w:rsidR="00263498" w:rsidRPr="00D4758C" w:rsidRDefault="00D4758C" w:rsidP="002940DF">
                      <w:pPr>
                        <w:pStyle w:val="TitleBarText"/>
                        <w:spacing w:line="320" w:lineRule="exact"/>
                        <w:rPr>
                          <w:color w:val="FFFFFF" w:themeColor="background1"/>
                        </w:rPr>
                      </w:pPr>
                      <w:r w:rsidRPr="00D4758C">
                        <w:rPr>
                          <w:color w:val="FFFFFF" w:themeColor="background1"/>
                        </w:rPr>
                        <w:t xml:space="preserve">Version 1 </w:t>
                      </w:r>
                      <w:r w:rsidR="00E25E11">
                        <w:rPr>
                          <w:color w:val="FFFFFF" w:themeColor="background1"/>
                        </w:rPr>
                        <w:t>–</w:t>
                      </w:r>
                      <w:r w:rsidRPr="00D4758C">
                        <w:rPr>
                          <w:color w:val="FFFFFF" w:themeColor="background1"/>
                        </w:rPr>
                        <w:t xml:space="preserve"> </w:t>
                      </w:r>
                      <w:r w:rsidR="00E25E11">
                        <w:rPr>
                          <w:color w:val="FFFFFF" w:themeColor="background1"/>
                        </w:rPr>
                        <w:t xml:space="preserve">11 </w:t>
                      </w:r>
                      <w:r w:rsidRPr="00D4758C">
                        <w:rPr>
                          <w:color w:val="FFFFFF" w:themeColor="background1"/>
                        </w:rPr>
                        <w:t>December 2018</w:t>
                      </w:r>
                    </w:p>
                  </w:txbxContent>
                </v:textbox>
                <w10:wrap anchorx="page" anchory="page"/>
                <w10:anchorlock/>
              </v:shape>
            </w:pict>
          </mc:Fallback>
        </mc:AlternateContent>
      </w:r>
      <w:r w:rsidR="00A56B1E" w:rsidRPr="007519FC">
        <w:rPr>
          <w:noProof/>
          <w:lang w:eastAsia="en-AU"/>
        </w:rPr>
        <mc:AlternateContent>
          <mc:Choice Requires="wps">
            <w:drawing>
              <wp:anchor distT="0" distB="0" distL="114300" distR="114300" simplePos="0" relativeHeight="251649536" behindDoc="1" locked="1" layoutInCell="1" allowOverlap="1" wp14:anchorId="22BDDA8F" wp14:editId="68766435">
                <wp:simplePos x="0" y="0"/>
                <wp:positionH relativeFrom="page">
                  <wp:posOffset>360045</wp:posOffset>
                </wp:positionH>
                <wp:positionV relativeFrom="page">
                  <wp:posOffset>2354580</wp:posOffset>
                </wp:positionV>
                <wp:extent cx="6840000" cy="4752000"/>
                <wp:effectExtent l="0" t="0" r="0" b="0"/>
                <wp:wrapNone/>
                <wp:docPr id="3" name="PicSingle" descr="Cover Image" title="Cover Image"/>
                <wp:cNvGraphicFramePr/>
                <a:graphic xmlns:a="http://schemas.openxmlformats.org/drawingml/2006/main">
                  <a:graphicData uri="http://schemas.microsoft.com/office/word/2010/wordprocessingShape">
                    <wps:wsp>
                      <wps:cNvSpPr/>
                      <wps:spPr>
                        <a:xfrm>
                          <a:off x="0" y="0"/>
                          <a:ext cx="6840000" cy="4752000"/>
                        </a:xfrm>
                        <a:prstGeom prst="rect">
                          <a:avLst/>
                        </a:prstGeom>
                        <a:solidFill>
                          <a:schemeClr val="l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447D1C" id="PicSingle" o:spid="_x0000_s1026" alt="Title: Cover Image - Description: Cover Image" style="position:absolute;margin-left:28.35pt;margin-top:185.4pt;width:538.6pt;height:374.1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" fillcolor="white [3201]" stroked="f" strokeweight="2pt">
                <w10:wrap anchorx="page" anchory="page"/>
                <w10:anchorlock/>
              </v:rect>
            </w:pict>
          </mc:Fallback>
        </mc:AlternateContent>
      </w:r>
      <w:r w:rsidR="005A2A5D" w:rsidRPr="007519FC">
        <w:rPr>
          <w:noProof/>
          <w:lang w:eastAsia="en-AU"/>
        </w:rPr>
        <mc:AlternateContent>
          <mc:Choice Requires="wps">
            <w:drawing>
              <wp:anchor distT="0" distB="0" distL="114300" distR="114300" simplePos="0" relativeHeight="251648512" behindDoc="1" locked="1" layoutInCell="1" allowOverlap="1" wp14:anchorId="20EF314D" wp14:editId="13432DF8">
                <wp:simplePos x="0" y="0"/>
                <wp:positionH relativeFrom="page">
                  <wp:posOffset>360045</wp:posOffset>
                </wp:positionH>
                <wp:positionV relativeFrom="page">
                  <wp:posOffset>360045</wp:posOffset>
                </wp:positionV>
                <wp:extent cx="6840000" cy="8744400"/>
                <wp:effectExtent l="0" t="0" r="0" b="0"/>
                <wp:wrapNone/>
                <wp:docPr id="4" name="CoverRectangle"/>
                <wp:cNvGraphicFramePr/>
                <a:graphic xmlns:a="http://schemas.openxmlformats.org/drawingml/2006/main">
                  <a:graphicData uri="http://schemas.microsoft.com/office/word/2010/wordprocessingShape">
                    <wps:wsp>
                      <wps:cNvSpPr/>
                      <wps:spPr>
                        <a:xfrm>
                          <a:off x="0" y="0"/>
                          <a:ext cx="6840000" cy="87444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43CD67" id="CoverRectangle" o:spid="_x0000_s1026" style="position:absolute;margin-left:28.35pt;margin-top:28.35pt;width:538.6pt;height:688.5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" fillcolor="#00b2a9 [3204]" stroked="f" strokeweight="2pt">
                <w10:wrap anchorx="page" anchory="page"/>
                <w10:anchorlock/>
              </v:rect>
            </w:pict>
          </mc:Fallback>
        </mc:AlternateContent>
      </w:r>
    </w:p>
    <w:p w14:paraId="5A189913" w14:textId="77777777" w:rsidR="00D73B6C" w:rsidRPr="007519FC" w:rsidRDefault="00D73B6C" w:rsidP="007519FC"/>
    <w:tbl>
      <w:tblPr>
        <w:tblStyle w:val="TableAsPlaceholder"/>
        <w:tblpPr w:leftFromText="181" w:rightFromText="181" w:vertAnchor="page" w:horzAnchor="margin" w:tblpXSpec="right" w:tblpY="681"/>
        <w:tblOverlap w:val="never"/>
        <w:tblW w:w="7369" w:type="dxa"/>
        <w:tblLayout w:type="fixed"/>
        <w:tblLook w:val="0600" w:firstRow="0" w:lastRow="0" w:firstColumn="0" w:lastColumn="0" w:noHBand="1" w:noVBand="1"/>
      </w:tblPr>
      <w:tblGrid>
        <w:gridCol w:w="7369"/>
      </w:tblGrid>
      <w:tr w:rsidR="00D73B6C" w:rsidRPr="007519FC" w14:paraId="1B530C50" w14:textId="77777777" w:rsidTr="159005E9">
        <w:trPr>
          <w:trHeight w:hRule="exact" w:val="2948"/>
        </w:trPr>
        <w:tc>
          <w:tcPr>
            <w:tcW w:w="7369" w:type="dxa"/>
            <w:vAlign w:val="center"/>
          </w:tcPr>
          <w:p w14:paraId="7CB558BF" w14:textId="17159051" w:rsidR="00CB1FB7" w:rsidRPr="007519FC" w:rsidRDefault="159005E9" w:rsidP="007519FC">
            <w:pPr>
              <w:pStyle w:val="Title"/>
              <w:ind w:left="567"/>
            </w:pPr>
            <w:r w:rsidRPr="007519FC">
              <w:rPr>
                <w:sz w:val="40"/>
                <w:szCs w:val="40"/>
              </w:rPr>
              <w:t xml:space="preserve">Benchmark Rating in Victorian Energy Upgrades </w:t>
            </w:r>
          </w:p>
          <w:p w14:paraId="541A9856" w14:textId="4DA6E45E" w:rsidR="00512DFB" w:rsidRPr="007519FC" w:rsidRDefault="159005E9" w:rsidP="007519FC">
            <w:pPr>
              <w:pStyle w:val="Subtitle"/>
            </w:pPr>
            <w:r w:rsidRPr="007519FC">
              <w:t>Specifications</w:t>
            </w:r>
          </w:p>
        </w:tc>
      </w:tr>
    </w:tbl>
    <w:p w14:paraId="5C0C1035" w14:textId="77777777" w:rsidR="00D73B6C" w:rsidRPr="007519FC" w:rsidRDefault="00D73B6C" w:rsidP="007519FC"/>
    <w:p w14:paraId="55D6B577" w14:textId="77777777" w:rsidR="00D73B6C" w:rsidRPr="007519FC" w:rsidRDefault="008F0B33" w:rsidP="007519FC">
      <w:r w:rsidRPr="007519FC">
        <w:rPr>
          <w:noProof/>
        </w:rPr>
        <mc:AlternateContent>
          <mc:Choice Requires="wps">
            <w:drawing>
              <wp:anchor distT="0" distB="0" distL="114300" distR="114300" simplePos="0" relativeHeight="251657728" behindDoc="0" locked="0" layoutInCell="1" allowOverlap="1" wp14:anchorId="13473227" wp14:editId="2D5BB858">
                <wp:simplePos x="0" y="0"/>
                <wp:positionH relativeFrom="page">
                  <wp:align>left</wp:align>
                </wp:positionH>
                <wp:positionV relativeFrom="page">
                  <wp:align>bottom</wp:align>
                </wp:positionV>
                <wp:extent cx="4714875" cy="986790"/>
                <wp:effectExtent l="0" t="0" r="0" b="0"/>
                <wp:wrapNone/>
                <wp:docPr id="17" name="CoverCoBranded" hidden="1" title="CoBranding Logos"/>
                <wp:cNvGraphicFramePr/>
                <a:graphic xmlns:a="http://schemas.openxmlformats.org/drawingml/2006/main">
                  <a:graphicData uri="http://schemas.microsoft.com/office/word/2010/wordprocessingShape">
                    <wps:wsp>
                      <wps:cNvSpPr txBox="1"/>
                      <wps:spPr>
                        <a:xfrm>
                          <a:off x="0" y="0"/>
                          <a:ext cx="4714875" cy="98679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263498" w:rsidRPr="00AB780B" w14:paraId="6A5F49EA" w14:textId="77777777" w:rsidTr="00AA4BE4">
                              <w:trPr>
                                <w:trHeight w:hRule="exact" w:val="964"/>
                                <w:tblCellSpacing w:w="71" w:type="dxa"/>
                              </w:trPr>
                              <w:tc>
                                <w:tcPr>
                                  <w:tcW w:w="1204" w:type="dxa"/>
                                  <w:vAlign w:val="bottom"/>
                                </w:tcPr>
                                <w:p w14:paraId="2BDACE13" w14:textId="77777777" w:rsidR="00263498" w:rsidRPr="00D55628" w:rsidRDefault="00263498"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263498" w:rsidRPr="00D55628" w:rsidRDefault="00263498"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263498" w:rsidRDefault="00263498"/>
                        </w:txbxContent>
                      </wps:txbx>
                      <wps:bodyPr rot="0" spcFirstLastPara="0" vertOverflow="overflow" horzOverflow="overflow" vert="horz" wrap="square" lIns="360000" tIns="0" rIns="91440" bIns="108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73227" id="CoverCoBranded" o:spid="_x0000_s1029" type="#_x0000_t202" alt="Title: CoBranding Logos" style="position:absolute;margin-left:0;margin-top:0;width:371.25pt;height:77.7pt;z-index:25165772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" fillcolor="white [3212]" stroked="f" strokeweight=".5pt">
                <v:textbox inset="10mm,0,,3mm">
                  <w:txbxContent>
                    <w:tbl>
                      <w:tblPr>
                        <w:tblStyle w:val="LogoPlaceholder"/>
                        <w:tblOverlap w:val="never"/>
                        <w:tblW w:w="0" w:type="auto"/>
                        <w:tblCellSpacing w:w="71" w:type="dxa"/>
                        <w:tblLayout w:type="fixed"/>
                        <w:tblLook w:val="04A0" w:firstRow="1" w:lastRow="0" w:firstColumn="1" w:lastColumn="0" w:noHBand="0" w:noVBand="1"/>
                      </w:tblPr>
                      <w:tblGrid>
                        <w:gridCol w:w="1417"/>
                        <w:gridCol w:w="3969"/>
                      </w:tblGrid>
                      <w:tr w:rsidR="00263498" w:rsidRPr="00AB780B" w14:paraId="6A5F49EA" w14:textId="77777777" w:rsidTr="00AA4BE4">
                        <w:trPr>
                          <w:trHeight w:hRule="exact" w:val="964"/>
                          <w:tblCellSpacing w:w="71" w:type="dxa"/>
                        </w:trPr>
                        <w:tc>
                          <w:tcPr>
                            <w:tcW w:w="1204" w:type="dxa"/>
                            <w:vAlign w:val="bottom"/>
                          </w:tcPr>
                          <w:p w14:paraId="2BDACE13" w14:textId="77777777" w:rsidR="00263498" w:rsidRPr="00D55628" w:rsidRDefault="00263498" w:rsidP="00D55628">
                            <w:r w:rsidRPr="00D55628">
                              <w:rPr>
                                <w:noProof/>
                              </w:rPr>
                              <w:drawing>
                                <wp:inline distT="0" distB="0" distL="0" distR="0" wp14:anchorId="54A898D4" wp14:editId="62FBD3BE">
                                  <wp:extent cx="762000" cy="513685"/>
                                  <wp:effectExtent l="0" t="0" r="0"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jpg"/>
                                          <pic:cNvPicPr/>
                                        </pic:nvPicPr>
                                        <pic:blipFill>
                                          <a:blip r:embed="rId14">
                                            <a:extLst>
                                              <a:ext uri="{28A0092B-C50C-407E-A947-70E740481C1C}">
                                                <a14:useLocalDpi xmlns:a14="http://schemas.microsoft.com/office/drawing/2010/main" val="0"/>
                                              </a:ext>
                                            </a:extLst>
                                          </a:blip>
                                          <a:stretch>
                                            <a:fillRect/>
                                          </a:stretch>
                                        </pic:blipFill>
                                        <pic:spPr>
                                          <a:xfrm>
                                            <a:off x="0" y="0"/>
                                            <a:ext cx="764540" cy="515397"/>
                                          </a:xfrm>
                                          <a:prstGeom prst="rect">
                                            <a:avLst/>
                                          </a:prstGeom>
                                        </pic:spPr>
                                      </pic:pic>
                                    </a:graphicData>
                                  </a:graphic>
                                </wp:inline>
                              </w:drawing>
                            </w:r>
                          </w:p>
                        </w:tc>
                        <w:tc>
                          <w:tcPr>
                            <w:tcW w:w="3756" w:type="dxa"/>
                            <w:vAlign w:val="bottom"/>
                          </w:tcPr>
                          <w:p w14:paraId="042068C0" w14:textId="77777777" w:rsidR="00263498" w:rsidRPr="00D55628" w:rsidRDefault="00263498" w:rsidP="00D55628">
                            <w:r w:rsidRPr="00D55628">
                              <w:rPr>
                                <w:noProof/>
                              </w:rPr>
                              <w:drawing>
                                <wp:inline distT="0" distB="0" distL="0" distR="0" wp14:anchorId="71F7168F" wp14:editId="2F29536D">
                                  <wp:extent cx="2011680" cy="542544"/>
                                  <wp:effectExtent l="0" t="0" r="762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brand logo2.jpg"/>
                                          <pic:cNvPicPr/>
                                        </pic:nvPicPr>
                                        <pic:blipFill>
                                          <a:blip r:embed="rId15">
                                            <a:extLst>
                                              <a:ext uri="{28A0092B-C50C-407E-A947-70E740481C1C}">
                                                <a14:useLocalDpi xmlns:a14="http://schemas.microsoft.com/office/drawing/2010/main" val="0"/>
                                              </a:ext>
                                            </a:extLst>
                                          </a:blip>
                                          <a:stretch>
                                            <a:fillRect/>
                                          </a:stretch>
                                        </pic:blipFill>
                                        <pic:spPr>
                                          <a:xfrm>
                                            <a:off x="0" y="0"/>
                                            <a:ext cx="2011680" cy="542544"/>
                                          </a:xfrm>
                                          <a:prstGeom prst="rect">
                                            <a:avLst/>
                                          </a:prstGeom>
                                        </pic:spPr>
                                      </pic:pic>
                                    </a:graphicData>
                                  </a:graphic>
                                </wp:inline>
                              </w:drawing>
                            </w:r>
                          </w:p>
                        </w:tc>
                      </w:tr>
                    </w:tbl>
                    <w:p w14:paraId="64A390BD" w14:textId="77777777" w:rsidR="00263498" w:rsidRDefault="00263498"/>
                  </w:txbxContent>
                </v:textbox>
                <w10:wrap anchorx="page" anchory="page"/>
              </v:shape>
            </w:pict>
          </mc:Fallback>
        </mc:AlternateContent>
      </w:r>
    </w:p>
    <w:p w14:paraId="28FC8BDF" w14:textId="77777777" w:rsidR="00D73B6C" w:rsidRPr="007519FC" w:rsidRDefault="00D73B6C" w:rsidP="007519FC">
      <w:pPr>
        <w:sectPr w:rsidR="00D73B6C" w:rsidRPr="007519FC" w:rsidSect="005E59CF">
          <w:headerReference w:type="default" r:id="rId16"/>
          <w:footerReference w:type="even" r:id="rId17"/>
          <w:footerReference w:type="default" r:id="rId18"/>
          <w:footerReference w:type="first" r:id="rId19"/>
          <w:pgSz w:w="11907" w:h="16840" w:code="9"/>
          <w:pgMar w:top="2268" w:right="1134" w:bottom="1134" w:left="1134" w:header="284" w:footer="284" w:gutter="0"/>
          <w:cols w:space="708"/>
          <w:titlePg/>
          <w:docGrid w:linePitch="360"/>
        </w:sectPr>
      </w:pPr>
    </w:p>
    <w:p w14:paraId="7B8EA43A" w14:textId="77777777" w:rsidR="003C4209" w:rsidRPr="007519FC" w:rsidRDefault="003C4209" w:rsidP="007519FC">
      <w:pPr>
        <w:pStyle w:val="xDisclaimerText"/>
      </w:pPr>
    </w:p>
    <w:p w14:paraId="2A3F4A72" w14:textId="77777777" w:rsidR="00BF162E" w:rsidRPr="007519FC" w:rsidRDefault="00BF162E" w:rsidP="007519FC">
      <w:pPr>
        <w:pStyle w:val="SmallBodyText"/>
      </w:pPr>
    </w:p>
    <w:tbl>
      <w:tblPr>
        <w:tblStyle w:val="TableAsPlaceholder"/>
        <w:tblpPr w:leftFromText="181" w:rightFromText="181" w:horzAnchor="margin" w:tblpYSpec="bottom"/>
        <w:tblOverlap w:val="never"/>
        <w:tblW w:w="5000" w:type="pct"/>
        <w:tblCellMar>
          <w:right w:w="57" w:type="dxa"/>
        </w:tblCellMar>
        <w:tblLook w:val="0600" w:firstRow="0" w:lastRow="0" w:firstColumn="0" w:lastColumn="0" w:noHBand="1" w:noVBand="1"/>
        <w:tblCaption w:val="Creative Commons Logo"/>
        <w:tblDescription w:val="Creative Commons Logo"/>
      </w:tblPr>
      <w:tblGrid>
        <w:gridCol w:w="9639"/>
      </w:tblGrid>
      <w:tr w:rsidR="00C30D8E" w:rsidRPr="007519FC" w14:paraId="09492CDF" w14:textId="77777777" w:rsidTr="159005E9">
        <w:tc>
          <w:tcPr>
            <w:tcW w:w="5000" w:type="pct"/>
            <w:vAlign w:val="bottom"/>
          </w:tcPr>
          <w:p w14:paraId="5917B72D" w14:textId="67407B29" w:rsidR="00AE3298" w:rsidRPr="007519FC" w:rsidRDefault="159005E9" w:rsidP="007519FC">
            <w:pPr>
              <w:pStyle w:val="xDisclaimertext3"/>
            </w:pPr>
            <w:r w:rsidRPr="007519FC">
              <w:t>© The State of Victoria Department of Environment, Land, Water and Planning 201</w:t>
            </w:r>
            <w:r w:rsidR="004F366B" w:rsidRPr="007519FC">
              <w:t>8</w:t>
            </w:r>
          </w:p>
          <w:p w14:paraId="7DDB2949" w14:textId="77777777" w:rsidR="00AE3298" w:rsidRPr="007519FC" w:rsidRDefault="00AE3298" w:rsidP="007519FC">
            <w:pPr>
              <w:pStyle w:val="xDisclaimertext3"/>
            </w:pPr>
            <w:r w:rsidRPr="007519FC">
              <w:rPr>
                <w:noProof/>
              </w:rPr>
              <w:drawing>
                <wp:inline distT="0" distB="0" distL="0" distR="0" wp14:anchorId="32BBC7F5" wp14:editId="68F2E07C">
                  <wp:extent cx="658800" cy="237600"/>
                  <wp:effectExtent l="0" t="0" r="8255" b="0"/>
                  <wp:docPr id="18" name="CC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0">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inline>
              </w:drawing>
            </w:r>
            <w:bookmarkStart w:id="1" w:name="_CreativeCommonsMarker"/>
            <w:bookmarkEnd w:id="1"/>
          </w:p>
          <w:p w14:paraId="5BCBE3F5" w14:textId="77777777" w:rsidR="00AE3298" w:rsidRPr="007519FC" w:rsidRDefault="159005E9" w:rsidP="007519FC">
            <w:pPr>
              <w:pStyle w:val="xDisclaimertext3"/>
            </w:pPr>
            <w:r w:rsidRPr="007519FC">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w:t>
            </w:r>
            <w:hyperlink r:id="rId21">
              <w:r w:rsidRPr="007519FC">
                <w:t>http://creativecommons.org/licenses/by/4.0/</w:t>
              </w:r>
            </w:hyperlink>
            <w:r w:rsidRPr="007519FC">
              <w:t xml:space="preserve"> </w:t>
            </w:r>
          </w:p>
          <w:p w14:paraId="37F51362" w14:textId="77777777" w:rsidR="00187A24" w:rsidRPr="007519FC" w:rsidRDefault="159005E9" w:rsidP="007519FC">
            <w:pPr>
              <w:pStyle w:val="xDisclaimerHeading"/>
            </w:pPr>
            <w:r w:rsidRPr="007519FC">
              <w:t>Disclaimer</w:t>
            </w:r>
          </w:p>
          <w:p w14:paraId="4FF56739" w14:textId="77777777" w:rsidR="00187A24" w:rsidRPr="007519FC" w:rsidRDefault="159005E9" w:rsidP="007519FC">
            <w:pPr>
              <w:pStyle w:val="xDisclaimerText"/>
            </w:pPr>
            <w:r w:rsidRPr="007519FC">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1485E0A2" w14:textId="77777777" w:rsidR="00AE3298" w:rsidRPr="007519FC" w:rsidRDefault="159005E9" w:rsidP="007519FC">
            <w:pPr>
              <w:pStyle w:val="xAccessibilityHeading"/>
            </w:pPr>
            <w:r w:rsidRPr="007519FC">
              <w:t>Accessibility</w:t>
            </w:r>
          </w:p>
          <w:p w14:paraId="6F07620B" w14:textId="58DC45A3" w:rsidR="004D2591" w:rsidRPr="007519FC" w:rsidRDefault="159005E9" w:rsidP="007519FC">
            <w:pPr>
              <w:pStyle w:val="xAccessibilityText"/>
            </w:pPr>
            <w:r w:rsidRPr="007519FC">
              <w:t xml:space="preserve">If you would like to receive this publication in an alternative format, please telephone the DELWP Customer Service Centre on 136186, email </w:t>
            </w:r>
            <w:hyperlink r:id="rId22">
              <w:r w:rsidRPr="007519FC">
                <w:rPr>
                  <w:rStyle w:val="Hyperlink"/>
                </w:rPr>
                <w:t>energy.upgrades@delwp.vic.gov.au</w:t>
              </w:r>
            </w:hyperlink>
            <w:r w:rsidRPr="007519FC">
              <w:t xml:space="preserve"> or via the National Relay Service on 133 677 </w:t>
            </w:r>
            <w:hyperlink r:id="rId23">
              <w:r w:rsidRPr="007519FC">
                <w:t>www.relayservice.com.au</w:t>
              </w:r>
            </w:hyperlink>
            <w:r w:rsidRPr="007519FC">
              <w:t xml:space="preserve">. This document is also available on the internet at </w:t>
            </w:r>
            <w:hyperlink r:id="rId24" w:history="1">
              <w:r w:rsidR="00522C66" w:rsidRPr="000279E8">
                <w:rPr>
                  <w:rStyle w:val="Hyperlink"/>
                </w:rPr>
                <w:t>https://www.energy.vic.gov.au/energy-efficiency/victorian-energy-upgrades</w:t>
              </w:r>
            </w:hyperlink>
            <w:r w:rsidR="00522C66">
              <w:t xml:space="preserve"> </w:t>
            </w:r>
          </w:p>
        </w:tc>
      </w:tr>
    </w:tbl>
    <w:p w14:paraId="574B17A4" w14:textId="77777777" w:rsidR="00AB780B" w:rsidRPr="007519FC" w:rsidRDefault="00AB780B" w:rsidP="007519FC"/>
    <w:p w14:paraId="76D6C3FE" w14:textId="77777777" w:rsidR="004561E6" w:rsidRPr="007519FC" w:rsidRDefault="004561E6" w:rsidP="007519FC">
      <w:pPr>
        <w:sectPr w:rsidR="004561E6" w:rsidRPr="007519FC" w:rsidSect="005E59CF">
          <w:headerReference w:type="even" r:id="rId25"/>
          <w:footerReference w:type="even" r:id="rId26"/>
          <w:headerReference w:type="first" r:id="rId27"/>
          <w:footerReference w:type="first" r:id="rId28"/>
          <w:pgSz w:w="11907" w:h="16840" w:code="9"/>
          <w:pgMar w:top="2268" w:right="1134" w:bottom="1134" w:left="1134" w:header="284" w:footer="284" w:gutter="0"/>
          <w:cols w:space="708"/>
          <w:titlePg/>
          <w:docGrid w:linePitch="360"/>
        </w:sectPr>
      </w:pPr>
    </w:p>
    <w:p w14:paraId="2829EA2D" w14:textId="77777777" w:rsidR="00004237" w:rsidRPr="007519FC" w:rsidRDefault="159005E9" w:rsidP="007519FC">
      <w:pPr>
        <w:pStyle w:val="TOCHeading"/>
        <w:framePr w:wrap="around"/>
      </w:pPr>
      <w:r w:rsidRPr="007519FC">
        <w:lastRenderedPageBreak/>
        <w:t>Contents</w:t>
      </w:r>
      <w:bookmarkStart w:id="2" w:name="_TOCMarker"/>
      <w:bookmarkEnd w:id="2"/>
    </w:p>
    <w:p w14:paraId="05AD7DEF" w14:textId="64F56EFA" w:rsidR="008B7329" w:rsidRPr="007519FC" w:rsidRDefault="001F5D92" w:rsidP="007519FC">
      <w:pPr>
        <w:pStyle w:val="TOC1"/>
        <w:rPr>
          <w:rFonts w:eastAsiaTheme="minorEastAsia" w:cstheme="minorBidi"/>
          <w:b w:val="0"/>
          <w:color w:val="auto"/>
          <w:sz w:val="22"/>
          <w:szCs w:val="22"/>
        </w:rPr>
      </w:pPr>
      <w:r w:rsidRPr="007519FC">
        <w:fldChar w:fldCharType="begin"/>
      </w:r>
      <w:r w:rsidRPr="007519FC">
        <w:instrText xml:space="preserve"> TOC \o "1-</w:instrText>
      </w:r>
      <w:r w:rsidR="00BE0BEA" w:rsidRPr="007519FC">
        <w:instrText>3</w:instrText>
      </w:r>
      <w:r w:rsidRPr="007519FC">
        <w:instrText xml:space="preserve">" \h \z \t "Heading 8,8,Section Heading,5" </w:instrText>
      </w:r>
      <w:r w:rsidRPr="007519FC">
        <w:fldChar w:fldCharType="separate"/>
      </w:r>
      <w:hyperlink w:anchor="_Toc506976365" w:history="1">
        <w:r w:rsidR="008B7329" w:rsidRPr="007519FC">
          <w:rPr>
            <w:rStyle w:val="Hyperlink"/>
          </w:rPr>
          <w:t>Introduction</w:t>
        </w:r>
        <w:r w:rsidR="008B7329" w:rsidRPr="007519FC">
          <w:rPr>
            <w:webHidden/>
          </w:rPr>
          <w:tab/>
        </w:r>
        <w:r w:rsidR="008B7329" w:rsidRPr="007519FC">
          <w:rPr>
            <w:webHidden/>
          </w:rPr>
          <w:fldChar w:fldCharType="begin"/>
        </w:r>
        <w:r w:rsidR="008B7329" w:rsidRPr="007519FC">
          <w:rPr>
            <w:webHidden/>
          </w:rPr>
          <w:instrText xml:space="preserve"> PAGEREF _Toc506976365 \h </w:instrText>
        </w:r>
        <w:r w:rsidR="008B7329" w:rsidRPr="007519FC">
          <w:rPr>
            <w:webHidden/>
          </w:rPr>
        </w:r>
        <w:r w:rsidR="008B7329" w:rsidRPr="007519FC">
          <w:rPr>
            <w:webHidden/>
          </w:rPr>
          <w:fldChar w:fldCharType="separate"/>
        </w:r>
        <w:r w:rsidR="007010FE">
          <w:rPr>
            <w:webHidden/>
          </w:rPr>
          <w:t>2</w:t>
        </w:r>
        <w:r w:rsidR="008B7329" w:rsidRPr="007519FC">
          <w:rPr>
            <w:webHidden/>
          </w:rPr>
          <w:fldChar w:fldCharType="end"/>
        </w:r>
      </w:hyperlink>
    </w:p>
    <w:p w14:paraId="6BC4DF96" w14:textId="6C178058" w:rsidR="008B7329" w:rsidRPr="007519FC" w:rsidRDefault="00A95E64" w:rsidP="007519FC">
      <w:pPr>
        <w:pStyle w:val="TOC2"/>
        <w:rPr>
          <w:rFonts w:eastAsiaTheme="minorEastAsia" w:cstheme="minorBidi"/>
          <w:b w:val="0"/>
          <w:color w:val="auto"/>
          <w:sz w:val="22"/>
          <w:szCs w:val="22"/>
        </w:rPr>
      </w:pPr>
      <w:hyperlink w:anchor="_Toc506976366" w:history="1">
        <w:r w:rsidR="008B7329" w:rsidRPr="007519FC">
          <w:rPr>
            <w:rStyle w:val="Hyperlink"/>
          </w:rPr>
          <w:t>Purpose</w:t>
        </w:r>
        <w:r w:rsidR="008B7329" w:rsidRPr="007519FC">
          <w:rPr>
            <w:webHidden/>
          </w:rPr>
          <w:tab/>
        </w:r>
        <w:r w:rsidR="008B7329" w:rsidRPr="007519FC">
          <w:rPr>
            <w:webHidden/>
          </w:rPr>
          <w:fldChar w:fldCharType="begin"/>
        </w:r>
        <w:r w:rsidR="008B7329" w:rsidRPr="007519FC">
          <w:rPr>
            <w:webHidden/>
          </w:rPr>
          <w:instrText xml:space="preserve"> PAGEREF _Toc506976366 \h </w:instrText>
        </w:r>
        <w:r w:rsidR="008B7329" w:rsidRPr="007519FC">
          <w:rPr>
            <w:webHidden/>
          </w:rPr>
        </w:r>
        <w:r w:rsidR="008B7329" w:rsidRPr="007519FC">
          <w:rPr>
            <w:webHidden/>
          </w:rPr>
          <w:fldChar w:fldCharType="separate"/>
        </w:r>
        <w:r w:rsidR="007010FE">
          <w:rPr>
            <w:webHidden/>
          </w:rPr>
          <w:t>2</w:t>
        </w:r>
        <w:r w:rsidR="008B7329" w:rsidRPr="007519FC">
          <w:rPr>
            <w:webHidden/>
          </w:rPr>
          <w:fldChar w:fldCharType="end"/>
        </w:r>
      </w:hyperlink>
    </w:p>
    <w:p w14:paraId="7AC26C4F" w14:textId="0E4E5DDF" w:rsidR="008B7329" w:rsidRPr="007519FC" w:rsidRDefault="00A95E64" w:rsidP="007519FC">
      <w:pPr>
        <w:pStyle w:val="TOC2"/>
        <w:rPr>
          <w:rFonts w:eastAsiaTheme="minorEastAsia" w:cstheme="minorBidi"/>
          <w:b w:val="0"/>
          <w:color w:val="auto"/>
          <w:sz w:val="22"/>
          <w:szCs w:val="22"/>
        </w:rPr>
      </w:pPr>
      <w:hyperlink w:anchor="_Toc506976367" w:history="1">
        <w:r w:rsidR="008B7329" w:rsidRPr="007519FC">
          <w:rPr>
            <w:rStyle w:val="Hyperlink"/>
          </w:rPr>
          <w:t>Legislation and responsibilities</w:t>
        </w:r>
        <w:r w:rsidR="008B7329" w:rsidRPr="007519FC">
          <w:rPr>
            <w:webHidden/>
          </w:rPr>
          <w:tab/>
        </w:r>
        <w:r w:rsidR="008B7329" w:rsidRPr="007519FC">
          <w:rPr>
            <w:webHidden/>
          </w:rPr>
          <w:fldChar w:fldCharType="begin"/>
        </w:r>
        <w:r w:rsidR="008B7329" w:rsidRPr="007519FC">
          <w:rPr>
            <w:webHidden/>
          </w:rPr>
          <w:instrText xml:space="preserve"> PAGEREF _Toc506976367 \h </w:instrText>
        </w:r>
        <w:r w:rsidR="008B7329" w:rsidRPr="007519FC">
          <w:rPr>
            <w:webHidden/>
          </w:rPr>
        </w:r>
        <w:r w:rsidR="008B7329" w:rsidRPr="007519FC">
          <w:rPr>
            <w:webHidden/>
          </w:rPr>
          <w:fldChar w:fldCharType="separate"/>
        </w:r>
        <w:r w:rsidR="007010FE">
          <w:rPr>
            <w:webHidden/>
          </w:rPr>
          <w:t>2</w:t>
        </w:r>
        <w:r w:rsidR="008B7329" w:rsidRPr="007519FC">
          <w:rPr>
            <w:webHidden/>
          </w:rPr>
          <w:fldChar w:fldCharType="end"/>
        </w:r>
      </w:hyperlink>
    </w:p>
    <w:p w14:paraId="0FC2056B" w14:textId="50026FDC" w:rsidR="008B7329" w:rsidRPr="007519FC" w:rsidRDefault="00A95E64" w:rsidP="007519FC">
      <w:pPr>
        <w:pStyle w:val="TOC2"/>
        <w:rPr>
          <w:rFonts w:eastAsiaTheme="minorEastAsia" w:cstheme="minorBidi"/>
          <w:b w:val="0"/>
          <w:color w:val="auto"/>
          <w:sz w:val="22"/>
          <w:szCs w:val="22"/>
        </w:rPr>
      </w:pPr>
      <w:hyperlink w:anchor="_Toc506976368" w:history="1">
        <w:r w:rsidR="008B7329" w:rsidRPr="007519FC">
          <w:rPr>
            <w:rStyle w:val="Hyperlink"/>
          </w:rPr>
          <w:t>Using this document</w:t>
        </w:r>
        <w:r w:rsidR="008B7329" w:rsidRPr="007519FC">
          <w:rPr>
            <w:webHidden/>
          </w:rPr>
          <w:tab/>
        </w:r>
        <w:r w:rsidR="008B7329" w:rsidRPr="007519FC">
          <w:rPr>
            <w:webHidden/>
          </w:rPr>
          <w:fldChar w:fldCharType="begin"/>
        </w:r>
        <w:r w:rsidR="008B7329" w:rsidRPr="007519FC">
          <w:rPr>
            <w:webHidden/>
          </w:rPr>
          <w:instrText xml:space="preserve"> PAGEREF _Toc506976368 \h </w:instrText>
        </w:r>
        <w:r w:rsidR="008B7329" w:rsidRPr="007519FC">
          <w:rPr>
            <w:webHidden/>
          </w:rPr>
        </w:r>
        <w:r w:rsidR="008B7329" w:rsidRPr="007519FC">
          <w:rPr>
            <w:webHidden/>
          </w:rPr>
          <w:fldChar w:fldCharType="separate"/>
        </w:r>
        <w:r w:rsidR="007010FE">
          <w:rPr>
            <w:webHidden/>
          </w:rPr>
          <w:t>2</w:t>
        </w:r>
        <w:r w:rsidR="008B7329" w:rsidRPr="007519FC">
          <w:rPr>
            <w:webHidden/>
          </w:rPr>
          <w:fldChar w:fldCharType="end"/>
        </w:r>
      </w:hyperlink>
    </w:p>
    <w:p w14:paraId="215690F2" w14:textId="3A09B7F9" w:rsidR="008B7329" w:rsidRPr="007519FC" w:rsidRDefault="00A95E64" w:rsidP="007519FC">
      <w:pPr>
        <w:pStyle w:val="TOC1"/>
        <w:rPr>
          <w:rFonts w:eastAsiaTheme="minorEastAsia" w:cstheme="minorBidi"/>
          <w:b w:val="0"/>
          <w:color w:val="auto"/>
          <w:sz w:val="22"/>
          <w:szCs w:val="22"/>
        </w:rPr>
      </w:pPr>
      <w:hyperlink w:anchor="_Toc506976369" w:history="1">
        <w:r w:rsidR="008B7329" w:rsidRPr="007519FC">
          <w:rPr>
            <w:rStyle w:val="Hyperlink"/>
          </w:rPr>
          <w:t>Information to be provided</w:t>
        </w:r>
        <w:r w:rsidR="008B7329" w:rsidRPr="007519FC">
          <w:rPr>
            <w:webHidden/>
          </w:rPr>
          <w:tab/>
        </w:r>
        <w:r w:rsidR="008B7329" w:rsidRPr="007519FC">
          <w:rPr>
            <w:webHidden/>
          </w:rPr>
          <w:fldChar w:fldCharType="begin"/>
        </w:r>
        <w:r w:rsidR="008B7329" w:rsidRPr="007519FC">
          <w:rPr>
            <w:webHidden/>
          </w:rPr>
          <w:instrText xml:space="preserve"> PAGEREF _Toc506976369 \h </w:instrText>
        </w:r>
        <w:r w:rsidR="008B7329" w:rsidRPr="007519FC">
          <w:rPr>
            <w:webHidden/>
          </w:rPr>
        </w:r>
        <w:r w:rsidR="008B7329" w:rsidRPr="007519FC">
          <w:rPr>
            <w:webHidden/>
          </w:rPr>
          <w:fldChar w:fldCharType="separate"/>
        </w:r>
        <w:r w:rsidR="007010FE">
          <w:rPr>
            <w:webHidden/>
          </w:rPr>
          <w:t>3</w:t>
        </w:r>
        <w:r w:rsidR="008B7329" w:rsidRPr="007519FC">
          <w:rPr>
            <w:webHidden/>
          </w:rPr>
          <w:fldChar w:fldCharType="end"/>
        </w:r>
      </w:hyperlink>
    </w:p>
    <w:p w14:paraId="11035ACD" w14:textId="3526A7D6" w:rsidR="008B7329" w:rsidRPr="007519FC" w:rsidRDefault="00A95E64" w:rsidP="007519FC">
      <w:pPr>
        <w:pStyle w:val="TOC2"/>
        <w:rPr>
          <w:rFonts w:eastAsiaTheme="minorEastAsia" w:cstheme="minorBidi"/>
          <w:b w:val="0"/>
          <w:color w:val="auto"/>
          <w:sz w:val="22"/>
          <w:szCs w:val="22"/>
        </w:rPr>
      </w:pPr>
      <w:hyperlink w:anchor="_Toc506976370" w:history="1">
        <w:r w:rsidR="008B7329" w:rsidRPr="007519FC">
          <w:rPr>
            <w:rStyle w:val="Hyperlink"/>
          </w:rPr>
          <w:t>Information to be provided in an application for scoping approval</w:t>
        </w:r>
        <w:r w:rsidR="008B7329" w:rsidRPr="007519FC">
          <w:rPr>
            <w:webHidden/>
          </w:rPr>
          <w:tab/>
        </w:r>
        <w:r w:rsidR="008B7329" w:rsidRPr="007519FC">
          <w:rPr>
            <w:webHidden/>
          </w:rPr>
          <w:fldChar w:fldCharType="begin"/>
        </w:r>
        <w:r w:rsidR="008B7329" w:rsidRPr="007519FC">
          <w:rPr>
            <w:webHidden/>
          </w:rPr>
          <w:instrText xml:space="preserve"> PAGEREF _Toc506976370 \h </w:instrText>
        </w:r>
        <w:r w:rsidR="008B7329" w:rsidRPr="007519FC">
          <w:rPr>
            <w:webHidden/>
          </w:rPr>
        </w:r>
        <w:r w:rsidR="008B7329" w:rsidRPr="007519FC">
          <w:rPr>
            <w:webHidden/>
          </w:rPr>
          <w:fldChar w:fldCharType="separate"/>
        </w:r>
        <w:r w:rsidR="007010FE">
          <w:rPr>
            <w:webHidden/>
          </w:rPr>
          <w:t>3</w:t>
        </w:r>
        <w:r w:rsidR="008B7329" w:rsidRPr="007519FC">
          <w:rPr>
            <w:webHidden/>
          </w:rPr>
          <w:fldChar w:fldCharType="end"/>
        </w:r>
      </w:hyperlink>
    </w:p>
    <w:p w14:paraId="48BF1781" w14:textId="7ED313A6" w:rsidR="008B7329" w:rsidRPr="007519FC" w:rsidRDefault="00A95E64" w:rsidP="007519FC">
      <w:pPr>
        <w:pStyle w:val="TOC2"/>
        <w:rPr>
          <w:rFonts w:eastAsiaTheme="minorEastAsia" w:cstheme="minorBidi"/>
          <w:b w:val="0"/>
          <w:color w:val="auto"/>
          <w:sz w:val="22"/>
          <w:szCs w:val="22"/>
        </w:rPr>
      </w:pPr>
      <w:hyperlink w:anchor="_Toc506976371" w:history="1">
        <w:r w:rsidR="008B7329" w:rsidRPr="007519FC">
          <w:rPr>
            <w:rStyle w:val="Hyperlink"/>
          </w:rPr>
          <w:t>Information to be provided in an application for approval of a project impact report</w:t>
        </w:r>
        <w:r w:rsidR="008B7329" w:rsidRPr="007519FC">
          <w:rPr>
            <w:webHidden/>
          </w:rPr>
          <w:tab/>
        </w:r>
        <w:r w:rsidR="008B7329" w:rsidRPr="007519FC">
          <w:rPr>
            <w:webHidden/>
          </w:rPr>
          <w:fldChar w:fldCharType="begin"/>
        </w:r>
        <w:r w:rsidR="008B7329" w:rsidRPr="007519FC">
          <w:rPr>
            <w:webHidden/>
          </w:rPr>
          <w:instrText xml:space="preserve"> PAGEREF _Toc506976371 \h </w:instrText>
        </w:r>
        <w:r w:rsidR="008B7329" w:rsidRPr="007519FC">
          <w:rPr>
            <w:webHidden/>
          </w:rPr>
        </w:r>
        <w:r w:rsidR="008B7329" w:rsidRPr="007519FC">
          <w:rPr>
            <w:webHidden/>
          </w:rPr>
          <w:fldChar w:fldCharType="separate"/>
        </w:r>
        <w:r w:rsidR="007010FE">
          <w:rPr>
            <w:webHidden/>
          </w:rPr>
          <w:t>3</w:t>
        </w:r>
        <w:r w:rsidR="008B7329" w:rsidRPr="007519FC">
          <w:rPr>
            <w:webHidden/>
          </w:rPr>
          <w:fldChar w:fldCharType="end"/>
        </w:r>
      </w:hyperlink>
    </w:p>
    <w:p w14:paraId="65F59012" w14:textId="2B5CA990" w:rsidR="008B7329" w:rsidRPr="007519FC" w:rsidRDefault="00A95E64" w:rsidP="007519FC">
      <w:pPr>
        <w:pStyle w:val="TOC1"/>
        <w:rPr>
          <w:rFonts w:eastAsiaTheme="minorEastAsia" w:cstheme="minorBidi"/>
          <w:b w:val="0"/>
          <w:color w:val="auto"/>
          <w:sz w:val="22"/>
          <w:szCs w:val="22"/>
        </w:rPr>
      </w:pPr>
      <w:hyperlink w:anchor="_Toc506976372" w:history="1">
        <w:r w:rsidR="008B7329" w:rsidRPr="007519FC">
          <w:rPr>
            <w:rStyle w:val="Hyperlink"/>
          </w:rPr>
          <w:t>Methods</w:t>
        </w:r>
        <w:r w:rsidR="008B7329" w:rsidRPr="007519FC">
          <w:rPr>
            <w:webHidden/>
          </w:rPr>
          <w:tab/>
        </w:r>
        <w:r w:rsidR="008B7329" w:rsidRPr="007519FC">
          <w:rPr>
            <w:webHidden/>
          </w:rPr>
          <w:fldChar w:fldCharType="begin"/>
        </w:r>
        <w:r w:rsidR="008B7329" w:rsidRPr="007519FC">
          <w:rPr>
            <w:webHidden/>
          </w:rPr>
          <w:instrText xml:space="preserve"> PAGEREF _Toc506976372 \h </w:instrText>
        </w:r>
        <w:r w:rsidR="008B7329" w:rsidRPr="007519FC">
          <w:rPr>
            <w:webHidden/>
          </w:rPr>
        </w:r>
        <w:r w:rsidR="008B7329" w:rsidRPr="007519FC">
          <w:rPr>
            <w:webHidden/>
          </w:rPr>
          <w:fldChar w:fldCharType="separate"/>
        </w:r>
        <w:r w:rsidR="007010FE">
          <w:rPr>
            <w:webHidden/>
          </w:rPr>
          <w:t>3</w:t>
        </w:r>
        <w:r w:rsidR="008B7329" w:rsidRPr="007519FC">
          <w:rPr>
            <w:webHidden/>
          </w:rPr>
          <w:fldChar w:fldCharType="end"/>
        </w:r>
      </w:hyperlink>
    </w:p>
    <w:p w14:paraId="18A4E513" w14:textId="1D299676" w:rsidR="008B7329" w:rsidRPr="007519FC" w:rsidRDefault="00A95E64" w:rsidP="007519FC">
      <w:pPr>
        <w:pStyle w:val="TOC2"/>
        <w:rPr>
          <w:rFonts w:eastAsiaTheme="minorEastAsia" w:cstheme="minorBidi"/>
          <w:b w:val="0"/>
          <w:color w:val="auto"/>
          <w:sz w:val="22"/>
          <w:szCs w:val="22"/>
        </w:rPr>
      </w:pPr>
      <w:hyperlink w:anchor="_Toc506976373" w:history="1">
        <w:r w:rsidR="008B7329" w:rsidRPr="007519FC">
          <w:rPr>
            <w:rStyle w:val="Hyperlink"/>
          </w:rPr>
          <w:t>Calculation of carbon dioxide equivalents of greenhouse gases</w:t>
        </w:r>
        <w:r w:rsidR="008B7329" w:rsidRPr="007519FC">
          <w:rPr>
            <w:webHidden/>
          </w:rPr>
          <w:tab/>
        </w:r>
        <w:r w:rsidR="008B7329" w:rsidRPr="007519FC">
          <w:rPr>
            <w:webHidden/>
          </w:rPr>
          <w:fldChar w:fldCharType="begin"/>
        </w:r>
        <w:r w:rsidR="008B7329" w:rsidRPr="007519FC">
          <w:rPr>
            <w:webHidden/>
          </w:rPr>
          <w:instrText xml:space="preserve"> PAGEREF _Toc506976373 \h </w:instrText>
        </w:r>
        <w:r w:rsidR="008B7329" w:rsidRPr="007519FC">
          <w:rPr>
            <w:webHidden/>
          </w:rPr>
        </w:r>
        <w:r w:rsidR="008B7329" w:rsidRPr="007519FC">
          <w:rPr>
            <w:webHidden/>
          </w:rPr>
          <w:fldChar w:fldCharType="separate"/>
        </w:r>
        <w:r w:rsidR="007010FE">
          <w:rPr>
            <w:webHidden/>
          </w:rPr>
          <w:t>3</w:t>
        </w:r>
        <w:r w:rsidR="008B7329" w:rsidRPr="007519FC">
          <w:rPr>
            <w:webHidden/>
          </w:rPr>
          <w:fldChar w:fldCharType="end"/>
        </w:r>
      </w:hyperlink>
    </w:p>
    <w:p w14:paraId="08F4B7E9" w14:textId="7A7368E1" w:rsidR="008B7329" w:rsidRPr="007519FC" w:rsidRDefault="00A95E64" w:rsidP="007519FC">
      <w:pPr>
        <w:pStyle w:val="TOC2"/>
        <w:rPr>
          <w:rFonts w:eastAsiaTheme="minorEastAsia" w:cstheme="minorBidi"/>
          <w:b w:val="0"/>
          <w:color w:val="auto"/>
          <w:sz w:val="22"/>
          <w:szCs w:val="22"/>
        </w:rPr>
      </w:pPr>
      <w:hyperlink w:anchor="_Toc506976374" w:history="1">
        <w:r w:rsidR="008B7329" w:rsidRPr="007519FC">
          <w:rPr>
            <w:rStyle w:val="Hyperlink"/>
          </w:rPr>
          <w:t>Equation 1 – Carbon dioxide equivalent to be reduced</w:t>
        </w:r>
        <w:r w:rsidR="008B7329" w:rsidRPr="007519FC">
          <w:rPr>
            <w:webHidden/>
          </w:rPr>
          <w:tab/>
        </w:r>
        <w:r w:rsidR="008B7329" w:rsidRPr="007519FC">
          <w:rPr>
            <w:webHidden/>
          </w:rPr>
          <w:fldChar w:fldCharType="begin"/>
        </w:r>
        <w:r w:rsidR="008B7329" w:rsidRPr="007519FC">
          <w:rPr>
            <w:webHidden/>
          </w:rPr>
          <w:instrText xml:space="preserve"> PAGEREF _Toc506976374 \h </w:instrText>
        </w:r>
        <w:r w:rsidR="008B7329" w:rsidRPr="007519FC">
          <w:rPr>
            <w:webHidden/>
          </w:rPr>
        </w:r>
        <w:r w:rsidR="008B7329" w:rsidRPr="007519FC">
          <w:rPr>
            <w:webHidden/>
          </w:rPr>
          <w:fldChar w:fldCharType="separate"/>
        </w:r>
        <w:r w:rsidR="007010FE">
          <w:rPr>
            <w:webHidden/>
          </w:rPr>
          <w:t>4</w:t>
        </w:r>
        <w:r w:rsidR="008B7329" w:rsidRPr="007519FC">
          <w:rPr>
            <w:webHidden/>
          </w:rPr>
          <w:fldChar w:fldCharType="end"/>
        </w:r>
      </w:hyperlink>
    </w:p>
    <w:p w14:paraId="2F402D5A" w14:textId="5ABDD20A" w:rsidR="008B7329" w:rsidRPr="007519FC" w:rsidRDefault="00A95E64" w:rsidP="007519FC">
      <w:pPr>
        <w:pStyle w:val="TOC2"/>
        <w:rPr>
          <w:rFonts w:eastAsiaTheme="minorEastAsia" w:cstheme="minorBidi"/>
          <w:b w:val="0"/>
          <w:color w:val="auto"/>
          <w:sz w:val="22"/>
          <w:szCs w:val="22"/>
        </w:rPr>
      </w:pPr>
      <w:hyperlink w:anchor="_Toc506976375" w:history="1">
        <w:r w:rsidR="008B7329" w:rsidRPr="007519FC">
          <w:rPr>
            <w:rStyle w:val="Hyperlink"/>
          </w:rPr>
          <w:t>Equation 2 – Energy savings</w:t>
        </w:r>
        <w:r w:rsidR="008B7329" w:rsidRPr="007519FC">
          <w:rPr>
            <w:webHidden/>
          </w:rPr>
          <w:tab/>
        </w:r>
        <w:r w:rsidR="008B7329" w:rsidRPr="007519FC">
          <w:rPr>
            <w:webHidden/>
          </w:rPr>
          <w:fldChar w:fldCharType="begin"/>
        </w:r>
        <w:r w:rsidR="008B7329" w:rsidRPr="007519FC">
          <w:rPr>
            <w:webHidden/>
          </w:rPr>
          <w:instrText xml:space="preserve"> PAGEREF _Toc506976375 \h </w:instrText>
        </w:r>
        <w:r w:rsidR="008B7329" w:rsidRPr="007519FC">
          <w:rPr>
            <w:webHidden/>
          </w:rPr>
        </w:r>
        <w:r w:rsidR="008B7329" w:rsidRPr="007519FC">
          <w:rPr>
            <w:webHidden/>
          </w:rPr>
          <w:fldChar w:fldCharType="separate"/>
        </w:r>
        <w:r w:rsidR="007010FE">
          <w:rPr>
            <w:webHidden/>
          </w:rPr>
          <w:t>4</w:t>
        </w:r>
        <w:r w:rsidR="008B7329" w:rsidRPr="007519FC">
          <w:rPr>
            <w:webHidden/>
          </w:rPr>
          <w:fldChar w:fldCharType="end"/>
        </w:r>
      </w:hyperlink>
    </w:p>
    <w:p w14:paraId="4C18A904" w14:textId="215D0D9B" w:rsidR="008B7329" w:rsidRPr="007519FC" w:rsidRDefault="00A95E64" w:rsidP="007519FC">
      <w:pPr>
        <w:pStyle w:val="TOC2"/>
        <w:rPr>
          <w:rFonts w:eastAsiaTheme="minorEastAsia" w:cstheme="minorBidi"/>
          <w:b w:val="0"/>
          <w:color w:val="auto"/>
          <w:sz w:val="22"/>
          <w:szCs w:val="22"/>
        </w:rPr>
      </w:pPr>
      <w:hyperlink w:anchor="_Toc506976376" w:history="1">
        <w:r w:rsidR="008B7329" w:rsidRPr="007519FC">
          <w:rPr>
            <w:rStyle w:val="Hyperlink"/>
          </w:rPr>
          <w:t>Equation 3 – Reporting energy consumption</w:t>
        </w:r>
        <w:r w:rsidR="008B7329" w:rsidRPr="007519FC">
          <w:rPr>
            <w:webHidden/>
          </w:rPr>
          <w:tab/>
        </w:r>
        <w:r w:rsidR="008B7329" w:rsidRPr="007519FC">
          <w:rPr>
            <w:webHidden/>
          </w:rPr>
          <w:fldChar w:fldCharType="begin"/>
        </w:r>
        <w:r w:rsidR="008B7329" w:rsidRPr="007519FC">
          <w:rPr>
            <w:webHidden/>
          </w:rPr>
          <w:instrText xml:space="preserve"> PAGEREF _Toc506976376 \h </w:instrText>
        </w:r>
        <w:r w:rsidR="008B7329" w:rsidRPr="007519FC">
          <w:rPr>
            <w:webHidden/>
          </w:rPr>
        </w:r>
        <w:r w:rsidR="008B7329" w:rsidRPr="007519FC">
          <w:rPr>
            <w:webHidden/>
          </w:rPr>
          <w:fldChar w:fldCharType="separate"/>
        </w:r>
        <w:r w:rsidR="007010FE">
          <w:rPr>
            <w:webHidden/>
          </w:rPr>
          <w:t>4</w:t>
        </w:r>
        <w:r w:rsidR="008B7329" w:rsidRPr="007519FC">
          <w:rPr>
            <w:webHidden/>
          </w:rPr>
          <w:fldChar w:fldCharType="end"/>
        </w:r>
      </w:hyperlink>
    </w:p>
    <w:p w14:paraId="6918D7B1" w14:textId="66B1C04C" w:rsidR="008B7329" w:rsidRPr="007519FC" w:rsidRDefault="00A95E64" w:rsidP="007519FC">
      <w:pPr>
        <w:pStyle w:val="TOC2"/>
        <w:rPr>
          <w:rFonts w:eastAsiaTheme="minorEastAsia" w:cstheme="minorBidi"/>
          <w:b w:val="0"/>
          <w:color w:val="auto"/>
          <w:sz w:val="22"/>
          <w:szCs w:val="22"/>
        </w:rPr>
      </w:pPr>
      <w:hyperlink w:anchor="_Toc506976377" w:history="1">
        <w:r w:rsidR="008B7329" w:rsidRPr="007519FC">
          <w:rPr>
            <w:rStyle w:val="Hyperlink"/>
          </w:rPr>
          <w:t>Equation 4 – Baseline energy consumption</w:t>
        </w:r>
        <w:r w:rsidR="008B7329" w:rsidRPr="007519FC">
          <w:rPr>
            <w:webHidden/>
          </w:rPr>
          <w:tab/>
        </w:r>
        <w:r w:rsidR="008B7329" w:rsidRPr="007519FC">
          <w:rPr>
            <w:webHidden/>
          </w:rPr>
          <w:fldChar w:fldCharType="begin"/>
        </w:r>
        <w:r w:rsidR="008B7329" w:rsidRPr="007519FC">
          <w:rPr>
            <w:webHidden/>
          </w:rPr>
          <w:instrText xml:space="preserve"> PAGEREF _Toc506976377 \h </w:instrText>
        </w:r>
        <w:r w:rsidR="008B7329" w:rsidRPr="007519FC">
          <w:rPr>
            <w:webHidden/>
          </w:rPr>
        </w:r>
        <w:r w:rsidR="008B7329" w:rsidRPr="007519FC">
          <w:rPr>
            <w:webHidden/>
          </w:rPr>
          <w:fldChar w:fldCharType="separate"/>
        </w:r>
        <w:r w:rsidR="007010FE">
          <w:rPr>
            <w:webHidden/>
          </w:rPr>
          <w:t>4</w:t>
        </w:r>
        <w:r w:rsidR="008B7329" w:rsidRPr="007519FC">
          <w:rPr>
            <w:webHidden/>
          </w:rPr>
          <w:fldChar w:fldCharType="end"/>
        </w:r>
      </w:hyperlink>
    </w:p>
    <w:p w14:paraId="791787F3" w14:textId="2C91252D" w:rsidR="008B7329" w:rsidRPr="007519FC" w:rsidRDefault="00A95E64" w:rsidP="007519FC">
      <w:pPr>
        <w:pStyle w:val="TOC2"/>
        <w:rPr>
          <w:rFonts w:eastAsiaTheme="minorEastAsia" w:cstheme="minorBidi"/>
          <w:b w:val="0"/>
          <w:color w:val="auto"/>
          <w:sz w:val="22"/>
          <w:szCs w:val="22"/>
        </w:rPr>
      </w:pPr>
      <w:hyperlink w:anchor="_Toc506976378" w:history="1">
        <w:r w:rsidR="008B7329" w:rsidRPr="007519FC">
          <w:rPr>
            <w:rStyle w:val="Hyperlink"/>
          </w:rPr>
          <w:t>Equation 5 – Benchmark factor</w:t>
        </w:r>
        <w:r w:rsidR="008B7329" w:rsidRPr="007519FC">
          <w:rPr>
            <w:webHidden/>
          </w:rPr>
          <w:tab/>
        </w:r>
        <w:r w:rsidR="008B7329" w:rsidRPr="007519FC">
          <w:rPr>
            <w:webHidden/>
          </w:rPr>
          <w:fldChar w:fldCharType="begin"/>
        </w:r>
        <w:r w:rsidR="008B7329" w:rsidRPr="007519FC">
          <w:rPr>
            <w:webHidden/>
          </w:rPr>
          <w:instrText xml:space="preserve"> PAGEREF _Toc506976378 \h </w:instrText>
        </w:r>
        <w:r w:rsidR="008B7329" w:rsidRPr="007519FC">
          <w:rPr>
            <w:webHidden/>
          </w:rPr>
        </w:r>
        <w:r w:rsidR="008B7329" w:rsidRPr="007519FC">
          <w:rPr>
            <w:webHidden/>
          </w:rPr>
          <w:fldChar w:fldCharType="separate"/>
        </w:r>
        <w:r w:rsidR="007010FE">
          <w:rPr>
            <w:webHidden/>
          </w:rPr>
          <w:t>5</w:t>
        </w:r>
        <w:r w:rsidR="008B7329" w:rsidRPr="007519FC">
          <w:rPr>
            <w:webHidden/>
          </w:rPr>
          <w:fldChar w:fldCharType="end"/>
        </w:r>
      </w:hyperlink>
    </w:p>
    <w:p w14:paraId="16C76FA3" w14:textId="1B62641A" w:rsidR="008B7329" w:rsidRPr="007519FC" w:rsidRDefault="00A95E64" w:rsidP="007519FC">
      <w:pPr>
        <w:pStyle w:val="TOC2"/>
        <w:rPr>
          <w:rFonts w:eastAsiaTheme="minorEastAsia" w:cstheme="minorBidi"/>
          <w:b w:val="0"/>
          <w:color w:val="auto"/>
          <w:sz w:val="22"/>
          <w:szCs w:val="22"/>
        </w:rPr>
      </w:pPr>
      <w:hyperlink w:anchor="_Toc506976379" w:history="1">
        <w:r w:rsidR="008B7329" w:rsidRPr="007519FC">
          <w:rPr>
            <w:rStyle w:val="Hyperlink"/>
          </w:rPr>
          <w:t>Time at which prescribed activity is undertaken and reduction in greenhouse gas emissions occurs</w:t>
        </w:r>
        <w:r w:rsidR="008B7329" w:rsidRPr="007519FC">
          <w:rPr>
            <w:webHidden/>
          </w:rPr>
          <w:tab/>
        </w:r>
        <w:r w:rsidR="008B7329" w:rsidRPr="007519FC">
          <w:rPr>
            <w:webHidden/>
          </w:rPr>
          <w:fldChar w:fldCharType="begin"/>
        </w:r>
        <w:r w:rsidR="008B7329" w:rsidRPr="007519FC">
          <w:rPr>
            <w:webHidden/>
          </w:rPr>
          <w:instrText xml:space="preserve"> PAGEREF _Toc506976379 \h </w:instrText>
        </w:r>
        <w:r w:rsidR="008B7329" w:rsidRPr="007519FC">
          <w:rPr>
            <w:webHidden/>
          </w:rPr>
        </w:r>
        <w:r w:rsidR="008B7329" w:rsidRPr="007519FC">
          <w:rPr>
            <w:webHidden/>
          </w:rPr>
          <w:fldChar w:fldCharType="separate"/>
        </w:r>
        <w:r w:rsidR="007010FE">
          <w:rPr>
            <w:webHidden/>
          </w:rPr>
          <w:t>5</w:t>
        </w:r>
        <w:r w:rsidR="008B7329" w:rsidRPr="007519FC">
          <w:rPr>
            <w:webHidden/>
          </w:rPr>
          <w:fldChar w:fldCharType="end"/>
        </w:r>
      </w:hyperlink>
    </w:p>
    <w:p w14:paraId="7C128B84" w14:textId="2AA49FD3" w:rsidR="008B7329" w:rsidRPr="007519FC" w:rsidRDefault="00A95E64" w:rsidP="007519FC">
      <w:pPr>
        <w:pStyle w:val="TOC1"/>
        <w:rPr>
          <w:rFonts w:eastAsiaTheme="minorEastAsia" w:cstheme="minorBidi"/>
          <w:b w:val="0"/>
          <w:color w:val="auto"/>
          <w:sz w:val="22"/>
          <w:szCs w:val="22"/>
        </w:rPr>
      </w:pPr>
      <w:hyperlink w:anchor="_Toc506976380" w:history="1">
        <w:r w:rsidR="008B7329" w:rsidRPr="007519FC">
          <w:rPr>
            <w:rStyle w:val="Hyperlink"/>
          </w:rPr>
          <w:t>Variables</w:t>
        </w:r>
        <w:r w:rsidR="008B7329" w:rsidRPr="007519FC">
          <w:rPr>
            <w:webHidden/>
          </w:rPr>
          <w:tab/>
        </w:r>
        <w:r w:rsidR="008B7329" w:rsidRPr="007519FC">
          <w:rPr>
            <w:webHidden/>
          </w:rPr>
          <w:fldChar w:fldCharType="begin"/>
        </w:r>
        <w:r w:rsidR="008B7329" w:rsidRPr="007519FC">
          <w:rPr>
            <w:webHidden/>
          </w:rPr>
          <w:instrText xml:space="preserve"> PAGEREF _Toc506976380 \h </w:instrText>
        </w:r>
        <w:r w:rsidR="008B7329" w:rsidRPr="007519FC">
          <w:rPr>
            <w:webHidden/>
          </w:rPr>
        </w:r>
        <w:r w:rsidR="008B7329" w:rsidRPr="007519FC">
          <w:rPr>
            <w:webHidden/>
          </w:rPr>
          <w:fldChar w:fldCharType="separate"/>
        </w:r>
        <w:r w:rsidR="007010FE">
          <w:rPr>
            <w:webHidden/>
          </w:rPr>
          <w:t>5</w:t>
        </w:r>
        <w:r w:rsidR="008B7329" w:rsidRPr="007519FC">
          <w:rPr>
            <w:webHidden/>
          </w:rPr>
          <w:fldChar w:fldCharType="end"/>
        </w:r>
      </w:hyperlink>
    </w:p>
    <w:p w14:paraId="6E7F35D8" w14:textId="3881D08B" w:rsidR="008B7329" w:rsidRPr="007519FC" w:rsidRDefault="00A95E64" w:rsidP="007519FC">
      <w:pPr>
        <w:pStyle w:val="TOC2"/>
        <w:rPr>
          <w:rFonts w:eastAsiaTheme="minorEastAsia" w:cstheme="minorBidi"/>
          <w:b w:val="0"/>
          <w:color w:val="auto"/>
          <w:sz w:val="22"/>
          <w:szCs w:val="22"/>
        </w:rPr>
      </w:pPr>
      <w:hyperlink w:anchor="_Toc506976381" w:history="1">
        <w:r w:rsidR="008B7329" w:rsidRPr="007519FC">
          <w:rPr>
            <w:rStyle w:val="Hyperlink"/>
          </w:rPr>
          <w:t>Terms</w:t>
        </w:r>
        <w:r w:rsidR="008B7329" w:rsidRPr="007519FC">
          <w:rPr>
            <w:webHidden/>
          </w:rPr>
          <w:tab/>
        </w:r>
        <w:r w:rsidR="008B7329" w:rsidRPr="007519FC">
          <w:rPr>
            <w:webHidden/>
          </w:rPr>
          <w:fldChar w:fldCharType="begin"/>
        </w:r>
        <w:r w:rsidR="008B7329" w:rsidRPr="007519FC">
          <w:rPr>
            <w:webHidden/>
          </w:rPr>
          <w:instrText xml:space="preserve"> PAGEREF _Toc506976381 \h </w:instrText>
        </w:r>
        <w:r w:rsidR="008B7329" w:rsidRPr="007519FC">
          <w:rPr>
            <w:webHidden/>
          </w:rPr>
        </w:r>
        <w:r w:rsidR="008B7329" w:rsidRPr="007519FC">
          <w:rPr>
            <w:webHidden/>
          </w:rPr>
          <w:fldChar w:fldCharType="separate"/>
        </w:r>
        <w:r w:rsidR="007010FE">
          <w:rPr>
            <w:webHidden/>
          </w:rPr>
          <w:t>5</w:t>
        </w:r>
        <w:r w:rsidR="008B7329" w:rsidRPr="007519FC">
          <w:rPr>
            <w:webHidden/>
          </w:rPr>
          <w:fldChar w:fldCharType="end"/>
        </w:r>
      </w:hyperlink>
    </w:p>
    <w:p w14:paraId="36D5C3A9" w14:textId="3C7C3FEF" w:rsidR="008F4D3D" w:rsidRPr="007519FC" w:rsidRDefault="001F5D92" w:rsidP="007519FC">
      <w:r w:rsidRPr="007519FC">
        <w:fldChar w:fldCharType="end"/>
      </w:r>
    </w:p>
    <w:p w14:paraId="41BFF94B" w14:textId="77777777" w:rsidR="00436277" w:rsidRPr="007519FC" w:rsidRDefault="00DB2F5C" w:rsidP="007519FC">
      <w:pPr>
        <w:sectPr w:rsidR="00436277" w:rsidRPr="007519FC" w:rsidSect="005E59CF">
          <w:headerReference w:type="even" r:id="rId29"/>
          <w:headerReference w:type="default" r:id="rId30"/>
          <w:footerReference w:type="even" r:id="rId31"/>
          <w:footerReference w:type="default" r:id="rId32"/>
          <w:pgSz w:w="11907" w:h="16840" w:code="9"/>
          <w:pgMar w:top="2268" w:right="1134" w:bottom="1134" w:left="1134" w:header="284" w:footer="284" w:gutter="0"/>
          <w:pgNumType w:start="1"/>
          <w:cols w:space="708"/>
          <w:docGrid w:linePitch="360"/>
        </w:sectPr>
      </w:pPr>
      <w:r w:rsidRPr="007519FC">
        <w:t xml:space="preserve"> </w:t>
      </w:r>
    </w:p>
    <w:p w14:paraId="7CCB9659" w14:textId="77777777" w:rsidR="00B83743" w:rsidRPr="007519FC" w:rsidRDefault="159005E9" w:rsidP="007519FC">
      <w:pPr>
        <w:pStyle w:val="Heading1"/>
      </w:pPr>
      <w:bookmarkStart w:id="3" w:name="_Toc506976365"/>
      <w:r w:rsidRPr="007519FC">
        <w:lastRenderedPageBreak/>
        <w:t>Introduction</w:t>
      </w:r>
      <w:bookmarkEnd w:id="3"/>
    </w:p>
    <w:p w14:paraId="2953C7F3" w14:textId="345465F4" w:rsidR="00321955" w:rsidRPr="007519FC" w:rsidRDefault="159005E9" w:rsidP="007519FC">
      <w:pPr>
        <w:pStyle w:val="IntroFeatureText"/>
      </w:pPr>
      <w:bookmarkStart w:id="4" w:name="_Hlk526333839"/>
      <w:r w:rsidRPr="007519FC">
        <w:t xml:space="preserve">The Benchmark Rating method provides </w:t>
      </w:r>
      <w:r w:rsidR="00584DF0" w:rsidRPr="007519FC">
        <w:t>methods and variables</w:t>
      </w:r>
      <w:r w:rsidRPr="007519FC">
        <w:t xml:space="preserve"> for project-based activities in the Victorian Energy Upgrades program.</w:t>
      </w:r>
      <w:r w:rsidR="00CD1A7D" w:rsidRPr="007519FC">
        <w:t xml:space="preserve"> These are contained within this document, the Benchmark Rating Specifications (the specifications). </w:t>
      </w:r>
    </w:p>
    <w:p w14:paraId="0E2A733F" w14:textId="77777777" w:rsidR="00321955" w:rsidRPr="007519FC" w:rsidRDefault="159005E9" w:rsidP="007519FC">
      <w:pPr>
        <w:pStyle w:val="Heading2"/>
        <w:spacing w:line="260" w:lineRule="exact"/>
      </w:pPr>
      <w:bookmarkStart w:id="5" w:name="_Toc506976366"/>
      <w:bookmarkEnd w:id="4"/>
      <w:r w:rsidRPr="007519FC">
        <w:t>Purpose</w:t>
      </w:r>
      <w:bookmarkEnd w:id="5"/>
    </w:p>
    <w:p w14:paraId="0D93F3AF" w14:textId="457FDEBB" w:rsidR="00DE046A" w:rsidRPr="007519FC" w:rsidRDefault="159005E9" w:rsidP="007519FC">
      <w:pPr>
        <w:pStyle w:val="BodyText"/>
      </w:pPr>
      <w:bookmarkStart w:id="6" w:name="_Hlk526333895"/>
      <w:r w:rsidRPr="007519FC">
        <w:t xml:space="preserve">This document sets out the specifications for calculating the carbon dioxide equivalent (in tonnes) of greenhouse gases </w:t>
      </w:r>
      <w:r w:rsidR="00CD1A7D" w:rsidRPr="007519FC">
        <w:t xml:space="preserve">using the Benchmark </w:t>
      </w:r>
      <w:r w:rsidR="00A82C61" w:rsidRPr="007519FC">
        <w:t>Rating</w:t>
      </w:r>
      <w:r w:rsidR="00CD1A7D" w:rsidRPr="007519FC">
        <w:t xml:space="preserve"> method </w:t>
      </w:r>
      <w:r w:rsidRPr="007519FC">
        <w:t xml:space="preserve">to be reduced by carrying out a prescribed activity.  </w:t>
      </w:r>
    </w:p>
    <w:p w14:paraId="7FF83219" w14:textId="77777777" w:rsidR="00321955" w:rsidRPr="007519FC" w:rsidRDefault="159005E9" w:rsidP="007519FC">
      <w:pPr>
        <w:pStyle w:val="Heading2"/>
      </w:pPr>
      <w:bookmarkStart w:id="7" w:name="_Toc506976367"/>
      <w:bookmarkEnd w:id="6"/>
      <w:r w:rsidRPr="007519FC">
        <w:t>Legislation and responsibilities</w:t>
      </w:r>
      <w:bookmarkEnd w:id="7"/>
    </w:p>
    <w:p w14:paraId="6FA6EBC1" w14:textId="3A9F7397" w:rsidR="00514B86" w:rsidRPr="007519FC" w:rsidRDefault="159005E9" w:rsidP="007519FC">
      <w:pPr>
        <w:pStyle w:val="BodyText"/>
      </w:pPr>
      <w:bookmarkStart w:id="8" w:name="_Hlk526333776"/>
      <w:r w:rsidRPr="007519FC">
        <w:t xml:space="preserve">The Victorian Energy Upgrades program is enabled by the Victorian Energy Efficiency Target (VEET) Act 2007, the Victorian Energy Efficiency Target Regulations </w:t>
      </w:r>
      <w:r w:rsidR="001E2EC7" w:rsidRPr="007519FC">
        <w:t>20</w:t>
      </w:r>
      <w:r w:rsidR="001E2EC7">
        <w:t>1</w:t>
      </w:r>
      <w:r w:rsidR="001E2EC7" w:rsidRPr="007519FC">
        <w:t xml:space="preserve">8 </w:t>
      </w:r>
      <w:r w:rsidR="00636680" w:rsidRPr="007519FC">
        <w:t xml:space="preserve">(the VEET Regulations </w:t>
      </w:r>
      <w:r w:rsidR="001E2EC7" w:rsidRPr="007519FC">
        <w:t>20</w:t>
      </w:r>
      <w:r w:rsidR="001E2EC7">
        <w:t>1</w:t>
      </w:r>
      <w:r w:rsidR="001E2EC7" w:rsidRPr="007519FC">
        <w:t>8</w:t>
      </w:r>
      <w:r w:rsidR="00636680" w:rsidRPr="007519FC">
        <w:t>)</w:t>
      </w:r>
      <w:r w:rsidRPr="007519FC">
        <w:t xml:space="preserve">, the Victorian Energy Efficiency Target (Project-Based Activities) Regulations 2017 (the </w:t>
      </w:r>
      <w:r w:rsidR="00636680" w:rsidRPr="007519FC">
        <w:t xml:space="preserve">VEET </w:t>
      </w:r>
      <w:r w:rsidRPr="007519FC">
        <w:t>PBA Regulations</w:t>
      </w:r>
      <w:r w:rsidR="00636680" w:rsidRPr="007519FC">
        <w:t xml:space="preserve"> 2017</w:t>
      </w:r>
      <w:r w:rsidRPr="007519FC">
        <w:t>) and the Victorian Energy Efficiency Target Guidelines (the Guidelines).</w:t>
      </w:r>
    </w:p>
    <w:bookmarkEnd w:id="8"/>
    <w:p w14:paraId="71AF42EC" w14:textId="292C88BC" w:rsidR="00872404" w:rsidRPr="007519FC" w:rsidRDefault="159005E9" w:rsidP="007519FC">
      <w:pPr>
        <w:pStyle w:val="BodyText"/>
      </w:pPr>
      <w:r w:rsidRPr="007519FC">
        <w:t xml:space="preserve">The Department of Environment, Land, Water and Planning (the department) supports the Minister in overseeing the Victorian Energy Upgrades legislation. </w:t>
      </w:r>
    </w:p>
    <w:p w14:paraId="6BA742A8" w14:textId="1D797B18" w:rsidR="00514B86" w:rsidRPr="007519FC" w:rsidRDefault="159005E9" w:rsidP="007519FC">
      <w:pPr>
        <w:pStyle w:val="BodyText"/>
      </w:pPr>
      <w:r w:rsidRPr="007519FC">
        <w:t xml:space="preserve">This document sets out the rules for defining the methods and variables to be used when </w:t>
      </w:r>
      <w:r w:rsidR="004771D9" w:rsidRPr="007519FC">
        <w:t>calculating the abatement of</w:t>
      </w:r>
      <w:r w:rsidRPr="007519FC">
        <w:t xml:space="preserve"> a prescribed activity using the Benchmark Rating method for the purpose set out in the PBA Regulations.</w:t>
      </w:r>
    </w:p>
    <w:p w14:paraId="0AB508AB" w14:textId="301F88B1" w:rsidR="00321955" w:rsidRPr="007519FC" w:rsidRDefault="159005E9" w:rsidP="007519FC">
      <w:pPr>
        <w:pStyle w:val="BodyText"/>
      </w:pPr>
      <w:r w:rsidRPr="007519FC">
        <w:t xml:space="preserve">The Essential Services Commission (ESC) is the administrator of the Victorian Energy Upgrades program and is responsible for the Guidelines. Participants must also comply with the ESC’s </w:t>
      </w:r>
      <w:r w:rsidR="00B51A54">
        <w:t>requirements</w:t>
      </w:r>
      <w:r w:rsidRPr="007519FC">
        <w:t xml:space="preserve">, which are published on their website at </w:t>
      </w:r>
      <w:hyperlink r:id="rId33">
        <w:r w:rsidRPr="007519FC">
          <w:rPr>
            <w:rStyle w:val="Hyperlink"/>
          </w:rPr>
          <w:t>http://veet.vic.gov.au</w:t>
        </w:r>
      </w:hyperlink>
      <w:r w:rsidRPr="007519FC">
        <w:t>.</w:t>
      </w:r>
    </w:p>
    <w:p w14:paraId="5E1A2F4F" w14:textId="1362ECD4" w:rsidR="008529C7" w:rsidRPr="007519FC" w:rsidRDefault="159005E9" w:rsidP="007519FC">
      <w:pPr>
        <w:pStyle w:val="BodyText"/>
      </w:pPr>
      <w:bookmarkStart w:id="9" w:name="_Hlk526334295"/>
      <w:r w:rsidRPr="007519FC">
        <w:t>This document should be read in conjunction with the Act, Regulations an</w:t>
      </w:r>
      <w:r w:rsidR="00742A8D" w:rsidRPr="007519FC">
        <w:t>d material published by the ESC</w:t>
      </w:r>
      <w:r w:rsidR="00E0630A" w:rsidRPr="007519FC">
        <w:t xml:space="preserve">. </w:t>
      </w:r>
    </w:p>
    <w:p w14:paraId="2D95C377" w14:textId="79B283B9" w:rsidR="00321955" w:rsidRPr="007519FC" w:rsidRDefault="159005E9" w:rsidP="007519FC">
      <w:pPr>
        <w:pStyle w:val="Heading2"/>
        <w:spacing w:line="260" w:lineRule="exact"/>
      </w:pPr>
      <w:bookmarkStart w:id="10" w:name="_Toc506976368"/>
      <w:bookmarkEnd w:id="9"/>
      <w:r w:rsidRPr="007519FC">
        <w:t>Using this document</w:t>
      </w:r>
      <w:bookmarkEnd w:id="10"/>
    </w:p>
    <w:p w14:paraId="657876EF" w14:textId="3EDD6857" w:rsidR="004A61F0" w:rsidRPr="007519FC" w:rsidRDefault="159005E9" w:rsidP="007519FC">
      <w:pPr>
        <w:pStyle w:val="BodyText"/>
      </w:pPr>
      <w:r w:rsidRPr="007519FC">
        <w:t xml:space="preserve">This document is divided into three </w:t>
      </w:r>
      <w:r w:rsidR="00E0630A" w:rsidRPr="007519FC">
        <w:t>parts</w:t>
      </w:r>
      <w:r w:rsidRPr="007519FC">
        <w:t xml:space="preserve">: </w:t>
      </w:r>
      <w:r w:rsidRPr="007519FC">
        <w:rPr>
          <w:b/>
          <w:bCs/>
          <w:color w:val="0072CE" w:themeColor="accent2"/>
        </w:rPr>
        <w:t>Information to be provided</w:t>
      </w:r>
      <w:r w:rsidRPr="007519FC">
        <w:t xml:space="preserve">, </w:t>
      </w:r>
      <w:r w:rsidRPr="007519FC">
        <w:rPr>
          <w:b/>
          <w:bCs/>
          <w:color w:val="0072CE" w:themeColor="accent2"/>
        </w:rPr>
        <w:t>Methods</w:t>
      </w:r>
      <w:r w:rsidRPr="007519FC">
        <w:t xml:space="preserve"> and </w:t>
      </w:r>
      <w:r w:rsidRPr="007519FC">
        <w:rPr>
          <w:b/>
          <w:bCs/>
          <w:color w:val="0072CE" w:themeColor="accent2"/>
        </w:rPr>
        <w:t>Variables</w:t>
      </w:r>
      <w:r w:rsidRPr="007519FC">
        <w:t>.</w:t>
      </w:r>
    </w:p>
    <w:p w14:paraId="59778C55" w14:textId="7F8C0D66" w:rsidR="00321955" w:rsidRPr="007519FC" w:rsidRDefault="159005E9" w:rsidP="007519FC">
      <w:pPr>
        <w:pStyle w:val="BodyText"/>
      </w:pPr>
      <w:r w:rsidRPr="007519FC">
        <w:rPr>
          <w:b/>
          <w:bCs/>
          <w:color w:val="0072CE" w:themeColor="accent2"/>
        </w:rPr>
        <w:t>Information to be provided</w:t>
      </w:r>
      <w:r w:rsidRPr="007519FC">
        <w:t xml:space="preserve"> lists information specific to benchmark rating which must be provided during the </w:t>
      </w:r>
      <w:r w:rsidR="00E0630A" w:rsidRPr="007519FC">
        <w:t xml:space="preserve">scoping </w:t>
      </w:r>
      <w:r w:rsidR="00A82C61" w:rsidRPr="007519FC">
        <w:t>approval</w:t>
      </w:r>
      <w:r w:rsidRPr="007519FC">
        <w:t xml:space="preserve"> and project impact report stages.</w:t>
      </w:r>
    </w:p>
    <w:p w14:paraId="5A4F8D17" w14:textId="77777777" w:rsidR="004A61F0" w:rsidRPr="007519FC" w:rsidRDefault="159005E9" w:rsidP="007519FC">
      <w:pPr>
        <w:pStyle w:val="BodyText"/>
      </w:pPr>
      <w:r w:rsidRPr="007519FC">
        <w:rPr>
          <w:b/>
          <w:bCs/>
          <w:color w:val="0072CE" w:themeColor="accent2"/>
        </w:rPr>
        <w:t>Methods</w:t>
      </w:r>
      <w:r w:rsidRPr="007519FC">
        <w:t xml:space="preserve"> sets out the calculations that must be undertaken in determining the abatement.</w:t>
      </w:r>
    </w:p>
    <w:p w14:paraId="38E4A0FE" w14:textId="02516915" w:rsidR="00042DA8" w:rsidRPr="007519FC" w:rsidRDefault="159005E9" w:rsidP="007519FC">
      <w:pPr>
        <w:pStyle w:val="BodyText"/>
      </w:pPr>
      <w:r w:rsidRPr="007519FC">
        <w:rPr>
          <w:b/>
          <w:bCs/>
          <w:color w:val="0072CE" w:themeColor="accent2"/>
        </w:rPr>
        <w:t>Variables</w:t>
      </w:r>
      <w:r w:rsidRPr="007519FC">
        <w:t xml:space="preserve"> sets out the terms by which projects are defined.</w:t>
      </w:r>
    </w:p>
    <w:p w14:paraId="184CB1DB" w14:textId="77777777" w:rsidR="005753E8" w:rsidRDefault="005753E8">
      <w:pPr>
        <w:rPr>
          <w:b/>
          <w:bCs/>
          <w:color w:val="0072CE" w:themeColor="text2"/>
          <w:kern w:val="32"/>
          <w:sz w:val="40"/>
          <w:szCs w:val="32"/>
        </w:rPr>
      </w:pPr>
      <w:bookmarkStart w:id="11" w:name="_Toc506976369"/>
      <w:r>
        <w:br w:type="page"/>
      </w:r>
    </w:p>
    <w:p w14:paraId="61F08091" w14:textId="4C0C8B66" w:rsidR="008A65C6" w:rsidRPr="007519FC" w:rsidRDefault="159005E9" w:rsidP="007519FC">
      <w:pPr>
        <w:pStyle w:val="Heading1"/>
      </w:pPr>
      <w:r w:rsidRPr="007519FC">
        <w:lastRenderedPageBreak/>
        <w:t>Information to be provided</w:t>
      </w:r>
      <w:bookmarkEnd w:id="11"/>
    </w:p>
    <w:p w14:paraId="628120CD" w14:textId="1A828434" w:rsidR="008A65C6" w:rsidRPr="007519FC" w:rsidRDefault="159005E9" w:rsidP="007519FC">
      <w:pPr>
        <w:pStyle w:val="Heading2"/>
        <w:spacing w:line="260" w:lineRule="exact"/>
      </w:pPr>
      <w:bookmarkStart w:id="12" w:name="_Toc506976370"/>
      <w:r w:rsidRPr="007519FC">
        <w:t>Information to be provided in a</w:t>
      </w:r>
      <w:r w:rsidR="00B541C9" w:rsidRPr="007519FC">
        <w:t>n application for scoping approval</w:t>
      </w:r>
      <w:bookmarkEnd w:id="12"/>
    </w:p>
    <w:p w14:paraId="545FE364" w14:textId="091CA8FF" w:rsidR="002E1B87" w:rsidRPr="007519FC" w:rsidRDefault="159005E9" w:rsidP="007519FC">
      <w:pPr>
        <w:pStyle w:val="ListNumber"/>
      </w:pPr>
      <w:r w:rsidRPr="003D7D1B">
        <w:t>The application</w:t>
      </w:r>
      <w:r w:rsidR="00B541C9" w:rsidRPr="003D7D1B">
        <w:t>s</w:t>
      </w:r>
      <w:r w:rsidRPr="003D7D1B">
        <w:t xml:space="preserve"> for </w:t>
      </w:r>
      <w:r w:rsidR="00B541C9" w:rsidRPr="003D7D1B">
        <w:t>scoping approval</w:t>
      </w:r>
      <w:r w:rsidRPr="003D7D1B">
        <w:t xml:space="preserve"> must </w:t>
      </w:r>
      <w:r w:rsidR="001E2EC7" w:rsidRPr="003D7D1B">
        <w:t xml:space="preserve">include </w:t>
      </w:r>
      <w:r w:rsidRPr="003D7D1B">
        <w:t xml:space="preserve">an approved </w:t>
      </w:r>
      <w:r w:rsidR="001E2EC7" w:rsidRPr="003D7D1B">
        <w:t>benchmark</w:t>
      </w:r>
      <w:r w:rsidR="00636680" w:rsidRPr="003D7D1B">
        <w:t xml:space="preserve"> </w:t>
      </w:r>
      <w:r w:rsidR="001E2EC7" w:rsidRPr="003D7D1B">
        <w:t>administrator for a process</w:t>
      </w:r>
      <w:r w:rsidRPr="003D7D1B">
        <w:t xml:space="preserve"> intended to be used to calculate the reduction in greenhouse gases.</w:t>
      </w:r>
      <w:r w:rsidR="002E1B87" w:rsidRPr="003D7D1B">
        <w:t xml:space="preserve"> </w:t>
      </w:r>
      <w:r w:rsidR="00E0630A" w:rsidRPr="003D7D1B">
        <w:t xml:space="preserve">The Secretary has approved </w:t>
      </w:r>
      <w:r w:rsidR="001E2EC7" w:rsidRPr="003D7D1B">
        <w:t>one</w:t>
      </w:r>
      <w:r w:rsidR="00E0630A" w:rsidRPr="003D7D1B">
        <w:t xml:space="preserve"> </w:t>
      </w:r>
      <w:r w:rsidR="000F3FC5" w:rsidRPr="003D7D1B">
        <w:t>benchmark</w:t>
      </w:r>
      <w:r w:rsidR="00E0630A" w:rsidRPr="003D7D1B">
        <w:t xml:space="preserve"> </w:t>
      </w:r>
      <w:r w:rsidR="001E2EC7" w:rsidRPr="003D7D1B">
        <w:t xml:space="preserve">administrator </w:t>
      </w:r>
      <w:r w:rsidR="00E0630A" w:rsidRPr="003D7D1B">
        <w:t xml:space="preserve">under regulation 17A of the VEET PBA Regulations 2017. Only </w:t>
      </w:r>
      <w:r w:rsidR="001E2EC7" w:rsidRPr="003D7D1B">
        <w:t>this</w:t>
      </w:r>
      <w:r w:rsidR="000F3FC5" w:rsidRPr="003D7D1B">
        <w:t xml:space="preserve"> benchmark</w:t>
      </w:r>
      <w:r w:rsidR="00E0630A" w:rsidRPr="003D7D1B">
        <w:t xml:space="preserve"> </w:t>
      </w:r>
      <w:r w:rsidR="001E2EC7" w:rsidRPr="003D7D1B">
        <w:t>administrator, for the premises or area within premises specified,</w:t>
      </w:r>
      <w:r w:rsidR="00B40584" w:rsidRPr="003D7D1B">
        <w:t xml:space="preserve"> </w:t>
      </w:r>
      <w:r w:rsidR="00E0630A" w:rsidRPr="003D7D1B">
        <w:t>can be nominated in an application for scoping approval</w:t>
      </w:r>
      <w:r w:rsidR="00B40584" w:rsidRPr="007519FC">
        <w:t>.</w:t>
      </w:r>
    </w:p>
    <w:p w14:paraId="682289F5" w14:textId="7E598F0D" w:rsidR="002E1B87" w:rsidRPr="007519FC" w:rsidRDefault="00B40584" w:rsidP="007519FC">
      <w:pPr>
        <w:pStyle w:val="ListNumber"/>
        <w:numPr>
          <w:ilvl w:val="0"/>
          <w:numId w:val="50"/>
        </w:numPr>
      </w:pPr>
      <w:r w:rsidRPr="007519FC">
        <w:t>NSW OEH</w:t>
      </w:r>
      <w:r w:rsidRPr="007519FC">
        <w:rPr>
          <w:rStyle w:val="FootnoteReference"/>
        </w:rPr>
        <w:footnoteReference w:id="2"/>
      </w:r>
      <w:r w:rsidRPr="007519FC">
        <w:t xml:space="preserve"> – </w:t>
      </w:r>
      <w:r w:rsidR="002E1B87" w:rsidRPr="007519FC">
        <w:t>NABERS</w:t>
      </w:r>
      <w:r w:rsidRPr="007519FC">
        <w:rPr>
          <w:rStyle w:val="FootnoteReference"/>
        </w:rPr>
        <w:footnoteReference w:id="3"/>
      </w:r>
      <w:r w:rsidR="002E1B87" w:rsidRPr="007519FC">
        <w:t xml:space="preserve"> Energy Rating – Data centres – IT equipment</w:t>
      </w:r>
    </w:p>
    <w:p w14:paraId="6C32FC1A" w14:textId="44AD5E0A" w:rsidR="002E1B87" w:rsidRPr="007519FC" w:rsidRDefault="00B40584" w:rsidP="007519FC">
      <w:pPr>
        <w:pStyle w:val="ListNumber"/>
        <w:numPr>
          <w:ilvl w:val="0"/>
          <w:numId w:val="50"/>
        </w:numPr>
      </w:pPr>
      <w:r w:rsidRPr="007519FC">
        <w:t xml:space="preserve">NSW OEH – NABERS </w:t>
      </w:r>
      <w:r w:rsidR="002E1B87" w:rsidRPr="007519FC">
        <w:t>Energy Rating – Data centres – Infrastructure</w:t>
      </w:r>
    </w:p>
    <w:p w14:paraId="0CA886AD" w14:textId="3E50B63B" w:rsidR="002E1B87" w:rsidRPr="007519FC" w:rsidRDefault="00B40584" w:rsidP="007519FC">
      <w:pPr>
        <w:pStyle w:val="ListNumber"/>
        <w:numPr>
          <w:ilvl w:val="0"/>
          <w:numId w:val="50"/>
        </w:numPr>
      </w:pPr>
      <w:r w:rsidRPr="007519FC">
        <w:t xml:space="preserve">NSW OEH – NABERS </w:t>
      </w:r>
      <w:r w:rsidR="002E1B87" w:rsidRPr="007519FC">
        <w:t>Energy Rating – Data centres – Whole facility</w:t>
      </w:r>
    </w:p>
    <w:p w14:paraId="4D6C2A7C" w14:textId="2CDF223D" w:rsidR="002E1B87" w:rsidRPr="007519FC" w:rsidRDefault="00B40584" w:rsidP="007519FC">
      <w:pPr>
        <w:pStyle w:val="ListNumber"/>
        <w:numPr>
          <w:ilvl w:val="0"/>
          <w:numId w:val="50"/>
        </w:numPr>
      </w:pPr>
      <w:r w:rsidRPr="007519FC">
        <w:t xml:space="preserve">NSW OEH – </w:t>
      </w:r>
      <w:r w:rsidR="002E1B87" w:rsidRPr="007519FC">
        <w:t xml:space="preserve">NABERS Energy Rating – Hotels </w:t>
      </w:r>
    </w:p>
    <w:p w14:paraId="590A9A57" w14:textId="0C149D70" w:rsidR="002E1B87" w:rsidRPr="007519FC" w:rsidRDefault="00B40584" w:rsidP="007519FC">
      <w:pPr>
        <w:pStyle w:val="ListNumber"/>
        <w:numPr>
          <w:ilvl w:val="0"/>
          <w:numId w:val="50"/>
        </w:numPr>
      </w:pPr>
      <w:r w:rsidRPr="007519FC">
        <w:t xml:space="preserve">NSW OEH – </w:t>
      </w:r>
      <w:r w:rsidR="002E1B87" w:rsidRPr="007519FC">
        <w:t>NABERS Energy Rating – Offices – Tenancy</w:t>
      </w:r>
    </w:p>
    <w:p w14:paraId="574B35D5" w14:textId="2217A75D" w:rsidR="002E1B87" w:rsidRPr="007519FC" w:rsidRDefault="00B40584" w:rsidP="007519FC">
      <w:pPr>
        <w:pStyle w:val="ListNumber"/>
        <w:numPr>
          <w:ilvl w:val="0"/>
          <w:numId w:val="50"/>
        </w:numPr>
      </w:pPr>
      <w:r w:rsidRPr="007519FC">
        <w:t xml:space="preserve">NSW OEH – </w:t>
      </w:r>
      <w:r w:rsidR="002E1B87" w:rsidRPr="007519FC">
        <w:t>NABERS Energy Rating – Offices – Base building</w:t>
      </w:r>
    </w:p>
    <w:p w14:paraId="23794314" w14:textId="3BD2461B" w:rsidR="002E1B87" w:rsidRPr="007519FC" w:rsidRDefault="00B40584" w:rsidP="007519FC">
      <w:pPr>
        <w:pStyle w:val="ListNumber"/>
        <w:numPr>
          <w:ilvl w:val="0"/>
          <w:numId w:val="50"/>
        </w:numPr>
      </w:pPr>
      <w:r w:rsidRPr="007519FC">
        <w:t xml:space="preserve">NSW OEH – </w:t>
      </w:r>
      <w:r w:rsidR="002E1B87" w:rsidRPr="007519FC">
        <w:t>NABERS Energy Rating – Offices – Whole building</w:t>
      </w:r>
    </w:p>
    <w:p w14:paraId="635C0CBC" w14:textId="5598C35D" w:rsidR="002E1B87" w:rsidRPr="007519FC" w:rsidRDefault="00B40584" w:rsidP="007519FC">
      <w:pPr>
        <w:pStyle w:val="ListNumber"/>
        <w:numPr>
          <w:ilvl w:val="0"/>
          <w:numId w:val="50"/>
        </w:numPr>
      </w:pPr>
      <w:r w:rsidRPr="007519FC">
        <w:t xml:space="preserve">NSW OEH – </w:t>
      </w:r>
      <w:r w:rsidR="002E1B87" w:rsidRPr="007519FC">
        <w:t>NABERS Energy Rating – Shopping centres</w:t>
      </w:r>
    </w:p>
    <w:p w14:paraId="24818BFB" w14:textId="38AA6BCC" w:rsidR="004776C9" w:rsidRPr="007519FC" w:rsidRDefault="00B40584" w:rsidP="007519FC">
      <w:pPr>
        <w:pStyle w:val="ListNumber"/>
        <w:numPr>
          <w:ilvl w:val="0"/>
          <w:numId w:val="50"/>
        </w:numPr>
      </w:pPr>
      <w:r w:rsidRPr="007519FC">
        <w:t xml:space="preserve">NSW OEH – </w:t>
      </w:r>
      <w:r w:rsidR="004776C9" w:rsidRPr="007519FC">
        <w:t>NABERS Energy Rating – Hospitals</w:t>
      </w:r>
    </w:p>
    <w:p w14:paraId="0941DF06" w14:textId="3F8154D0" w:rsidR="004776C9" w:rsidRPr="007519FC" w:rsidRDefault="00B40584" w:rsidP="007519FC">
      <w:pPr>
        <w:pStyle w:val="ListNumber"/>
        <w:numPr>
          <w:ilvl w:val="0"/>
          <w:numId w:val="50"/>
        </w:numPr>
      </w:pPr>
      <w:r w:rsidRPr="007519FC">
        <w:t xml:space="preserve">NSW OEH – </w:t>
      </w:r>
      <w:r w:rsidR="004776C9" w:rsidRPr="007519FC">
        <w:t>NABERS Energy Rating – Apartment buildings</w:t>
      </w:r>
    </w:p>
    <w:p w14:paraId="5EB02EC1" w14:textId="77777777" w:rsidR="008A65C6" w:rsidRPr="007519FC" w:rsidRDefault="159005E9" w:rsidP="007519FC">
      <w:pPr>
        <w:pStyle w:val="Heading2"/>
      </w:pPr>
      <w:bookmarkStart w:id="13" w:name="_Toc506976371"/>
      <w:r w:rsidRPr="007519FC">
        <w:t>Information to be provided in an application for approval of a project impact report</w:t>
      </w:r>
      <w:bookmarkEnd w:id="13"/>
    </w:p>
    <w:p w14:paraId="690BA377" w14:textId="24C1BDB0" w:rsidR="00475911" w:rsidRPr="007519FC" w:rsidRDefault="159005E9" w:rsidP="007519FC">
      <w:pPr>
        <w:pStyle w:val="ListNumber"/>
      </w:pPr>
      <w:r w:rsidRPr="007519FC">
        <w:t>The application for approval of a project impact report must include the following:</w:t>
      </w:r>
    </w:p>
    <w:p w14:paraId="33BF5FF1" w14:textId="0DDBCF86" w:rsidR="001E2EC7" w:rsidRPr="003D7D1B" w:rsidRDefault="001E2EC7" w:rsidP="007519FC">
      <w:pPr>
        <w:pStyle w:val="ListNumber2"/>
        <w:ind w:left="680" w:hanging="340"/>
      </w:pPr>
      <w:bookmarkStart w:id="14" w:name="_Hlk525738924"/>
      <w:r w:rsidRPr="003D7D1B">
        <w:t>two</w:t>
      </w:r>
      <w:r w:rsidR="159005E9" w:rsidRPr="003D7D1B">
        <w:t xml:space="preserve"> </w:t>
      </w:r>
      <w:r w:rsidRPr="003D7D1B">
        <w:t xml:space="preserve">benchmark </w:t>
      </w:r>
      <w:r w:rsidR="007010FE" w:rsidRPr="003D7D1B">
        <w:t>rating documents</w:t>
      </w:r>
      <w:r w:rsidRPr="003D7D1B">
        <w:t>, one accounting for the baseline period and one for the reporting period;</w:t>
      </w:r>
    </w:p>
    <w:p w14:paraId="3D11DA0A" w14:textId="3A35FB2F" w:rsidR="008A65C6" w:rsidRPr="007519FC" w:rsidRDefault="159005E9" w:rsidP="007519FC">
      <w:pPr>
        <w:pStyle w:val="ListNumber2"/>
        <w:ind w:left="680" w:hanging="340"/>
      </w:pPr>
      <w:r w:rsidRPr="007519FC">
        <w:t>a calculation of the carbon dioxide equivalent to be reduced using Equations 1 to 5;</w:t>
      </w:r>
    </w:p>
    <w:p w14:paraId="76A45665" w14:textId="3016EBE2" w:rsidR="003A526A" w:rsidRPr="007519FC" w:rsidRDefault="159005E9" w:rsidP="007519FC">
      <w:pPr>
        <w:pStyle w:val="ListNumber2"/>
        <w:ind w:left="680" w:hanging="340"/>
      </w:pPr>
      <w:r w:rsidRPr="007519FC">
        <w:t>number of whole years between the baseline period and the reporting period;</w:t>
      </w:r>
    </w:p>
    <w:p w14:paraId="193B4418" w14:textId="1ABA8C37" w:rsidR="00721D13" w:rsidRPr="007519FC" w:rsidRDefault="159005E9" w:rsidP="007519FC">
      <w:pPr>
        <w:pStyle w:val="ListNumber2"/>
        <w:ind w:left="680" w:hanging="340"/>
      </w:pPr>
      <w:r w:rsidRPr="007519FC">
        <w:t>inputs for the reverse calculat</w:t>
      </w:r>
      <w:r w:rsidR="00B541C9" w:rsidRPr="007519FC">
        <w:t>or for the baseline period</w:t>
      </w:r>
      <w:r w:rsidRPr="007519FC">
        <w:t>;</w:t>
      </w:r>
    </w:p>
    <w:p w14:paraId="2735739A" w14:textId="28EAD3DB" w:rsidR="007D2E23" w:rsidRPr="007519FC" w:rsidRDefault="159005E9" w:rsidP="007519FC">
      <w:pPr>
        <w:pStyle w:val="ListNumber2"/>
        <w:ind w:left="680" w:hanging="340"/>
      </w:pPr>
      <w:r w:rsidRPr="007519FC">
        <w:t>details of the energy content factors for fuels that are not electricity or gas;</w:t>
      </w:r>
    </w:p>
    <w:p w14:paraId="2C596E93" w14:textId="7C6C3541" w:rsidR="003A526A" w:rsidRPr="007519FC" w:rsidRDefault="159005E9" w:rsidP="007519FC">
      <w:pPr>
        <w:pStyle w:val="ListNumber2"/>
        <w:ind w:left="680" w:hanging="340"/>
      </w:pPr>
      <w:r w:rsidRPr="007519FC">
        <w:t>details of the unaccounted energy consumption during the reporting period;</w:t>
      </w:r>
    </w:p>
    <w:p w14:paraId="64525E23" w14:textId="4C664595" w:rsidR="003A526A" w:rsidRPr="007519FC" w:rsidRDefault="159005E9" w:rsidP="007519FC">
      <w:pPr>
        <w:pStyle w:val="ListNumber2"/>
        <w:ind w:left="680" w:hanging="340"/>
      </w:pPr>
      <w:r w:rsidRPr="007519FC">
        <w:t xml:space="preserve">details of </w:t>
      </w:r>
      <w:r w:rsidR="00636680" w:rsidRPr="007519FC">
        <w:t>any negative savings</w:t>
      </w:r>
      <w:r w:rsidRPr="007519FC">
        <w:t>;</w:t>
      </w:r>
      <w:r w:rsidR="00A350DB">
        <w:t xml:space="preserve"> and</w:t>
      </w:r>
    </w:p>
    <w:p w14:paraId="572296E5" w14:textId="45D6617E" w:rsidR="008A65C6" w:rsidRPr="007519FC" w:rsidRDefault="159005E9" w:rsidP="007519FC">
      <w:pPr>
        <w:pStyle w:val="ListNumber2"/>
        <w:ind w:left="680" w:hanging="340"/>
      </w:pPr>
      <w:r w:rsidRPr="007519FC">
        <w:t>details of any counted savings.</w:t>
      </w:r>
    </w:p>
    <w:p w14:paraId="34450BDF" w14:textId="77777777" w:rsidR="005753E8" w:rsidRDefault="005753E8">
      <w:pPr>
        <w:rPr>
          <w:b/>
          <w:bCs/>
          <w:color w:val="0072CE" w:themeColor="text2"/>
          <w:kern w:val="32"/>
          <w:sz w:val="40"/>
          <w:szCs w:val="32"/>
        </w:rPr>
      </w:pPr>
      <w:bookmarkStart w:id="15" w:name="_Toc506976372"/>
      <w:bookmarkEnd w:id="14"/>
      <w:r>
        <w:br w:type="page"/>
      </w:r>
    </w:p>
    <w:p w14:paraId="4BA759D1" w14:textId="7D25F56B" w:rsidR="00872404" w:rsidRPr="007519FC" w:rsidRDefault="159005E9" w:rsidP="007519FC">
      <w:pPr>
        <w:pStyle w:val="Heading1"/>
      </w:pPr>
      <w:r w:rsidRPr="007519FC">
        <w:lastRenderedPageBreak/>
        <w:t>Methods</w:t>
      </w:r>
      <w:bookmarkEnd w:id="15"/>
      <w:r w:rsidRPr="007519FC">
        <w:t xml:space="preserve"> </w:t>
      </w:r>
    </w:p>
    <w:p w14:paraId="6E2D738A" w14:textId="77777777" w:rsidR="004D2378" w:rsidRPr="007519FC" w:rsidRDefault="159005E9" w:rsidP="007519FC">
      <w:pPr>
        <w:pStyle w:val="Heading2"/>
      </w:pPr>
      <w:bookmarkStart w:id="16" w:name="_Toc506976373"/>
      <w:r w:rsidRPr="007519FC">
        <w:t>Calculation of carbon dioxide equivalents of greenhouse gases</w:t>
      </w:r>
      <w:bookmarkEnd w:id="16"/>
    </w:p>
    <w:p w14:paraId="4E50C8FF" w14:textId="421A4BD7" w:rsidR="00027054" w:rsidRPr="007519FC" w:rsidRDefault="004D2378" w:rsidP="007519FC">
      <w:pPr>
        <w:pStyle w:val="ListNumber"/>
      </w:pPr>
      <w:r w:rsidRPr="007519FC">
        <w:t xml:space="preserve">The carbon dioxide equivalent (in tonnes) of greenhouse gases to be reduced by undertaking a project is calculated using Equation 1, where variables are determined in accordance with sections </w:t>
      </w:r>
      <w:r w:rsidR="003D7D1B" w:rsidRPr="003D7D1B">
        <w:fldChar w:fldCharType="begin"/>
      </w:r>
      <w:r w:rsidR="003D7D1B" w:rsidRPr="003D7D1B">
        <w:instrText xml:space="preserve"> REF _Ref522875354 \r \h </w:instrText>
      </w:r>
      <w:r w:rsidR="003D7D1B">
        <w:instrText xml:space="preserve"> \* MERGEFORMAT </w:instrText>
      </w:r>
      <w:r w:rsidR="003D7D1B" w:rsidRPr="003D7D1B">
        <w:fldChar w:fldCharType="separate"/>
      </w:r>
      <w:r w:rsidR="003D7D1B" w:rsidRPr="003D7D1B">
        <w:t>(6)</w:t>
      </w:r>
      <w:r w:rsidR="003D7D1B" w:rsidRPr="003D7D1B">
        <w:fldChar w:fldCharType="end"/>
      </w:r>
      <w:r w:rsidR="003D7D1B" w:rsidRPr="003D7D1B">
        <w:t xml:space="preserve"> to </w:t>
      </w:r>
      <w:r w:rsidR="003D7D1B" w:rsidRPr="003D7D1B">
        <w:fldChar w:fldCharType="begin"/>
      </w:r>
      <w:r w:rsidR="003D7D1B" w:rsidRPr="003D7D1B">
        <w:instrText xml:space="preserve"> REF _Ref522876560 \w \h </w:instrText>
      </w:r>
      <w:r w:rsidR="003D7D1B">
        <w:instrText xml:space="preserve"> \* MERGEFORMAT </w:instrText>
      </w:r>
      <w:r w:rsidR="003D7D1B" w:rsidRPr="003D7D1B">
        <w:fldChar w:fldCharType="separate"/>
      </w:r>
      <w:r w:rsidR="003D7D1B" w:rsidRPr="003D7D1B">
        <w:t>(16)</w:t>
      </w:r>
      <w:r w:rsidR="003D7D1B" w:rsidRPr="003D7D1B">
        <w:fldChar w:fldCharType="end"/>
      </w:r>
      <w:r w:rsidR="003D7D1B" w:rsidRPr="003D7D1B">
        <w:t>.</w:t>
      </w:r>
    </w:p>
    <w:p w14:paraId="0C3BC897" w14:textId="77777777" w:rsidR="008A65C6" w:rsidRPr="007519FC" w:rsidRDefault="159005E9" w:rsidP="007519FC">
      <w:pPr>
        <w:pStyle w:val="Heading2"/>
      </w:pPr>
      <w:bookmarkStart w:id="17" w:name="_Toc506976374"/>
      <w:r w:rsidRPr="007519FC">
        <w:t>Equation 1 – Carbon dioxide equivalent to be reduced</w:t>
      </w:r>
      <w:bookmarkEnd w:id="17"/>
    </w:p>
    <w:p w14:paraId="22AF18C2" w14:textId="116D5E01" w:rsidR="002E1B87" w:rsidRPr="003D7D1B" w:rsidRDefault="00494760" w:rsidP="003D7D1B">
      <w:pPr>
        <w:pStyle w:val="BodyText"/>
        <w:ind w:left="567"/>
        <w:rPr>
          <w:rFonts w:ascii="Cambria Math" w:hAnsi="Cambria Math"/>
          <w:sz w:val="24"/>
          <w:lang w:eastAsia="en-AU"/>
          <w:oMath/>
        </w:rPr>
      </w:pPr>
      <m:oMathPara>
        <m:oMathParaPr>
          <m:jc m:val="left"/>
        </m:oMathParaPr>
        <m:oMath>
          <m:r>
            <w:rPr>
              <w:rFonts w:ascii="Cambria Math" w:hAnsi="Cambria Math"/>
              <w:sz w:val="24"/>
              <w:lang w:eastAsia="en-AU"/>
            </w:rPr>
            <m:t xml:space="preserve">carbon dioxide equivalent= </m:t>
          </m:r>
          <m:r>
            <m:rPr>
              <m:sty m:val="p"/>
            </m:rPr>
            <w:rPr>
              <w:rFonts w:ascii="Cambria Math" w:hAnsi="Cambria Math"/>
              <w:sz w:val="24"/>
              <w:lang w:eastAsia="en-AU"/>
            </w:rPr>
            <w:br/>
          </m:r>
        </m:oMath>
        <m:oMath>
          <m:r>
            <w:rPr>
              <w:rFonts w:ascii="Cambria Math" w:hAnsi="Cambria Math"/>
              <w:sz w:val="24"/>
              <w:lang w:eastAsia="en-AU"/>
            </w:rPr>
            <m:t xml:space="preserve">        electricity savings x electricity emissions factor x RF</m:t>
          </m:r>
          <m:r>
            <m:rPr>
              <m:sty m:val="p"/>
            </m:rPr>
            <w:rPr>
              <w:rFonts w:ascii="Cambria Math" w:hAnsi="Cambria Math"/>
              <w:sz w:val="24"/>
              <w:lang w:eastAsia="en-AU"/>
            </w:rPr>
            <w:br/>
          </m:r>
        </m:oMath>
        <m:oMath>
          <m:r>
            <w:rPr>
              <w:rFonts w:ascii="Cambria Math" w:hAnsi="Cambria Math"/>
              <w:sz w:val="24"/>
              <w:lang w:eastAsia="en-AU"/>
            </w:rPr>
            <m:t xml:space="preserve">        + gas savings x gas emissions factor</m:t>
          </m:r>
          <m:r>
            <m:rPr>
              <m:sty m:val="p"/>
            </m:rPr>
            <w:rPr>
              <w:rFonts w:ascii="Cambria Math" w:hAnsi="Cambria Math"/>
              <w:sz w:val="24"/>
              <w:lang w:eastAsia="en-AU"/>
            </w:rPr>
            <w:br/>
          </m:r>
        </m:oMath>
        <m:oMath>
          <m:r>
            <w:rPr>
              <w:rFonts w:ascii="Cambria Math" w:hAnsi="Cambria Math"/>
              <w:sz w:val="24"/>
              <w:lang w:eastAsia="en-AU"/>
            </w:rPr>
            <m:t xml:space="preserve">        – counted savings+negative savings</m:t>
          </m:r>
          <m:r>
            <w:rPr>
              <w:rFonts w:ascii="Cambria Math" w:hAnsi="Cambria Math"/>
              <w:lang w:eastAsia="en-AU"/>
            </w:rPr>
            <m:t xml:space="preserve"> </m:t>
          </m:r>
        </m:oMath>
      </m:oMathPara>
    </w:p>
    <w:p w14:paraId="2A136528" w14:textId="6E7BE939" w:rsidR="008A65C6" w:rsidRPr="007519FC" w:rsidRDefault="008A65C6" w:rsidP="007519FC">
      <w:pPr>
        <w:pStyle w:val="BodyText"/>
        <w:rPr>
          <w:rFonts w:cs="Arial"/>
        </w:rPr>
      </w:pPr>
      <w:r w:rsidRPr="007519FC">
        <w:t>where:</w:t>
      </w:r>
    </w:p>
    <w:p w14:paraId="451C8194" w14:textId="74B33521" w:rsidR="008A65C6" w:rsidRPr="007519FC" w:rsidRDefault="159005E9" w:rsidP="007519FC">
      <w:pPr>
        <w:pStyle w:val="ListNumber2"/>
        <w:numPr>
          <w:ilvl w:val="0"/>
          <w:numId w:val="20"/>
        </w:numPr>
        <w:ind w:left="680" w:hanging="340"/>
      </w:pPr>
      <w:r w:rsidRPr="007519FC">
        <w:rPr>
          <w:i/>
          <w:iCs/>
        </w:rPr>
        <w:t>electricity savings</w:t>
      </w:r>
      <w:r w:rsidRPr="007519FC">
        <w:t xml:space="preserve"> </w:t>
      </w:r>
      <w:r w:rsidR="00A350DB">
        <w:t>are</w:t>
      </w:r>
      <w:r w:rsidRPr="007519FC">
        <w:t xml:space="preserve"> calculated in MWh using Equation 2, </w:t>
      </w:r>
      <w:r w:rsidR="00A350DB">
        <w:t>in which</w:t>
      </w:r>
      <w:r w:rsidR="00A350DB" w:rsidRPr="007519FC">
        <w:t xml:space="preserve"> </w:t>
      </w:r>
      <w:r w:rsidRPr="007519FC">
        <w:t xml:space="preserve">references to “energy” in Equations 3 to 5 of this Division </w:t>
      </w:r>
      <w:r w:rsidR="001E2EC7">
        <w:t>are</w:t>
      </w:r>
      <w:r w:rsidR="00A350DB">
        <w:t xml:space="preserve"> taken </w:t>
      </w:r>
      <w:r w:rsidRPr="007519FC">
        <w:t>to mean “electricity”.</w:t>
      </w:r>
    </w:p>
    <w:p w14:paraId="71A3E0A1" w14:textId="1108930B" w:rsidR="008A65C6" w:rsidRPr="007519FC" w:rsidRDefault="159005E9" w:rsidP="007519FC">
      <w:pPr>
        <w:pStyle w:val="ListNumber2"/>
        <w:ind w:left="680" w:hanging="340"/>
      </w:pPr>
      <w:r w:rsidRPr="007519FC">
        <w:rPr>
          <w:i/>
          <w:iCs/>
        </w:rPr>
        <w:t>RF</w:t>
      </w:r>
      <w:r w:rsidRPr="007519FC">
        <w:t xml:space="preserve"> is the regional factor, which is 0.98 if the project is undertaken in metropolitan Victoria or 1.04 if the project is undertaken in regional Victoria, as defined </w:t>
      </w:r>
      <w:r w:rsidR="005F65D9">
        <w:t>by</w:t>
      </w:r>
      <w:r w:rsidRPr="007519FC">
        <w:t xml:space="preserve"> </w:t>
      </w:r>
      <w:r w:rsidR="003D7D1B">
        <w:t>the Locations Variable List in the Victorian Energy Upgrades Specifications 2018</w:t>
      </w:r>
      <w:r w:rsidRPr="007519FC">
        <w:t>.</w:t>
      </w:r>
    </w:p>
    <w:p w14:paraId="36ED86D6" w14:textId="639BAFE1" w:rsidR="008A65C6" w:rsidRPr="007519FC" w:rsidRDefault="159005E9" w:rsidP="007519FC">
      <w:pPr>
        <w:pStyle w:val="ListNumber2"/>
        <w:ind w:left="680" w:hanging="340"/>
      </w:pPr>
      <w:r w:rsidRPr="007519FC">
        <w:rPr>
          <w:i/>
          <w:iCs/>
        </w:rPr>
        <w:t>gas savings</w:t>
      </w:r>
      <w:r w:rsidRPr="007519FC">
        <w:t xml:space="preserve"> </w:t>
      </w:r>
      <w:r w:rsidR="005F65D9">
        <w:t>are</w:t>
      </w:r>
      <w:r w:rsidRPr="007519FC">
        <w:t xml:space="preserve"> calculated in </w:t>
      </w:r>
      <w:r w:rsidR="00B40584" w:rsidRPr="007519FC">
        <w:t>gigajoules (GJ)</w:t>
      </w:r>
      <w:r w:rsidRPr="007519FC">
        <w:t xml:space="preserve"> using Equation 2, </w:t>
      </w:r>
      <w:r w:rsidR="005F65D9">
        <w:t>in which</w:t>
      </w:r>
      <w:r w:rsidR="005F65D9" w:rsidRPr="007519FC">
        <w:t xml:space="preserve"> </w:t>
      </w:r>
      <w:r w:rsidRPr="007519FC">
        <w:t xml:space="preserve">references to “energy” in Equations 3 to 5 of this Division </w:t>
      </w:r>
      <w:r w:rsidR="001E2EC7">
        <w:t>are</w:t>
      </w:r>
      <w:r w:rsidR="005F65D9">
        <w:t xml:space="preserve"> taken </w:t>
      </w:r>
      <w:r w:rsidRPr="007519FC">
        <w:t>to mean “gas”.</w:t>
      </w:r>
    </w:p>
    <w:p w14:paraId="19F10FC1" w14:textId="31770385" w:rsidR="008A65C6" w:rsidRPr="007519FC" w:rsidRDefault="008A65C6" w:rsidP="007519FC">
      <w:pPr>
        <w:pStyle w:val="ListNumber2"/>
        <w:ind w:left="680" w:hanging="340"/>
      </w:pPr>
      <w:r w:rsidRPr="007519FC">
        <w:rPr>
          <w:i/>
          <w:iCs/>
        </w:rPr>
        <w:t>counted savings</w:t>
      </w:r>
      <w:r w:rsidRPr="007519FC">
        <w:t xml:space="preserve"> is a variable determined in accordance with section </w:t>
      </w:r>
      <w:r w:rsidR="001E2EC7">
        <w:fldChar w:fldCharType="begin"/>
      </w:r>
      <w:r w:rsidR="001E2EC7">
        <w:instrText xml:space="preserve"> REF _Ref522875354 \r \h </w:instrText>
      </w:r>
      <w:r w:rsidR="001E2EC7">
        <w:fldChar w:fldCharType="separate"/>
      </w:r>
      <w:r w:rsidR="007010FE">
        <w:t>(6)</w:t>
      </w:r>
      <w:r w:rsidR="001E2EC7">
        <w:fldChar w:fldCharType="end"/>
      </w:r>
      <w:r w:rsidR="001E2EC7">
        <w:t>.</w:t>
      </w:r>
    </w:p>
    <w:p w14:paraId="3072E2AA" w14:textId="43625E11" w:rsidR="008A65C6" w:rsidRPr="007519FC" w:rsidRDefault="00F13DA9" w:rsidP="007519FC">
      <w:pPr>
        <w:pStyle w:val="ListNumber2"/>
        <w:ind w:left="680" w:hanging="340"/>
      </w:pPr>
      <w:r w:rsidRPr="007519FC">
        <w:rPr>
          <w:i/>
          <w:iCs/>
        </w:rPr>
        <w:t xml:space="preserve">emissions factors </w:t>
      </w:r>
      <w:r w:rsidRPr="007519FC">
        <w:t xml:space="preserve">are provided in section </w:t>
      </w:r>
      <w:r w:rsidR="001E2EC7">
        <w:fldChar w:fldCharType="begin"/>
      </w:r>
      <w:r w:rsidR="001E2EC7">
        <w:instrText xml:space="preserve"> REF _Ref522875288 \r \h </w:instrText>
      </w:r>
      <w:r w:rsidR="001E2EC7">
        <w:fldChar w:fldCharType="separate"/>
      </w:r>
      <w:r w:rsidR="007010FE">
        <w:t>(7)</w:t>
      </w:r>
      <w:r w:rsidR="001E2EC7">
        <w:fldChar w:fldCharType="end"/>
      </w:r>
      <w:r w:rsidR="001E2EC7">
        <w:t>.</w:t>
      </w:r>
    </w:p>
    <w:p w14:paraId="5AFAE75F" w14:textId="7D0A689C" w:rsidR="00F84DDA" w:rsidRPr="007519FC" w:rsidRDefault="159005E9" w:rsidP="007519FC">
      <w:pPr>
        <w:pStyle w:val="ListNumber2"/>
        <w:ind w:left="680" w:hanging="340"/>
      </w:pPr>
      <w:r w:rsidRPr="007519FC">
        <w:rPr>
          <w:i/>
          <w:iCs/>
        </w:rPr>
        <w:t>negative savings</w:t>
      </w:r>
      <w:r w:rsidRPr="007519FC">
        <w:t xml:space="preserve"> is the negative carbon dioxide equivalent from the previous reporting period (if any), which should be carried through reporting periods until the difference has become zero. </w:t>
      </w:r>
    </w:p>
    <w:p w14:paraId="135C1CBD" w14:textId="77777777" w:rsidR="008B5763" w:rsidRPr="007519FC" w:rsidRDefault="008B5763" w:rsidP="007519FC">
      <w:pPr>
        <w:pStyle w:val="ListNumber2"/>
        <w:numPr>
          <w:ilvl w:val="0"/>
          <w:numId w:val="0"/>
        </w:numPr>
        <w:ind w:left="680"/>
      </w:pPr>
    </w:p>
    <w:p w14:paraId="02A13986" w14:textId="27317E96" w:rsidR="008A65C6" w:rsidRPr="007519FC" w:rsidRDefault="159005E9" w:rsidP="007519FC">
      <w:pPr>
        <w:pStyle w:val="Heading2"/>
      </w:pPr>
      <w:bookmarkStart w:id="18" w:name="_Toc506976375"/>
      <w:r w:rsidRPr="007519FC">
        <w:t>Equation 2 – Energy savings</w:t>
      </w:r>
      <w:bookmarkEnd w:id="18"/>
      <w:r w:rsidRPr="007519FC">
        <w:t xml:space="preserve"> </w:t>
      </w:r>
    </w:p>
    <w:p w14:paraId="7E287A3B" w14:textId="4C1B4C97" w:rsidR="008A65C6" w:rsidRPr="007519FC" w:rsidRDefault="008A65C6" w:rsidP="007519FC">
      <w:pPr>
        <w:spacing w:after="120" w:line="360" w:lineRule="auto"/>
        <w:ind w:left="567" w:hanging="567"/>
        <w:rPr>
          <w:rFonts w:ascii="Times New Roman" w:hAnsi="Times New Roman" w:cs="Times New Roman"/>
          <w:sz w:val="24"/>
          <w:szCs w:val="24"/>
        </w:rPr>
      </w:pPr>
      <m:oMathPara>
        <m:oMath>
          <m:r>
            <w:rPr>
              <w:rFonts w:ascii="Cambria Math" w:hAnsi="Cambria Math" w:cs="Times New Roman"/>
              <w:sz w:val="24"/>
              <w:szCs w:val="24"/>
            </w:rPr>
            <m:t>energy savings=</m:t>
          </m:r>
          <m:d>
            <m:dPr>
              <m:ctrlPr>
                <w:rPr>
                  <w:rFonts w:ascii="Cambria Math" w:hAnsi="Cambria Math" w:cs="Times New Roman"/>
                  <w:i/>
                  <w:sz w:val="24"/>
                  <w:szCs w:val="24"/>
                </w:rPr>
              </m:ctrlPr>
            </m:dPr>
            <m:e>
              <m:r>
                <w:rPr>
                  <w:rFonts w:ascii="Cambria Math" w:hAnsi="Cambria Math" w:cs="Times New Roman"/>
                  <w:sz w:val="24"/>
                  <w:szCs w:val="24"/>
                </w:rPr>
                <m:t>baseline energy consumption-reporting energy consumption</m:t>
              </m:r>
            </m:e>
          </m:d>
        </m:oMath>
      </m:oMathPara>
    </w:p>
    <w:p w14:paraId="71E61E3F" w14:textId="77777777" w:rsidR="008A65C6" w:rsidRPr="007519FC" w:rsidRDefault="159005E9" w:rsidP="007519FC">
      <w:pPr>
        <w:pStyle w:val="BodyText"/>
      </w:pPr>
      <w:r w:rsidRPr="007519FC">
        <w:t>where:</w:t>
      </w:r>
    </w:p>
    <w:p w14:paraId="24234E8D" w14:textId="3243DF7D" w:rsidR="008A65C6" w:rsidRPr="007519FC" w:rsidRDefault="159005E9" w:rsidP="007519FC">
      <w:pPr>
        <w:pStyle w:val="ListNumber2"/>
        <w:numPr>
          <w:ilvl w:val="0"/>
          <w:numId w:val="21"/>
        </w:numPr>
        <w:ind w:left="680" w:hanging="340"/>
      </w:pPr>
      <w:r w:rsidRPr="007519FC">
        <w:rPr>
          <w:i/>
          <w:iCs/>
        </w:rPr>
        <w:t>baseline energy consumption</w:t>
      </w:r>
      <w:r w:rsidRPr="007519FC">
        <w:t xml:space="preserve"> is calculated using Equation 4. </w:t>
      </w:r>
    </w:p>
    <w:p w14:paraId="000203A5" w14:textId="7B6CFF8A" w:rsidR="00F0548B" w:rsidRPr="007519FC" w:rsidRDefault="159005E9" w:rsidP="007519FC">
      <w:pPr>
        <w:pStyle w:val="ListNumber2"/>
        <w:numPr>
          <w:ilvl w:val="0"/>
          <w:numId w:val="21"/>
        </w:numPr>
        <w:ind w:left="680" w:hanging="340"/>
      </w:pPr>
      <w:r w:rsidRPr="007519FC">
        <w:rPr>
          <w:i/>
          <w:iCs/>
        </w:rPr>
        <w:t>reporting energy consumption</w:t>
      </w:r>
      <w:r w:rsidRPr="007519FC">
        <w:t xml:space="preserve"> is calculated using Equation 3.</w:t>
      </w:r>
    </w:p>
    <w:p w14:paraId="682B4D9F" w14:textId="627C8659" w:rsidR="00CF2B7B" w:rsidRPr="007519FC" w:rsidRDefault="159005E9" w:rsidP="007519FC">
      <w:pPr>
        <w:pStyle w:val="ListNumber2"/>
        <w:ind w:left="680" w:hanging="340"/>
      </w:pPr>
      <w:r w:rsidRPr="007519FC">
        <w:rPr>
          <w:i/>
          <w:iCs/>
        </w:rPr>
        <w:t>baseline energy consumption</w:t>
      </w:r>
      <w:r w:rsidRPr="007519FC">
        <w:t xml:space="preserve"> and </w:t>
      </w:r>
      <w:r w:rsidRPr="007519FC">
        <w:rPr>
          <w:i/>
          <w:iCs/>
        </w:rPr>
        <w:t xml:space="preserve">reporting energy </w:t>
      </w:r>
      <w:r w:rsidR="008B5763" w:rsidRPr="007519FC">
        <w:rPr>
          <w:i/>
          <w:iCs/>
        </w:rPr>
        <w:t>consumption</w:t>
      </w:r>
      <w:r w:rsidR="000F3FC5">
        <w:t xml:space="preserve"> have been calculated for a </w:t>
      </w:r>
      <w:r w:rsidRPr="007519FC">
        <w:t>premise</w:t>
      </w:r>
      <w:r w:rsidR="008B5763" w:rsidRPr="007519FC">
        <w:t>s</w:t>
      </w:r>
      <w:r w:rsidRPr="007519FC">
        <w:t xml:space="preserve"> with a </w:t>
      </w:r>
      <w:r w:rsidRPr="007519FC">
        <w:rPr>
          <w:i/>
          <w:iCs/>
        </w:rPr>
        <w:t>similar configuration</w:t>
      </w:r>
      <w:r w:rsidRPr="007519FC">
        <w:t xml:space="preserve"> as defined in section </w:t>
      </w:r>
      <w:r w:rsidR="001E2EC7">
        <w:fldChar w:fldCharType="begin"/>
      </w:r>
      <w:r w:rsidR="001E2EC7">
        <w:instrText xml:space="preserve"> REF _Ref522875498 \r \h </w:instrText>
      </w:r>
      <w:r w:rsidR="001E2EC7">
        <w:fldChar w:fldCharType="separate"/>
      </w:r>
      <w:r w:rsidR="007010FE">
        <w:t>(8)</w:t>
      </w:r>
      <w:r w:rsidR="001E2EC7">
        <w:fldChar w:fldCharType="end"/>
      </w:r>
      <w:r w:rsidR="001E2EC7">
        <w:t>.</w:t>
      </w:r>
    </w:p>
    <w:p w14:paraId="6C5074DF" w14:textId="31430340" w:rsidR="008A65C6" w:rsidRPr="007519FC" w:rsidRDefault="008A65C6" w:rsidP="007519FC">
      <w:pPr>
        <w:spacing w:after="120" w:line="360" w:lineRule="auto"/>
        <w:rPr>
          <w:rFonts w:ascii="Times New Roman" w:hAnsi="Times New Roman" w:cs="Times New Roman"/>
          <w:b/>
          <w:sz w:val="24"/>
          <w:szCs w:val="24"/>
        </w:rPr>
      </w:pPr>
    </w:p>
    <w:p w14:paraId="705873C6" w14:textId="4D71F48A" w:rsidR="00CF1A0F" w:rsidRPr="007519FC" w:rsidRDefault="159005E9" w:rsidP="007519FC">
      <w:pPr>
        <w:pStyle w:val="Heading2"/>
      </w:pPr>
      <w:bookmarkStart w:id="19" w:name="_Toc506976376"/>
      <w:r w:rsidRPr="007519FC">
        <w:t>Equation 3 – Reporting energy consumption</w:t>
      </w:r>
      <w:bookmarkEnd w:id="19"/>
      <w:r w:rsidRPr="007519FC">
        <w:t xml:space="preserve"> </w:t>
      </w:r>
    </w:p>
    <w:p w14:paraId="0C5E6CFE" w14:textId="4ECFA7DF" w:rsidR="00CF1A0F" w:rsidRPr="007519FC" w:rsidRDefault="00CF1A0F" w:rsidP="007519FC">
      <w:pPr>
        <w:spacing w:after="120" w:line="360" w:lineRule="auto"/>
        <w:rPr>
          <w:rFonts w:ascii="Times New Roman" w:hAnsi="Times New Roman" w:cs="Times New Roman"/>
          <w:sz w:val="24"/>
          <w:szCs w:val="24"/>
        </w:rPr>
      </w:pPr>
      <m:oMathPara>
        <m:oMath>
          <m:r>
            <w:rPr>
              <w:rFonts w:ascii="Cambria Math" w:hAnsi="Cambria Math" w:cs="Times New Roman"/>
              <w:sz w:val="24"/>
              <w:szCs w:val="24"/>
            </w:rPr>
            <m:t>Reporting energy consumption=</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R</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U</m:t>
              </m:r>
            </m:sub>
          </m:sSub>
        </m:oMath>
      </m:oMathPara>
    </w:p>
    <w:p w14:paraId="1D87FBB5" w14:textId="77777777" w:rsidR="00CF1A0F" w:rsidRPr="007519FC" w:rsidRDefault="159005E9" w:rsidP="007519FC">
      <w:pPr>
        <w:pStyle w:val="BodyText"/>
      </w:pPr>
      <w:r w:rsidRPr="007519FC">
        <w:t>where:</w:t>
      </w:r>
    </w:p>
    <w:p w14:paraId="04D00169" w14:textId="1563F8E6" w:rsidR="00CF1A0F" w:rsidRPr="007519FC" w:rsidRDefault="00A95E64" w:rsidP="007519FC">
      <w:pPr>
        <w:pStyle w:val="ListNumber2"/>
        <w:numPr>
          <w:ilvl w:val="0"/>
          <w:numId w:val="31"/>
        </w:numPr>
      </w:pPr>
      <m:oMath>
        <m:sSub>
          <m:sSubPr>
            <m:ctrlPr>
              <w:rPr>
                <w:rFonts w:ascii="Cambria Math" w:hAnsi="Cambria Math"/>
                <w:i/>
              </w:rPr>
            </m:ctrlPr>
          </m:sSubPr>
          <m:e>
            <m:r>
              <w:rPr>
                <w:rFonts w:ascii="Cambria Math" w:hAnsi="Cambria Math"/>
              </w:rPr>
              <m:t>E</m:t>
            </m:r>
          </m:e>
          <m:sub>
            <m:r>
              <w:rPr>
                <w:rFonts w:ascii="Cambria Math" w:hAnsi="Cambria Math"/>
              </w:rPr>
              <m:t>R</m:t>
            </m:r>
          </m:sub>
        </m:sSub>
      </m:oMath>
      <w:r w:rsidR="00CF1A0F" w:rsidRPr="007519FC">
        <w:rPr>
          <w:rFonts w:eastAsiaTheme="minorEastAsia"/>
        </w:rPr>
        <w:t xml:space="preserve"> is the </w:t>
      </w:r>
      <w:r w:rsidR="00CF1A0F" w:rsidRPr="007519FC">
        <w:rPr>
          <w:rFonts w:eastAsiaTheme="minorEastAsia"/>
          <w:i/>
          <w:iCs/>
        </w:rPr>
        <w:t>energy</w:t>
      </w:r>
      <w:r w:rsidR="00CF1A0F" w:rsidRPr="007519FC">
        <w:rPr>
          <w:rFonts w:eastAsiaTheme="minorEastAsia"/>
        </w:rPr>
        <w:t xml:space="preserve"> consumption specified in the </w:t>
      </w:r>
      <w:r w:rsidR="00CF1A0F" w:rsidRPr="003D7D1B">
        <w:rPr>
          <w:rFonts w:eastAsiaTheme="minorEastAsia"/>
        </w:rPr>
        <w:t xml:space="preserve">benchmark </w:t>
      </w:r>
      <w:r w:rsidR="007010FE" w:rsidRPr="003D7D1B">
        <w:rPr>
          <w:rFonts w:eastAsiaTheme="minorEastAsia"/>
        </w:rPr>
        <w:t>rating document</w:t>
      </w:r>
      <w:r w:rsidR="001E2EC7">
        <w:rPr>
          <w:rFonts w:eastAsiaTheme="minorEastAsia"/>
        </w:rPr>
        <w:t>, as defined in</w:t>
      </w:r>
      <w:r w:rsidR="000F3FC5">
        <w:rPr>
          <w:rFonts w:eastAsiaTheme="minorEastAsia"/>
        </w:rPr>
        <w:t xml:space="preserve"> section </w:t>
      </w:r>
      <w:r w:rsidR="001E2EC7">
        <w:rPr>
          <w:rFonts w:eastAsiaTheme="minorEastAsia"/>
        </w:rPr>
        <w:fldChar w:fldCharType="begin"/>
      </w:r>
      <w:r w:rsidR="001E2EC7">
        <w:rPr>
          <w:rFonts w:eastAsiaTheme="minorEastAsia"/>
        </w:rPr>
        <w:instrText xml:space="preserve"> REF _Ref522875972 \r \h </w:instrText>
      </w:r>
      <w:r w:rsidR="001E2EC7">
        <w:rPr>
          <w:rFonts w:eastAsiaTheme="minorEastAsia"/>
        </w:rPr>
      </w:r>
      <w:r w:rsidR="001E2EC7">
        <w:rPr>
          <w:rFonts w:eastAsiaTheme="minorEastAsia"/>
        </w:rPr>
        <w:fldChar w:fldCharType="separate"/>
      </w:r>
      <w:r w:rsidR="007010FE">
        <w:rPr>
          <w:rFonts w:eastAsiaTheme="minorEastAsia"/>
        </w:rPr>
        <w:t>(11)</w:t>
      </w:r>
      <w:r w:rsidR="001E2EC7">
        <w:rPr>
          <w:rFonts w:eastAsiaTheme="minorEastAsia"/>
        </w:rPr>
        <w:fldChar w:fldCharType="end"/>
      </w:r>
      <w:r w:rsidR="001E2EC7">
        <w:rPr>
          <w:rFonts w:eastAsiaTheme="minorEastAsia"/>
        </w:rPr>
        <w:t xml:space="preserve">, </w:t>
      </w:r>
      <w:r w:rsidR="00054FD9">
        <w:rPr>
          <w:rFonts w:eastAsiaTheme="minorEastAsia"/>
        </w:rPr>
        <w:t>f</w:t>
      </w:r>
      <w:r w:rsidR="008B5763" w:rsidRPr="007519FC">
        <w:rPr>
          <w:rFonts w:eastAsiaTheme="minorEastAsia"/>
        </w:rPr>
        <w:t xml:space="preserve">or the reporting </w:t>
      </w:r>
      <w:r w:rsidR="001E2EC7">
        <w:rPr>
          <w:rFonts w:eastAsiaTheme="minorEastAsia"/>
        </w:rPr>
        <w:t>period.</w:t>
      </w:r>
    </w:p>
    <w:p w14:paraId="3AD2C487" w14:textId="1DA11626" w:rsidR="00CF1A0F" w:rsidRPr="007519FC" w:rsidRDefault="00A95E64" w:rsidP="007519FC">
      <w:pPr>
        <w:pStyle w:val="ListNumber2"/>
        <w:numPr>
          <w:ilvl w:val="0"/>
          <w:numId w:val="31"/>
        </w:numPr>
        <w:rPr>
          <w:rFonts w:eastAsiaTheme="minorEastAsia"/>
        </w:rPr>
      </w:pPr>
      <m:oMath>
        <m:sSub>
          <m:sSubPr>
            <m:ctrlPr>
              <w:rPr>
                <w:rFonts w:ascii="Cambria Math" w:hAnsi="Cambria Math"/>
                <w:i/>
              </w:rPr>
            </m:ctrlPr>
          </m:sSubPr>
          <m:e>
            <m:r>
              <w:rPr>
                <w:rFonts w:ascii="Cambria Math" w:hAnsi="Cambria Math"/>
              </w:rPr>
              <m:t>E</m:t>
            </m:r>
          </m:e>
          <m:sub>
            <m:r>
              <w:rPr>
                <w:rFonts w:ascii="Cambria Math" w:hAnsi="Cambria Math"/>
              </w:rPr>
              <m:t>U</m:t>
            </m:r>
          </m:sub>
        </m:sSub>
      </m:oMath>
      <w:r w:rsidR="00CF1A0F" w:rsidRPr="007519FC">
        <w:rPr>
          <w:rFonts w:eastAsiaTheme="minorEastAsia"/>
        </w:rPr>
        <w:t xml:space="preserve"> is the </w:t>
      </w:r>
      <w:r w:rsidR="003A526A" w:rsidRPr="007519FC">
        <w:rPr>
          <w:rFonts w:eastAsiaTheme="minorEastAsia"/>
          <w:i/>
          <w:iCs/>
        </w:rPr>
        <w:t>unaccounted</w:t>
      </w:r>
      <w:r w:rsidR="003A526A" w:rsidRPr="007519FC">
        <w:rPr>
          <w:rFonts w:eastAsiaTheme="minorEastAsia"/>
        </w:rPr>
        <w:t xml:space="preserve"> </w:t>
      </w:r>
      <w:r w:rsidR="00CF1A0F" w:rsidRPr="007519FC">
        <w:rPr>
          <w:rFonts w:eastAsiaTheme="minorEastAsia"/>
          <w:i/>
          <w:iCs/>
        </w:rPr>
        <w:t>energy</w:t>
      </w:r>
      <w:r w:rsidR="00CF1A0F" w:rsidRPr="007519FC">
        <w:rPr>
          <w:rFonts w:eastAsiaTheme="minorEastAsia"/>
        </w:rPr>
        <w:t xml:space="preserve"> </w:t>
      </w:r>
      <w:r w:rsidR="00CF1A0F" w:rsidRPr="007519FC">
        <w:rPr>
          <w:rFonts w:eastAsiaTheme="minorEastAsia"/>
          <w:i/>
          <w:iCs/>
        </w:rPr>
        <w:t>consumption</w:t>
      </w:r>
      <w:r w:rsidR="00CF1A0F" w:rsidRPr="007519FC">
        <w:rPr>
          <w:rFonts w:eastAsiaTheme="minorEastAsia"/>
        </w:rPr>
        <w:t xml:space="preserve"> during the reporting period, at the building where the project is undertaken, that is not included in </w:t>
      </w:r>
      <m:oMath>
        <m:sSub>
          <m:sSubPr>
            <m:ctrlPr>
              <w:rPr>
                <w:rFonts w:ascii="Cambria Math" w:hAnsi="Cambria Math"/>
                <w:i/>
              </w:rPr>
            </m:ctrlPr>
          </m:sSubPr>
          <m:e>
            <m:r>
              <w:rPr>
                <w:rFonts w:ascii="Cambria Math" w:hAnsi="Cambria Math"/>
              </w:rPr>
              <m:t>E</m:t>
            </m:r>
          </m:e>
          <m:sub>
            <m:r>
              <w:rPr>
                <w:rFonts w:ascii="Cambria Math" w:hAnsi="Cambria Math"/>
              </w:rPr>
              <m:t>R</m:t>
            </m:r>
          </m:sub>
        </m:sSub>
      </m:oMath>
      <w:r w:rsidR="00CF1A0F" w:rsidRPr="007519FC">
        <w:rPr>
          <w:rFonts w:eastAsiaTheme="minorEastAsia"/>
        </w:rPr>
        <w:t xml:space="preserve"> for reasons defined in </w:t>
      </w:r>
      <w:r w:rsidR="00CF1A0F" w:rsidRPr="007519FC">
        <w:t xml:space="preserve">section </w:t>
      </w:r>
      <w:r w:rsidR="000F3FC5">
        <w:fldChar w:fldCharType="begin"/>
      </w:r>
      <w:r w:rsidR="000F3FC5">
        <w:instrText xml:space="preserve"> REF _Ref522876095 \r \h </w:instrText>
      </w:r>
      <w:r w:rsidR="000F3FC5">
        <w:fldChar w:fldCharType="separate"/>
      </w:r>
      <w:r w:rsidR="007010FE">
        <w:t>(9)</w:t>
      </w:r>
      <w:r w:rsidR="000F3FC5">
        <w:fldChar w:fldCharType="end"/>
      </w:r>
      <w:r w:rsidR="000F3FC5">
        <w:t>.</w:t>
      </w:r>
    </w:p>
    <w:p w14:paraId="2DA46598" w14:textId="77777777" w:rsidR="00CF1A0F" w:rsidRPr="007519FC" w:rsidRDefault="00CF1A0F" w:rsidP="007519FC">
      <w:pPr>
        <w:spacing w:after="120" w:line="360" w:lineRule="auto"/>
        <w:rPr>
          <w:rFonts w:ascii="Times New Roman" w:hAnsi="Times New Roman" w:cs="Times New Roman"/>
          <w:b/>
          <w:sz w:val="24"/>
          <w:szCs w:val="24"/>
        </w:rPr>
      </w:pPr>
    </w:p>
    <w:p w14:paraId="65A08C11" w14:textId="0A6393E3" w:rsidR="008A65C6" w:rsidRPr="007519FC" w:rsidRDefault="159005E9" w:rsidP="007519FC">
      <w:pPr>
        <w:pStyle w:val="Heading2"/>
      </w:pPr>
      <w:bookmarkStart w:id="20" w:name="_Toc506976377"/>
      <w:r w:rsidRPr="007519FC">
        <w:t>Equation 4 – Baseline energy consumption</w:t>
      </w:r>
      <w:bookmarkEnd w:id="20"/>
      <w:r w:rsidRPr="007519FC">
        <w:t xml:space="preserve"> </w:t>
      </w:r>
    </w:p>
    <w:p w14:paraId="5B2A4828" w14:textId="1F3CA779" w:rsidR="008A65C6" w:rsidRPr="007519FC" w:rsidRDefault="00DA2378" w:rsidP="007519FC">
      <w:pPr>
        <w:spacing w:after="120" w:line="360" w:lineRule="auto"/>
        <w:rPr>
          <w:rFonts w:ascii="Times New Roman" w:hAnsi="Times New Roman" w:cs="Times New Roman"/>
          <w:sz w:val="24"/>
          <w:szCs w:val="24"/>
        </w:rPr>
      </w:pPr>
      <m:oMathPara>
        <m:oMath>
          <m:r>
            <w:rPr>
              <w:rFonts w:ascii="Cambria Math" w:hAnsi="Cambria Math" w:cs="Times New Roman"/>
              <w:sz w:val="24"/>
              <w:szCs w:val="24"/>
            </w:rPr>
            <m:t>Baseline energy consumption=BFx</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B</m:t>
              </m:r>
            </m:sub>
          </m:sSub>
        </m:oMath>
      </m:oMathPara>
    </w:p>
    <w:p w14:paraId="001F1A86" w14:textId="5251BF2F" w:rsidR="008A65C6" w:rsidRPr="007519FC" w:rsidRDefault="159005E9" w:rsidP="007519FC">
      <w:pPr>
        <w:pStyle w:val="BodyText"/>
      </w:pPr>
      <w:r w:rsidRPr="007519FC">
        <w:t>where:</w:t>
      </w:r>
    </w:p>
    <w:p w14:paraId="140BB68D" w14:textId="695A6C1A" w:rsidR="00200671" w:rsidRPr="003D7D1B" w:rsidRDefault="00A95E64" w:rsidP="007519FC">
      <w:pPr>
        <w:pStyle w:val="BodyText"/>
        <w:numPr>
          <w:ilvl w:val="0"/>
          <w:numId w:val="30"/>
        </w:numPr>
      </w:pPr>
      <m:oMath>
        <m:sSub>
          <m:sSubPr>
            <m:ctrlPr>
              <w:rPr>
                <w:rFonts w:ascii="Cambria Math" w:hAnsi="Cambria Math"/>
                <w:i/>
              </w:rPr>
            </m:ctrlPr>
          </m:sSubPr>
          <m:e>
            <m:r>
              <w:rPr>
                <w:rFonts w:ascii="Cambria Math" w:hAnsi="Cambria Math"/>
              </w:rPr>
              <m:t>E</m:t>
            </m:r>
          </m:e>
          <m:sub>
            <m:r>
              <w:rPr>
                <w:rFonts w:ascii="Cambria Math" w:hAnsi="Cambria Math"/>
              </w:rPr>
              <m:t>B</m:t>
            </m:r>
          </m:sub>
        </m:sSub>
      </m:oMath>
      <w:r w:rsidR="00736F7A" w:rsidRPr="007519FC">
        <w:rPr>
          <w:rFonts w:eastAsiaTheme="minorEastAsia"/>
        </w:rPr>
        <w:t xml:space="preserve"> is the </w:t>
      </w:r>
      <w:r w:rsidR="00736F7A" w:rsidRPr="007519FC">
        <w:rPr>
          <w:rFonts w:eastAsiaTheme="minorEastAsia"/>
          <w:i/>
          <w:iCs/>
        </w:rPr>
        <w:t>energy</w:t>
      </w:r>
      <w:r w:rsidR="00736F7A" w:rsidRPr="007519FC">
        <w:rPr>
          <w:rFonts w:eastAsiaTheme="minorEastAsia"/>
        </w:rPr>
        <w:t xml:space="preserve"> consumption</w:t>
      </w:r>
      <w:r w:rsidR="007A562D" w:rsidRPr="007519FC">
        <w:rPr>
          <w:rFonts w:eastAsiaTheme="minorEastAsia"/>
        </w:rPr>
        <w:t xml:space="preserve"> </w:t>
      </w:r>
      <w:r w:rsidR="00BF7E43">
        <w:rPr>
          <w:rFonts w:eastAsiaTheme="minorEastAsia"/>
        </w:rPr>
        <w:t xml:space="preserve">for the baseline period </w:t>
      </w:r>
      <w:r w:rsidR="00736F7A" w:rsidRPr="007519FC">
        <w:rPr>
          <w:rFonts w:eastAsiaTheme="minorEastAsia"/>
        </w:rPr>
        <w:t xml:space="preserve">calculated using </w:t>
      </w:r>
      <w:r w:rsidR="00736F7A" w:rsidRPr="003D7D1B">
        <w:rPr>
          <w:rFonts w:eastAsiaTheme="minorEastAsia"/>
        </w:rPr>
        <w:t xml:space="preserve">the </w:t>
      </w:r>
      <w:r w:rsidR="00BF7E43" w:rsidRPr="003D7D1B">
        <w:rPr>
          <w:rFonts w:eastAsiaTheme="minorEastAsia"/>
          <w:i/>
          <w:iCs/>
        </w:rPr>
        <w:t>reverse calculator</w:t>
      </w:r>
      <w:r w:rsidR="00736F7A" w:rsidRPr="003D7D1B">
        <w:rPr>
          <w:rFonts w:eastAsiaTheme="minorEastAsia"/>
        </w:rPr>
        <w:t xml:space="preserve"> for the approved benchmark </w:t>
      </w:r>
      <w:r w:rsidR="000F3FC5" w:rsidRPr="003D7D1B">
        <w:rPr>
          <w:rFonts w:eastAsiaTheme="minorEastAsia"/>
        </w:rPr>
        <w:t>administrator</w:t>
      </w:r>
      <w:r w:rsidR="00736F7A" w:rsidRPr="003D7D1B">
        <w:rPr>
          <w:rFonts w:eastAsiaTheme="minorEastAsia"/>
        </w:rPr>
        <w:t xml:space="preserve"> specified in the </w:t>
      </w:r>
      <w:r w:rsidR="000F3FC5" w:rsidRPr="003D7D1B">
        <w:rPr>
          <w:rFonts w:eastAsiaTheme="minorEastAsia"/>
        </w:rPr>
        <w:t>scoping approval</w:t>
      </w:r>
      <w:r w:rsidR="00736F7A" w:rsidRPr="003D7D1B">
        <w:rPr>
          <w:rFonts w:eastAsiaTheme="minorEastAsia"/>
        </w:rPr>
        <w:t xml:space="preserve"> and </w:t>
      </w:r>
      <w:r w:rsidR="00721D13" w:rsidRPr="003D7D1B">
        <w:rPr>
          <w:rFonts w:eastAsiaTheme="minorEastAsia"/>
          <w:i/>
          <w:iCs/>
        </w:rPr>
        <w:t>inputs for the reverse calculator</w:t>
      </w:r>
      <w:r w:rsidR="00736F7A" w:rsidRPr="003D7D1B">
        <w:rPr>
          <w:rFonts w:eastAsiaTheme="minorEastAsia"/>
        </w:rPr>
        <w:t xml:space="preserve"> as defined</w:t>
      </w:r>
      <w:r w:rsidR="00736F7A" w:rsidRPr="003D7D1B">
        <w:t xml:space="preserve"> </w:t>
      </w:r>
      <w:r w:rsidR="00736F7A" w:rsidRPr="003D7D1B">
        <w:rPr>
          <w:rFonts w:eastAsiaTheme="minorEastAsia"/>
        </w:rPr>
        <w:t xml:space="preserve">in </w:t>
      </w:r>
      <w:r w:rsidR="00736F7A" w:rsidRPr="003D7D1B">
        <w:t>section</w:t>
      </w:r>
      <w:r w:rsidR="000F3FC5" w:rsidRPr="003D7D1B">
        <w:t xml:space="preserve"> </w:t>
      </w:r>
      <w:r w:rsidR="000F3FC5" w:rsidRPr="003D7D1B">
        <w:fldChar w:fldCharType="begin"/>
      </w:r>
      <w:r w:rsidR="000F3FC5" w:rsidRPr="003D7D1B">
        <w:instrText xml:space="preserve"> REF _Ref522876227 \r \h </w:instrText>
      </w:r>
      <w:r w:rsidR="003D7D1B" w:rsidRPr="003D7D1B">
        <w:instrText xml:space="preserve"> \* MERGEFORMAT </w:instrText>
      </w:r>
      <w:r w:rsidR="000F3FC5" w:rsidRPr="003D7D1B">
        <w:fldChar w:fldCharType="separate"/>
      </w:r>
      <w:r w:rsidR="007010FE" w:rsidRPr="003D7D1B">
        <w:t>(12)</w:t>
      </w:r>
      <w:r w:rsidR="000F3FC5" w:rsidRPr="003D7D1B">
        <w:fldChar w:fldCharType="end"/>
      </w:r>
      <w:r w:rsidR="000F3FC5" w:rsidRPr="003D7D1B">
        <w:t>.</w:t>
      </w:r>
      <w:r w:rsidR="00736F7A" w:rsidRPr="003D7D1B">
        <w:t xml:space="preserve"> </w:t>
      </w:r>
    </w:p>
    <w:p w14:paraId="061FB250" w14:textId="7E063985" w:rsidR="00D74216" w:rsidRPr="007519FC" w:rsidRDefault="159005E9" w:rsidP="007519FC">
      <w:pPr>
        <w:pStyle w:val="ListNumber2"/>
        <w:numPr>
          <w:ilvl w:val="0"/>
          <w:numId w:val="30"/>
        </w:numPr>
      </w:pPr>
      <w:r w:rsidRPr="007519FC">
        <w:rPr>
          <w:rFonts w:eastAsiaTheme="minorEastAsia"/>
          <w:i/>
          <w:iCs/>
        </w:rPr>
        <w:t>BF</w:t>
      </w:r>
      <w:r w:rsidRPr="007519FC">
        <w:rPr>
          <w:rFonts w:eastAsiaTheme="minorEastAsia"/>
        </w:rPr>
        <w:t xml:space="preserve"> is the </w:t>
      </w:r>
      <w:r w:rsidRPr="007519FC">
        <w:rPr>
          <w:rFonts w:eastAsiaTheme="minorEastAsia"/>
          <w:i/>
          <w:iCs/>
        </w:rPr>
        <w:t>benchmark factor</w:t>
      </w:r>
      <w:r w:rsidRPr="007519FC">
        <w:rPr>
          <w:rFonts w:eastAsiaTheme="minorEastAsia"/>
        </w:rPr>
        <w:t xml:space="preserve"> calculated using Equation 5.</w:t>
      </w:r>
    </w:p>
    <w:p w14:paraId="28D8565E" w14:textId="7CBFBB07" w:rsidR="00CF1A0F" w:rsidRPr="007519FC" w:rsidRDefault="00CF1A0F" w:rsidP="007519FC">
      <w:pPr>
        <w:pStyle w:val="ListNumber2"/>
        <w:numPr>
          <w:ilvl w:val="0"/>
          <w:numId w:val="0"/>
        </w:numPr>
        <w:ind w:left="720"/>
      </w:pPr>
    </w:p>
    <w:p w14:paraId="3AD5DD7B" w14:textId="3F63A26A" w:rsidR="00CF1A0F" w:rsidRPr="007519FC" w:rsidRDefault="159005E9" w:rsidP="007519FC">
      <w:pPr>
        <w:pStyle w:val="Heading2"/>
      </w:pPr>
      <w:bookmarkStart w:id="21" w:name="_Toc506976378"/>
      <w:r w:rsidRPr="007519FC">
        <w:t>Equation 5 – Benchmark factor</w:t>
      </w:r>
      <w:bookmarkEnd w:id="21"/>
    </w:p>
    <w:p w14:paraId="399E8BFB" w14:textId="2294139E" w:rsidR="00CF1A0F" w:rsidRPr="007519FC" w:rsidRDefault="00EA5708" w:rsidP="007519FC">
      <w:pPr>
        <w:spacing w:after="120" w:line="360" w:lineRule="auto"/>
        <w:rPr>
          <w:rFonts w:ascii="Times New Roman" w:hAnsi="Times New Roman" w:cs="Times New Roman"/>
          <w:sz w:val="24"/>
          <w:szCs w:val="24"/>
        </w:rPr>
      </w:pPr>
      <m:oMathPara>
        <m:oMath>
          <m:r>
            <w:rPr>
              <w:rFonts w:ascii="Cambria Math" w:hAnsi="Cambria Math" w:cs="Times New Roman"/>
              <w:sz w:val="24"/>
              <w:szCs w:val="24"/>
            </w:rPr>
            <m:t>Benchmark factor=1-0.03n</m:t>
          </m:r>
        </m:oMath>
      </m:oMathPara>
    </w:p>
    <w:p w14:paraId="126CDCED" w14:textId="77777777" w:rsidR="00CF1A0F" w:rsidRPr="007519FC" w:rsidRDefault="159005E9" w:rsidP="007519FC">
      <w:pPr>
        <w:pStyle w:val="BodyText"/>
      </w:pPr>
      <w:r w:rsidRPr="007519FC">
        <w:t>where:</w:t>
      </w:r>
    </w:p>
    <w:p w14:paraId="1D599437" w14:textId="7C1ADD7A" w:rsidR="00CF1A0F" w:rsidRPr="007519FC" w:rsidRDefault="159005E9" w:rsidP="007519FC">
      <w:pPr>
        <w:pStyle w:val="ListNumber2"/>
        <w:numPr>
          <w:ilvl w:val="0"/>
          <w:numId w:val="32"/>
        </w:numPr>
        <w:rPr>
          <w:rFonts w:eastAsiaTheme="minorEastAsia" w:cs="Times New Roman"/>
          <w:lang w:eastAsia="en-US"/>
        </w:rPr>
      </w:pPr>
      <w:r w:rsidRPr="007519FC">
        <w:rPr>
          <w:rFonts w:eastAsiaTheme="minorEastAsia" w:cs="Times New Roman"/>
          <w:i/>
          <w:iCs/>
          <w:lang w:eastAsia="en-US"/>
        </w:rPr>
        <w:t xml:space="preserve">n </w:t>
      </w:r>
      <w:r w:rsidRPr="007519FC">
        <w:rPr>
          <w:rFonts w:eastAsiaTheme="minorEastAsia" w:cs="Times New Roman"/>
          <w:lang w:eastAsia="en-US"/>
        </w:rPr>
        <w:t xml:space="preserve">is the </w:t>
      </w:r>
      <w:r w:rsidRPr="007519FC">
        <w:rPr>
          <w:rFonts w:eastAsiaTheme="minorEastAsia" w:cs="Times New Roman"/>
          <w:i/>
          <w:iCs/>
          <w:lang w:eastAsia="en-US"/>
        </w:rPr>
        <w:t>number of whole years</w:t>
      </w:r>
      <w:r w:rsidRPr="007519FC">
        <w:rPr>
          <w:rFonts w:eastAsiaTheme="minorEastAsia" w:cs="Times New Roman"/>
          <w:lang w:eastAsia="en-US"/>
        </w:rPr>
        <w:t xml:space="preserve"> from the end of the baseline period to the end of the reporting period, as defined in </w:t>
      </w:r>
      <w:r w:rsidRPr="007519FC">
        <w:t xml:space="preserve">section </w:t>
      </w:r>
      <w:r w:rsidR="000F3FC5">
        <w:fldChar w:fldCharType="begin"/>
      </w:r>
      <w:r w:rsidR="000F3FC5">
        <w:instrText xml:space="preserve"> REF _Ref522876270 \r \h </w:instrText>
      </w:r>
      <w:r w:rsidR="000F3FC5">
        <w:fldChar w:fldCharType="separate"/>
      </w:r>
      <w:r w:rsidR="007010FE">
        <w:t>(14)</w:t>
      </w:r>
      <w:r w:rsidR="000F3FC5">
        <w:fldChar w:fldCharType="end"/>
      </w:r>
      <w:r w:rsidR="000F3FC5">
        <w:t>.</w:t>
      </w:r>
    </w:p>
    <w:p w14:paraId="115826B5" w14:textId="3CC178C5" w:rsidR="007961BF" w:rsidRPr="007519FC" w:rsidRDefault="007961BF" w:rsidP="007519FC">
      <w:pPr>
        <w:pStyle w:val="ListNumber2"/>
        <w:numPr>
          <w:ilvl w:val="0"/>
          <w:numId w:val="0"/>
        </w:numPr>
      </w:pPr>
    </w:p>
    <w:p w14:paraId="5CC072FD" w14:textId="75B0064F" w:rsidR="00003F94" w:rsidRPr="007519FC" w:rsidRDefault="159005E9" w:rsidP="007519FC">
      <w:pPr>
        <w:pStyle w:val="Heading2"/>
      </w:pPr>
      <w:bookmarkStart w:id="22" w:name="_Toc506976379"/>
      <w:r w:rsidRPr="007519FC">
        <w:t>Time at which prescribed activity is undertaken and reduction in greenhouse gas emissions occurs</w:t>
      </w:r>
      <w:bookmarkEnd w:id="22"/>
    </w:p>
    <w:p w14:paraId="69156550" w14:textId="6618E7B8" w:rsidR="00EA5708" w:rsidRPr="007519FC" w:rsidRDefault="159005E9" w:rsidP="007519FC">
      <w:pPr>
        <w:pStyle w:val="BodyText"/>
        <w:rPr>
          <w:lang w:eastAsia="en-AU"/>
        </w:rPr>
      </w:pPr>
      <w:r w:rsidRPr="007519FC">
        <w:rPr>
          <w:lang w:eastAsia="en-AU"/>
        </w:rPr>
        <w:t>For the purpose of creating certificates using a reduction in greenhouse gases calculated for a reporting period:</w:t>
      </w:r>
    </w:p>
    <w:p w14:paraId="332BECE7" w14:textId="338D50C1" w:rsidR="00003F94" w:rsidRPr="007519FC" w:rsidRDefault="159005E9" w:rsidP="007519FC">
      <w:pPr>
        <w:pStyle w:val="ListNumber"/>
      </w:pPr>
      <w:r w:rsidRPr="007519FC">
        <w:t>The project is taken to have been undertaken at the end of the reporting period.</w:t>
      </w:r>
    </w:p>
    <w:p w14:paraId="45E685B9" w14:textId="77777777" w:rsidR="003A526A" w:rsidRPr="007519FC" w:rsidRDefault="159005E9" w:rsidP="007519FC">
      <w:pPr>
        <w:pStyle w:val="ListNumber"/>
      </w:pPr>
      <w:r w:rsidRPr="007519FC">
        <w:t>The reduction in greenhouse gas emissions that results from a project is taken to have occurred 6 months after the end of the reporting period.</w:t>
      </w:r>
    </w:p>
    <w:p w14:paraId="2A1B15B1" w14:textId="33C9203D" w:rsidR="00003F94" w:rsidRPr="007519FC" w:rsidRDefault="003A526A" w:rsidP="007519FC">
      <w:pPr>
        <w:pStyle w:val="ListNumber"/>
        <w:numPr>
          <w:ilvl w:val="0"/>
          <w:numId w:val="0"/>
        </w:numPr>
        <w:ind w:left="360"/>
      </w:pPr>
      <w:r w:rsidRPr="007519FC">
        <w:t xml:space="preserve"> </w:t>
      </w:r>
    </w:p>
    <w:p w14:paraId="5DFEB93B" w14:textId="77777777" w:rsidR="003D7D1B" w:rsidRDefault="003D7D1B">
      <w:pPr>
        <w:rPr>
          <w:b/>
          <w:bCs/>
          <w:color w:val="0072CE" w:themeColor="text2"/>
          <w:kern w:val="32"/>
          <w:sz w:val="40"/>
          <w:szCs w:val="32"/>
        </w:rPr>
      </w:pPr>
      <w:bookmarkStart w:id="23" w:name="_Toc506976380"/>
      <w:r>
        <w:br w:type="page"/>
      </w:r>
    </w:p>
    <w:p w14:paraId="6C1BE75D" w14:textId="1561A4DF" w:rsidR="00872404" w:rsidRPr="007519FC" w:rsidRDefault="159005E9" w:rsidP="007519FC">
      <w:pPr>
        <w:pStyle w:val="Heading1"/>
      </w:pPr>
      <w:r w:rsidRPr="007519FC">
        <w:lastRenderedPageBreak/>
        <w:t>Variables</w:t>
      </w:r>
      <w:bookmarkEnd w:id="23"/>
    </w:p>
    <w:p w14:paraId="1D604F80" w14:textId="7DE741ED" w:rsidR="00507F42" w:rsidRDefault="159005E9" w:rsidP="007519FC">
      <w:pPr>
        <w:pStyle w:val="Heading2"/>
        <w:spacing w:line="260" w:lineRule="exact"/>
      </w:pPr>
      <w:bookmarkStart w:id="24" w:name="_Toc506976381"/>
      <w:r w:rsidRPr="007519FC">
        <w:t>Terms</w:t>
      </w:r>
      <w:bookmarkEnd w:id="24"/>
    </w:p>
    <w:p w14:paraId="36001FF9" w14:textId="77777777" w:rsidR="001E2EC7" w:rsidRPr="007519FC" w:rsidRDefault="001E2EC7" w:rsidP="001E2EC7">
      <w:pPr>
        <w:pStyle w:val="ListNumber"/>
      </w:pPr>
      <w:bookmarkStart w:id="25" w:name="_Ref522875354"/>
      <w:r w:rsidRPr="007519FC">
        <w:t>Counted savings</w:t>
      </w:r>
      <w:bookmarkEnd w:id="25"/>
    </w:p>
    <w:p w14:paraId="3DD764FB" w14:textId="77777777" w:rsidR="001E2EC7" w:rsidRPr="007519FC" w:rsidRDefault="001E2EC7" w:rsidP="001E2EC7">
      <w:pPr>
        <w:pStyle w:val="ListNumber2"/>
        <w:numPr>
          <w:ilvl w:val="0"/>
          <w:numId w:val="26"/>
        </w:numPr>
        <w:ind w:left="680" w:hanging="340"/>
      </w:pPr>
      <w:r w:rsidRPr="007519FC">
        <w:t>Counted savings are the reduction of carbon dioxide equivalent (in tonnes) of greenhouse gases represented by certificates created in respect of activities undertaken within the measurement boundary after the end of the baseline period, unless accounted for in an earlier reporting period.</w:t>
      </w:r>
    </w:p>
    <w:p w14:paraId="0B49BCA4" w14:textId="26A9065A" w:rsidR="001E2EC7" w:rsidRPr="007519FC" w:rsidRDefault="001E2EC7" w:rsidP="001E2EC7">
      <w:pPr>
        <w:pStyle w:val="ListNumber2"/>
        <w:ind w:left="680" w:hanging="340"/>
      </w:pPr>
      <w:r w:rsidRPr="007519FC">
        <w:t xml:space="preserve">An adjustment may be made to counted savings in respect of activities prescribed by the </w:t>
      </w:r>
      <w:r w:rsidR="003D7D1B">
        <w:t>Victorian Energy Efficiency Target</w:t>
      </w:r>
      <w:r w:rsidR="003D7D1B" w:rsidRPr="007519FC">
        <w:t xml:space="preserve"> </w:t>
      </w:r>
      <w:r w:rsidRPr="007519FC">
        <w:t>Regulations 20</w:t>
      </w:r>
      <w:r w:rsidR="000F3FC5">
        <w:t>1</w:t>
      </w:r>
      <w:r w:rsidRPr="007519FC">
        <w:t>8 if:</w:t>
      </w:r>
    </w:p>
    <w:p w14:paraId="26D68FAF" w14:textId="77777777" w:rsidR="001E2EC7" w:rsidRPr="007519FC" w:rsidRDefault="001E2EC7" w:rsidP="001E2EC7">
      <w:pPr>
        <w:pStyle w:val="ListNumber3"/>
      </w:pPr>
      <w:r w:rsidRPr="007519FC">
        <w:t>the adjustment corrects for the number of years that the savings coincide with the remaining eligible annual reporting periods; or</w:t>
      </w:r>
    </w:p>
    <w:p w14:paraId="1052F795" w14:textId="0716448A" w:rsidR="001E2EC7" w:rsidRPr="007519FC" w:rsidRDefault="001E2EC7" w:rsidP="001E2EC7">
      <w:pPr>
        <w:pStyle w:val="ListNumber3"/>
      </w:pPr>
      <w:r w:rsidRPr="007519FC">
        <w:t xml:space="preserve">the adjustment is required for compliance with Regulation </w:t>
      </w:r>
      <w:r w:rsidRPr="00A41A12">
        <w:t>14</w:t>
      </w:r>
      <w:r w:rsidR="000F3FC5" w:rsidRPr="00A41A12">
        <w:t>(b)</w:t>
      </w:r>
      <w:r w:rsidRPr="007519FC">
        <w:t xml:space="preserve"> of the </w:t>
      </w:r>
      <w:r w:rsidR="003D7D1B">
        <w:t>Victorian Energy Efficiency Target</w:t>
      </w:r>
      <w:r w:rsidR="003D7D1B" w:rsidRPr="007519FC">
        <w:t xml:space="preserve"> </w:t>
      </w:r>
      <w:r w:rsidRPr="007519FC">
        <w:t>(Project-Based Activities) Regulations 2017.</w:t>
      </w:r>
    </w:p>
    <w:p w14:paraId="59F0BBC9" w14:textId="77777777" w:rsidR="001E2EC7" w:rsidRPr="007519FC" w:rsidRDefault="001E2EC7" w:rsidP="001E2EC7">
      <w:pPr>
        <w:pStyle w:val="BodyText"/>
        <w:rPr>
          <w:lang w:eastAsia="en-AU"/>
        </w:rPr>
      </w:pPr>
    </w:p>
    <w:p w14:paraId="0360F1C1" w14:textId="77777777" w:rsidR="001E2EC7" w:rsidRPr="007519FC" w:rsidRDefault="001E2EC7" w:rsidP="001E2EC7">
      <w:pPr>
        <w:pStyle w:val="ListNumber"/>
      </w:pPr>
      <w:bookmarkStart w:id="26" w:name="_Ref468700865"/>
      <w:r>
        <w:t xml:space="preserve"> </w:t>
      </w:r>
      <w:bookmarkStart w:id="27" w:name="_Ref522875288"/>
      <w:r w:rsidRPr="007519FC">
        <w:t>Emissions factors</w:t>
      </w:r>
      <w:bookmarkEnd w:id="26"/>
      <w:bookmarkEnd w:id="27"/>
    </w:p>
    <w:p w14:paraId="39272386" w14:textId="77777777" w:rsidR="001E2EC7" w:rsidRPr="007519FC" w:rsidRDefault="001E2EC7" w:rsidP="001E2EC7">
      <w:pPr>
        <w:pStyle w:val="ListNumber2"/>
        <w:numPr>
          <w:ilvl w:val="0"/>
          <w:numId w:val="22"/>
        </w:numPr>
        <w:ind w:left="680" w:hanging="340"/>
      </w:pPr>
      <w:r w:rsidRPr="007519FC">
        <w:t>For the purposes of Equation 1, the emissions factor:</w:t>
      </w:r>
    </w:p>
    <w:p w14:paraId="2D8A9E2D" w14:textId="77777777" w:rsidR="001E2EC7" w:rsidRPr="007519FC" w:rsidRDefault="001E2EC7" w:rsidP="001E2EC7">
      <w:pPr>
        <w:pStyle w:val="ListNumber3"/>
        <w:numPr>
          <w:ilvl w:val="0"/>
          <w:numId w:val="25"/>
        </w:numPr>
        <w:ind w:left="1049" w:hanging="369"/>
      </w:pPr>
      <w:r w:rsidRPr="007519FC">
        <w:t>for electricity is 1.095;</w:t>
      </w:r>
    </w:p>
    <w:p w14:paraId="39E2FDAA" w14:textId="77777777" w:rsidR="001E2EC7" w:rsidRPr="007519FC" w:rsidRDefault="001E2EC7" w:rsidP="001E2EC7">
      <w:pPr>
        <w:pStyle w:val="ListNumber3"/>
        <w:numPr>
          <w:ilvl w:val="0"/>
          <w:numId w:val="25"/>
        </w:numPr>
        <w:ind w:left="1049" w:hanging="369"/>
      </w:pPr>
      <w:r w:rsidRPr="007519FC">
        <w:t>for natural gas is 0.05523;</w:t>
      </w:r>
    </w:p>
    <w:p w14:paraId="542A2A04" w14:textId="77777777" w:rsidR="001E2EC7" w:rsidRPr="007519FC" w:rsidRDefault="001E2EC7" w:rsidP="001E2EC7">
      <w:pPr>
        <w:pStyle w:val="ListNumber3"/>
        <w:numPr>
          <w:ilvl w:val="0"/>
          <w:numId w:val="25"/>
        </w:numPr>
        <w:ind w:left="1049" w:hanging="369"/>
      </w:pPr>
      <w:r w:rsidRPr="007519FC">
        <w:t>for liquefied petroleum gas is 0.0642;</w:t>
      </w:r>
    </w:p>
    <w:p w14:paraId="709AAB53" w14:textId="77777777" w:rsidR="001E2EC7" w:rsidRPr="007519FC" w:rsidRDefault="001E2EC7" w:rsidP="001E2EC7">
      <w:pPr>
        <w:pStyle w:val="ListNumber3"/>
        <w:numPr>
          <w:ilvl w:val="0"/>
          <w:numId w:val="25"/>
        </w:numPr>
      </w:pPr>
      <w:r w:rsidRPr="007519FC">
        <w:t>for solar, wind, hydroelectric, geothermal and ocean energy is zero;</w:t>
      </w:r>
    </w:p>
    <w:p w14:paraId="78AB811D" w14:textId="2721C8DC" w:rsidR="001E2EC7" w:rsidRDefault="001E2EC7" w:rsidP="001E2EC7">
      <w:pPr>
        <w:pStyle w:val="ListNumber3"/>
        <w:numPr>
          <w:ilvl w:val="0"/>
          <w:numId w:val="25"/>
        </w:numPr>
        <w:ind w:left="1049" w:hanging="369"/>
      </w:pPr>
      <w:r w:rsidRPr="007519FC">
        <w:t>for any other renewable energy is the relevant emissions factor for the renewable energy listed in Section 2.1 of the National Greenhouse Acc</w:t>
      </w:r>
      <w:r w:rsidR="00A06AE7">
        <w:t xml:space="preserve">ounts Factors published by the </w:t>
      </w:r>
      <w:r w:rsidR="00A06AE7" w:rsidRPr="00D01A0D">
        <w:t>Commonwealth Department of the Environment in August 201</w:t>
      </w:r>
      <w:r w:rsidR="00A06AE7">
        <w:t>6</w:t>
      </w:r>
      <w:r w:rsidRPr="007519FC">
        <w:t>.</w:t>
      </w:r>
    </w:p>
    <w:p w14:paraId="54B1E39C" w14:textId="77777777" w:rsidR="001E2EC7" w:rsidRDefault="001E2EC7" w:rsidP="001E2EC7">
      <w:pPr>
        <w:pStyle w:val="ListNumber3"/>
        <w:numPr>
          <w:ilvl w:val="0"/>
          <w:numId w:val="0"/>
        </w:numPr>
        <w:ind w:left="1070" w:hanging="360"/>
      </w:pPr>
    </w:p>
    <w:p w14:paraId="5002D6FF" w14:textId="77777777" w:rsidR="001E2EC7" w:rsidRPr="007519FC" w:rsidRDefault="001E2EC7" w:rsidP="001E2EC7">
      <w:pPr>
        <w:pStyle w:val="ListNumber"/>
      </w:pPr>
      <w:bookmarkStart w:id="28" w:name="_Ref522875498"/>
      <w:r w:rsidRPr="007519FC">
        <w:t>Similar configuration</w:t>
      </w:r>
      <w:bookmarkEnd w:id="28"/>
    </w:p>
    <w:p w14:paraId="17FED55F" w14:textId="77777777" w:rsidR="001E2EC7" w:rsidRPr="007519FC" w:rsidRDefault="001E2EC7" w:rsidP="001E2EC7">
      <w:pPr>
        <w:pStyle w:val="ListNumber2"/>
        <w:numPr>
          <w:ilvl w:val="0"/>
          <w:numId w:val="40"/>
        </w:numPr>
        <w:ind w:left="709"/>
      </w:pPr>
      <w:r w:rsidRPr="007519FC">
        <w:t>The baseline energy consumption and reporting energy consumption, calculated in Equation 3 and Equation 4, must have a similar configuration for the premises, as defined below:</w:t>
      </w:r>
    </w:p>
    <w:p w14:paraId="264C6419" w14:textId="2FF8D3FB" w:rsidR="001E2EC7" w:rsidRPr="007519FC" w:rsidRDefault="001E2EC7" w:rsidP="001E2EC7">
      <w:pPr>
        <w:pStyle w:val="ListNumber3"/>
        <w:numPr>
          <w:ilvl w:val="0"/>
          <w:numId w:val="34"/>
        </w:numPr>
      </w:pPr>
      <w:r w:rsidRPr="007519FC">
        <w:t xml:space="preserve">the sub-metering arrangements are the same. A premises’ sub-metering arrangements are considered the same if, at the time a building was rated </w:t>
      </w:r>
      <w:r w:rsidR="000F3FC5" w:rsidRPr="00A06AE7">
        <w:t>during the baseline</w:t>
      </w:r>
      <w:r w:rsidRPr="00A06AE7">
        <w:t xml:space="preserve"> and reporting </w:t>
      </w:r>
      <w:r w:rsidR="000F3FC5" w:rsidRPr="00A06AE7">
        <w:t>periods</w:t>
      </w:r>
      <w:r w:rsidRPr="00A06AE7">
        <w:t>, the sub-metering arrangements (if any) covered the same space as determined by the assessor for each rating, using the evide</w:t>
      </w:r>
      <w:r w:rsidR="000F3FC5" w:rsidRPr="00A06AE7">
        <w:t>nce required by the benchmark</w:t>
      </w:r>
      <w:r w:rsidRPr="00A06AE7">
        <w:t xml:space="preserve"> administrator that is relevant to the </w:t>
      </w:r>
      <w:r w:rsidR="000F3FC5" w:rsidRPr="00A06AE7">
        <w:t>type of premises or the type of area within a premises.</w:t>
      </w:r>
    </w:p>
    <w:p w14:paraId="5BA8CA9A" w14:textId="44C783E8" w:rsidR="001E2EC7" w:rsidRPr="007519FC" w:rsidRDefault="001E2EC7" w:rsidP="001E2EC7">
      <w:pPr>
        <w:pStyle w:val="ListNumber3"/>
        <w:numPr>
          <w:ilvl w:val="0"/>
          <w:numId w:val="34"/>
        </w:numPr>
      </w:pPr>
      <w:r w:rsidRPr="007519FC">
        <w:t xml:space="preserve">where the conditions defined in (i) are not met, </w:t>
      </w:r>
      <w:r>
        <w:t xml:space="preserve">changes in </w:t>
      </w:r>
      <w:r w:rsidRPr="007519FC">
        <w:t>sub-metering arrangements</w:t>
      </w:r>
      <w:r>
        <w:t xml:space="preserve"> resulting in changes in energy consumption due to a reduced space</w:t>
      </w:r>
      <w:r w:rsidRPr="007519FC">
        <w:t xml:space="preserve"> must be discounted from energy savings</w:t>
      </w:r>
      <w:r>
        <w:t>. This discount will be done</w:t>
      </w:r>
      <w:r w:rsidRPr="007519FC">
        <w:t xml:space="preserve"> </w:t>
      </w:r>
      <w:r>
        <w:t>as</w:t>
      </w:r>
      <w:r w:rsidRPr="007519FC">
        <w:t xml:space="preserve"> unaccounted energy consumption, as described in </w:t>
      </w:r>
      <w:r w:rsidR="000F3FC5">
        <w:fldChar w:fldCharType="begin"/>
      </w:r>
      <w:r w:rsidR="000F3FC5">
        <w:instrText xml:space="preserve"> REF _Ref522876095 \r \h </w:instrText>
      </w:r>
      <w:r w:rsidR="000F3FC5">
        <w:fldChar w:fldCharType="separate"/>
      </w:r>
      <w:r w:rsidR="007010FE">
        <w:t>(9)</w:t>
      </w:r>
      <w:r w:rsidR="000F3FC5">
        <w:fldChar w:fldCharType="end"/>
      </w:r>
      <w:r w:rsidR="000F3FC5">
        <w:t xml:space="preserve"> </w:t>
      </w:r>
      <w:r w:rsidRPr="007519FC">
        <w:t>below</w:t>
      </w:r>
      <w:r>
        <w:t>.</w:t>
      </w:r>
      <w:r w:rsidRPr="007519FC">
        <w:t xml:space="preserve"> </w:t>
      </w:r>
      <w:r>
        <w:t>These changes must be</w:t>
      </w:r>
      <w:r w:rsidRPr="007519FC">
        <w:t xml:space="preserve"> metered and recorded over the rating period.</w:t>
      </w:r>
    </w:p>
    <w:p w14:paraId="757166A2" w14:textId="77777777" w:rsidR="001E2EC7" w:rsidRPr="007519FC" w:rsidRDefault="001E2EC7" w:rsidP="001E2EC7">
      <w:pPr>
        <w:pStyle w:val="ListNumber3"/>
        <w:numPr>
          <w:ilvl w:val="0"/>
          <w:numId w:val="0"/>
        </w:numPr>
      </w:pPr>
    </w:p>
    <w:p w14:paraId="1A7B5C40" w14:textId="77777777" w:rsidR="001E2EC7" w:rsidRPr="007519FC" w:rsidRDefault="001E2EC7" w:rsidP="001E2EC7">
      <w:pPr>
        <w:pStyle w:val="ListNumber"/>
      </w:pPr>
      <w:r>
        <w:t xml:space="preserve"> </w:t>
      </w:r>
      <w:bookmarkStart w:id="29" w:name="_Ref522876095"/>
      <w:r w:rsidRPr="007519FC">
        <w:t>Unaccounted energy consumption</w:t>
      </w:r>
      <w:bookmarkEnd w:id="29"/>
    </w:p>
    <w:p w14:paraId="098EBF6C" w14:textId="77777777" w:rsidR="001E2EC7" w:rsidRPr="007519FC" w:rsidRDefault="001E2EC7" w:rsidP="001E2EC7">
      <w:pPr>
        <w:pStyle w:val="ListNumber2"/>
        <w:numPr>
          <w:ilvl w:val="0"/>
          <w:numId w:val="33"/>
        </w:numPr>
        <w:ind w:left="709"/>
        <w:jc w:val="both"/>
      </w:pPr>
      <w:r w:rsidRPr="007519FC">
        <w:t>Where “energy” consumption in Equation 3 is taken to mean “electricity”, the unaccounted energy consumption is the electricity consumption (in MWh) during the reporting period, at the premises where the project is undertaken, that is not included in reporting electricity consumption as a result of:</w:t>
      </w:r>
    </w:p>
    <w:p w14:paraId="4452403E" w14:textId="7D6D3ACA" w:rsidR="001E2EC7" w:rsidRPr="007519FC" w:rsidRDefault="001E2EC7" w:rsidP="001E2EC7">
      <w:pPr>
        <w:pStyle w:val="ListNumber3"/>
        <w:numPr>
          <w:ilvl w:val="0"/>
          <w:numId w:val="41"/>
        </w:numPr>
      </w:pPr>
      <w:r w:rsidRPr="007519FC">
        <w:lastRenderedPageBreak/>
        <w:t xml:space="preserve">electricity generated from renewable energy systems installed between the </w:t>
      </w:r>
      <w:r>
        <w:t xml:space="preserve">end of the </w:t>
      </w:r>
      <w:r w:rsidRPr="007519FC">
        <w:t xml:space="preserve">baseline and the </w:t>
      </w:r>
      <w:r>
        <w:t xml:space="preserve">end of the </w:t>
      </w:r>
      <w:r w:rsidRPr="007519FC">
        <w:t xml:space="preserve">reporting period for which incentives have been received under a prescribed greenhouse gas scheme as specified in </w:t>
      </w:r>
      <w:r w:rsidR="00A06AE7">
        <w:t>Regulation 38 of the VEET Regulations 2</w:t>
      </w:r>
      <w:r w:rsidRPr="007519FC">
        <w:t>0</w:t>
      </w:r>
      <w:r w:rsidR="00A06AE7">
        <w:t>1</w:t>
      </w:r>
      <w:r w:rsidRPr="007519FC">
        <w:t>8;</w:t>
      </w:r>
    </w:p>
    <w:p w14:paraId="2277523B" w14:textId="77777777" w:rsidR="001E2EC7" w:rsidRPr="007519FC" w:rsidRDefault="001E2EC7" w:rsidP="001E2EC7">
      <w:pPr>
        <w:pStyle w:val="ListNumber3"/>
        <w:numPr>
          <w:ilvl w:val="0"/>
          <w:numId w:val="0"/>
        </w:numPr>
        <w:ind w:left="1134" w:hanging="141"/>
        <w:jc w:val="both"/>
        <w:rPr>
          <w:sz w:val="18"/>
          <w:szCs w:val="18"/>
        </w:rPr>
      </w:pPr>
      <w:r w:rsidRPr="007519FC">
        <w:rPr>
          <w:sz w:val="18"/>
          <w:szCs w:val="18"/>
        </w:rPr>
        <w:t xml:space="preserve"> Note: this means that renewable energy which has not generated incentives in these prescribed schemes is not unaccounted energy. Energy exported to the electricity grid is excluded from the energy consumption. </w:t>
      </w:r>
    </w:p>
    <w:p w14:paraId="569A74C1" w14:textId="17C9C571" w:rsidR="001E2EC7" w:rsidRPr="007519FC" w:rsidRDefault="001E2EC7" w:rsidP="001E2EC7">
      <w:pPr>
        <w:pStyle w:val="ListNumber3"/>
        <w:numPr>
          <w:ilvl w:val="0"/>
          <w:numId w:val="34"/>
        </w:numPr>
      </w:pPr>
      <w:r w:rsidRPr="007519FC">
        <w:t xml:space="preserve">changes in the metering arrangements at the building between the start of the baseline period and the end of the reporting period, as defined in </w:t>
      </w:r>
      <w:r w:rsidR="000F3FC5">
        <w:fldChar w:fldCharType="begin"/>
      </w:r>
      <w:r w:rsidR="000F3FC5">
        <w:instrText xml:space="preserve"> REF _Ref522876498 \r \h </w:instrText>
      </w:r>
      <w:r w:rsidR="000F3FC5">
        <w:fldChar w:fldCharType="separate"/>
      </w:r>
      <w:r w:rsidR="007010FE">
        <w:t>(10)</w:t>
      </w:r>
      <w:r w:rsidR="000F3FC5">
        <w:fldChar w:fldCharType="end"/>
      </w:r>
      <w:r w:rsidR="000F3FC5">
        <w:t xml:space="preserve"> </w:t>
      </w:r>
      <w:r w:rsidRPr="007519FC">
        <w:t>below.</w:t>
      </w:r>
    </w:p>
    <w:p w14:paraId="7E7DE959" w14:textId="7D684A33" w:rsidR="001E2EC7" w:rsidRPr="007519FC" w:rsidRDefault="001E2EC7" w:rsidP="001E2EC7">
      <w:pPr>
        <w:pStyle w:val="ListNumber3"/>
        <w:numPr>
          <w:ilvl w:val="0"/>
          <w:numId w:val="34"/>
        </w:numPr>
      </w:pPr>
      <w:r w:rsidRPr="007519FC">
        <w:t xml:space="preserve">Where “energy” consumption in Equation 3 is taken to mean “gas”, the unaccounted energy </w:t>
      </w:r>
      <w:r>
        <w:t xml:space="preserve">consumption is the gas consumption (in GJ) during the reporting period, at the premises where the project is undertaken, that is not included in the reporting gas consumption as a result of changes in the metering arrangements at the building between the </w:t>
      </w:r>
      <w:r w:rsidRPr="007519FC">
        <w:t xml:space="preserve">start of the baseline period and the end of the reporting period, as defined in </w:t>
      </w:r>
      <w:r w:rsidR="000F3FC5">
        <w:fldChar w:fldCharType="begin"/>
      </w:r>
      <w:r w:rsidR="000F3FC5">
        <w:instrText xml:space="preserve"> REF _Ref522876498 \r \h </w:instrText>
      </w:r>
      <w:r w:rsidR="000F3FC5">
        <w:fldChar w:fldCharType="separate"/>
      </w:r>
      <w:r w:rsidR="007010FE">
        <w:t>(10)</w:t>
      </w:r>
      <w:r w:rsidR="000F3FC5">
        <w:fldChar w:fldCharType="end"/>
      </w:r>
      <w:r w:rsidR="000F3FC5">
        <w:t xml:space="preserve"> </w:t>
      </w:r>
      <w:r w:rsidRPr="007519FC">
        <w:t>below.</w:t>
      </w:r>
    </w:p>
    <w:p w14:paraId="3F6E0859" w14:textId="77777777" w:rsidR="001E2EC7" w:rsidRPr="007519FC" w:rsidRDefault="001E2EC7" w:rsidP="001E2EC7">
      <w:pPr>
        <w:pStyle w:val="BodyText"/>
      </w:pPr>
    </w:p>
    <w:p w14:paraId="7B431279" w14:textId="77777777" w:rsidR="001E2EC7" w:rsidRPr="007519FC" w:rsidRDefault="001E2EC7" w:rsidP="001E2EC7">
      <w:pPr>
        <w:pStyle w:val="ListNumber"/>
      </w:pPr>
      <w:r>
        <w:t xml:space="preserve"> </w:t>
      </w:r>
      <w:bookmarkStart w:id="30" w:name="_Ref522876498"/>
      <w:r w:rsidRPr="007519FC">
        <w:t>Changes in metering arrangements</w:t>
      </w:r>
      <w:bookmarkEnd w:id="30"/>
      <w:r w:rsidRPr="007519FC">
        <w:t xml:space="preserve"> </w:t>
      </w:r>
    </w:p>
    <w:p w14:paraId="5728AB7C" w14:textId="77777777" w:rsidR="001E2EC7" w:rsidRDefault="001E2EC7" w:rsidP="001E2EC7">
      <w:pPr>
        <w:pStyle w:val="ListNumber2"/>
        <w:numPr>
          <w:ilvl w:val="0"/>
          <w:numId w:val="35"/>
        </w:numPr>
        <w:ind w:left="709"/>
      </w:pPr>
      <w:r w:rsidRPr="007519FC">
        <w:t>Changes in metering arrangements are allowed over the course of the project, provided changes in the energy boundary have been metered and recorded over the rating period.</w:t>
      </w:r>
    </w:p>
    <w:p w14:paraId="16F31733" w14:textId="77777777" w:rsidR="001E2EC7" w:rsidRDefault="001E2EC7" w:rsidP="001E2EC7">
      <w:pPr>
        <w:pStyle w:val="ListNumber2"/>
        <w:numPr>
          <w:ilvl w:val="0"/>
          <w:numId w:val="0"/>
        </w:numPr>
      </w:pPr>
    </w:p>
    <w:p w14:paraId="4B6EA5D9" w14:textId="1FF16A8A" w:rsidR="001E2EC7" w:rsidRPr="00A06AE7" w:rsidRDefault="001E2EC7" w:rsidP="001E2EC7">
      <w:pPr>
        <w:pStyle w:val="ListNumber"/>
      </w:pPr>
      <w:r>
        <w:t xml:space="preserve"> </w:t>
      </w:r>
      <w:bookmarkStart w:id="31" w:name="_Ref522875972"/>
      <w:r w:rsidRPr="00A06AE7">
        <w:t xml:space="preserve">Benchmark </w:t>
      </w:r>
      <w:bookmarkEnd w:id="31"/>
      <w:r w:rsidR="007010FE" w:rsidRPr="00A06AE7">
        <w:t>rating document</w:t>
      </w:r>
    </w:p>
    <w:p w14:paraId="39C4EFF3" w14:textId="1B1DE92F" w:rsidR="001E2EC7" w:rsidRPr="00A06AE7" w:rsidRDefault="001E2EC7" w:rsidP="003D7D1B">
      <w:pPr>
        <w:pStyle w:val="ListNumber2"/>
        <w:numPr>
          <w:ilvl w:val="0"/>
          <w:numId w:val="59"/>
        </w:numPr>
        <w:ind w:left="851" w:hanging="425"/>
      </w:pPr>
      <w:r w:rsidRPr="00A06AE7">
        <w:t>A document that was issued by the benchmark administrator nominated at scoping approval and meets the requirements under regulation 11A</w:t>
      </w:r>
      <w:r w:rsidR="000F3FC5" w:rsidRPr="00A06AE7">
        <w:t xml:space="preserve"> </w:t>
      </w:r>
      <w:r w:rsidRPr="00A06AE7">
        <w:t>(3) and 11</w:t>
      </w:r>
      <w:r w:rsidR="000F3FC5" w:rsidRPr="00A06AE7">
        <w:t xml:space="preserve">A </w:t>
      </w:r>
      <w:r w:rsidRPr="00A06AE7">
        <w:t>(4) of the VEET PBA Regulations 2017.</w:t>
      </w:r>
    </w:p>
    <w:p w14:paraId="1275F2ED" w14:textId="77777777" w:rsidR="000F3FC5" w:rsidRDefault="000F3FC5" w:rsidP="001E2EC7">
      <w:pPr>
        <w:pStyle w:val="ListNumber3"/>
        <w:numPr>
          <w:ilvl w:val="0"/>
          <w:numId w:val="0"/>
        </w:numPr>
        <w:ind w:left="1070" w:hanging="360"/>
      </w:pPr>
    </w:p>
    <w:p w14:paraId="75D09019" w14:textId="66B7CA97" w:rsidR="000F3FC5" w:rsidRPr="007519FC" w:rsidRDefault="000F3FC5" w:rsidP="000F3FC5">
      <w:pPr>
        <w:pStyle w:val="ListNumber"/>
      </w:pPr>
      <w:bookmarkStart w:id="32" w:name="_Ref522876227"/>
      <w:r>
        <w:t xml:space="preserve"> </w:t>
      </w:r>
      <w:r w:rsidRPr="007519FC">
        <w:t>Inputs for the</w:t>
      </w:r>
      <w:r w:rsidR="00BF7E43">
        <w:t xml:space="preserve"> </w:t>
      </w:r>
      <w:r w:rsidRPr="007519FC">
        <w:t>reverse calculator</w:t>
      </w:r>
      <w:bookmarkEnd w:id="32"/>
    </w:p>
    <w:p w14:paraId="219833C9" w14:textId="671F99F4" w:rsidR="00BF7E43" w:rsidRDefault="00BF7E43" w:rsidP="000F3FC5">
      <w:pPr>
        <w:pStyle w:val="ListNumber2"/>
        <w:numPr>
          <w:ilvl w:val="0"/>
          <w:numId w:val="17"/>
        </w:numPr>
        <w:ind w:left="680" w:hanging="340"/>
        <w:jc w:val="both"/>
      </w:pPr>
      <w:r>
        <w:t xml:space="preserve">A reverse calculator is an electronic mechanism for calculating the maximum energy that the premises can consume for a given benchmark rating, as defined in the </w:t>
      </w:r>
      <w:r w:rsidR="00A06AE7" w:rsidRPr="00A06AE7">
        <w:t xml:space="preserve">VEET </w:t>
      </w:r>
      <w:r w:rsidRPr="00A06AE7">
        <w:t>PBA Regulations 17A.</w:t>
      </w:r>
    </w:p>
    <w:p w14:paraId="5D34FE0D" w14:textId="25EA2029" w:rsidR="000F3FC5" w:rsidRPr="00A06AE7" w:rsidRDefault="00BF7E43" w:rsidP="000F3FC5">
      <w:pPr>
        <w:pStyle w:val="ListNumber2"/>
        <w:numPr>
          <w:ilvl w:val="0"/>
          <w:numId w:val="17"/>
        </w:numPr>
        <w:ind w:left="680" w:hanging="340"/>
        <w:jc w:val="both"/>
      </w:pPr>
      <w:r>
        <w:t>Subject to (d</w:t>
      </w:r>
      <w:r w:rsidR="000F3FC5" w:rsidRPr="007519FC">
        <w:t xml:space="preserve">) the inputs for the reverse calculator must be the </w:t>
      </w:r>
      <w:r w:rsidR="000F3FC5" w:rsidRPr="00A06AE7">
        <w:t xml:space="preserve">other variables published in the reporting rating. </w:t>
      </w:r>
    </w:p>
    <w:p w14:paraId="55031303" w14:textId="77777777" w:rsidR="000F3FC5" w:rsidRPr="007519FC" w:rsidRDefault="000F3FC5" w:rsidP="000F3FC5">
      <w:pPr>
        <w:pStyle w:val="ListNumber2"/>
        <w:numPr>
          <w:ilvl w:val="0"/>
          <w:numId w:val="17"/>
        </w:numPr>
        <w:ind w:left="680" w:hanging="340"/>
        <w:jc w:val="both"/>
      </w:pPr>
      <w:r w:rsidRPr="007519FC">
        <w:t>The rating input into the reverse calculator must not take into account whether electricity is purchased under the GreenPower Program.</w:t>
      </w:r>
    </w:p>
    <w:p w14:paraId="71FD2F35" w14:textId="77777777" w:rsidR="000F3FC5" w:rsidRPr="007519FC" w:rsidRDefault="000F3FC5" w:rsidP="000F3FC5">
      <w:pPr>
        <w:pStyle w:val="ListNumber2"/>
        <w:numPr>
          <w:ilvl w:val="0"/>
          <w:numId w:val="17"/>
        </w:numPr>
        <w:ind w:left="680" w:hanging="340"/>
      </w:pPr>
      <w:r w:rsidRPr="007519FC">
        <w:t>The baseline rating input into the reverse calculator is the rating published on the benchmark rating report for the baseline period, unless the building where the project is undertaken undergoes a renovation or upgrade that requires planning approval, in which case the baseline rating for each reporting period commencing after the renovation or upgrade is completed is the highest of:</w:t>
      </w:r>
    </w:p>
    <w:p w14:paraId="1908EB48" w14:textId="77777777" w:rsidR="000F3FC5" w:rsidRPr="007519FC" w:rsidRDefault="000F3FC5" w:rsidP="000F3FC5">
      <w:pPr>
        <w:pStyle w:val="ListNumber3"/>
        <w:numPr>
          <w:ilvl w:val="0"/>
          <w:numId w:val="19"/>
        </w:numPr>
        <w:ind w:left="1049" w:hanging="369"/>
      </w:pPr>
      <w:r w:rsidRPr="007519FC">
        <w:t>the rating published on the benchmark rating report for the most recent reporting period that ends prior to the issue of the planning approval; or</w:t>
      </w:r>
    </w:p>
    <w:p w14:paraId="0636F9B5" w14:textId="77777777" w:rsidR="000F3FC5" w:rsidRPr="007519FC" w:rsidRDefault="000F3FC5" w:rsidP="000F3FC5">
      <w:pPr>
        <w:pStyle w:val="ListNumber3"/>
        <w:numPr>
          <w:ilvl w:val="0"/>
          <w:numId w:val="19"/>
        </w:numPr>
        <w:ind w:left="1049" w:hanging="369"/>
      </w:pPr>
      <w:r w:rsidRPr="007519FC">
        <w:t>the minimum rating (if any) the building is required to meet under the planning scheme of the Local Government Area that applies to the building; or</w:t>
      </w:r>
    </w:p>
    <w:p w14:paraId="06165259" w14:textId="0CAD564E" w:rsidR="000F3FC5" w:rsidRPr="007519FC" w:rsidRDefault="000F3FC5" w:rsidP="000F3FC5">
      <w:pPr>
        <w:pStyle w:val="ListNumber3"/>
        <w:numPr>
          <w:ilvl w:val="0"/>
          <w:numId w:val="19"/>
        </w:numPr>
        <w:ind w:left="1049" w:hanging="369"/>
      </w:pPr>
      <w:r w:rsidRPr="007519FC">
        <w:t xml:space="preserve">if the building is not required to meet a minimum rating, 4.5 stars for a </w:t>
      </w:r>
      <w:r w:rsidR="00A06AE7">
        <w:t xml:space="preserve">building that is a data centre </w:t>
      </w:r>
      <w:r w:rsidRPr="007519FC">
        <w:t xml:space="preserve">or 4 stars for any other building. </w:t>
      </w:r>
    </w:p>
    <w:p w14:paraId="2161DFA6" w14:textId="77777777" w:rsidR="000F3FC5" w:rsidRPr="007519FC" w:rsidRDefault="000F3FC5" w:rsidP="000F3FC5">
      <w:pPr>
        <w:pStyle w:val="ListNumber2"/>
        <w:numPr>
          <w:ilvl w:val="0"/>
          <w:numId w:val="17"/>
        </w:numPr>
        <w:ind w:left="680" w:hanging="340"/>
      </w:pPr>
      <w:r w:rsidRPr="007519FC">
        <w:t>The percentage breakdown of fuels used in the building where the project is undertaken, which is input into the reverse calculator, must be determined by converting into MWh any measurement of energy consumed at the building that is not measured in MWh. This must include all fuels used in the reporting rating.</w:t>
      </w:r>
    </w:p>
    <w:p w14:paraId="66EA0820" w14:textId="220507D3" w:rsidR="000F3FC5" w:rsidRDefault="000F3FC5" w:rsidP="00205401">
      <w:pPr>
        <w:pStyle w:val="ListNumber2"/>
        <w:numPr>
          <w:ilvl w:val="0"/>
          <w:numId w:val="17"/>
        </w:numPr>
        <w:ind w:left="680" w:hanging="340"/>
      </w:pPr>
      <w:r w:rsidRPr="007519FC">
        <w:t>For the purpose of the conversion referred to in (</w:t>
      </w:r>
      <w:r w:rsidR="00A06AE7">
        <w:t>e</w:t>
      </w:r>
      <w:r w:rsidRPr="007519FC">
        <w:t xml:space="preserve">), if the measurement is not in terms of energy, the energy content factor for that fuel type, </w:t>
      </w:r>
      <w:r w:rsidR="00205401">
        <w:t xml:space="preserve">as specified in section (7), </w:t>
      </w:r>
      <w:r w:rsidRPr="007519FC">
        <w:t xml:space="preserve">must be used in the conversion. </w:t>
      </w:r>
    </w:p>
    <w:p w14:paraId="71F88972" w14:textId="77777777" w:rsidR="000F3FC5" w:rsidRDefault="000F3FC5" w:rsidP="000F3FC5">
      <w:pPr>
        <w:pStyle w:val="ListNumber2"/>
        <w:numPr>
          <w:ilvl w:val="0"/>
          <w:numId w:val="0"/>
        </w:numPr>
      </w:pPr>
    </w:p>
    <w:p w14:paraId="74BE9A55" w14:textId="4F9076E0" w:rsidR="000F3FC5" w:rsidRDefault="000F3FC5" w:rsidP="000F3FC5">
      <w:pPr>
        <w:pStyle w:val="ListNumber"/>
        <w:rPr>
          <w:rFonts w:eastAsiaTheme="minorEastAsia" w:cs="Times New Roman"/>
          <w:lang w:eastAsia="en-US"/>
        </w:rPr>
      </w:pPr>
      <w:r>
        <w:rPr>
          <w:rFonts w:eastAsiaTheme="minorEastAsia" w:cs="Times New Roman"/>
          <w:lang w:eastAsia="en-US"/>
        </w:rPr>
        <w:lastRenderedPageBreak/>
        <w:t xml:space="preserve"> Other variables</w:t>
      </w:r>
    </w:p>
    <w:p w14:paraId="59399652" w14:textId="73E5357C" w:rsidR="000F3FC5" w:rsidRPr="00205401" w:rsidRDefault="000F3FC5" w:rsidP="000F3FC5">
      <w:pPr>
        <w:pStyle w:val="ListNumber2"/>
        <w:numPr>
          <w:ilvl w:val="0"/>
          <w:numId w:val="36"/>
        </w:numPr>
        <w:rPr>
          <w:rFonts w:eastAsiaTheme="minorEastAsia" w:cs="Times New Roman"/>
          <w:lang w:eastAsia="en-US"/>
        </w:rPr>
      </w:pPr>
      <w:bookmarkStart w:id="33" w:name="_Hlk517705824"/>
      <w:bookmarkStart w:id="34" w:name="_Hlk525721063"/>
      <w:r w:rsidRPr="00205401">
        <w:rPr>
          <w:rFonts w:eastAsiaTheme="minorEastAsia" w:cs="Times New Roman"/>
          <w:lang w:eastAsia="en-US"/>
        </w:rPr>
        <w:t xml:space="preserve">Additional information to a premises’ measured energy consumption, which is used by a benchmark administrator’s process to calculate a benchmark rating. </w:t>
      </w:r>
      <w:bookmarkEnd w:id="33"/>
    </w:p>
    <w:bookmarkEnd w:id="34"/>
    <w:p w14:paraId="47D5ABDC" w14:textId="77777777" w:rsidR="000F3FC5" w:rsidRDefault="000F3FC5" w:rsidP="000F3FC5">
      <w:pPr>
        <w:pStyle w:val="ListNumber2"/>
        <w:numPr>
          <w:ilvl w:val="0"/>
          <w:numId w:val="0"/>
        </w:numPr>
        <w:ind w:left="360"/>
        <w:rPr>
          <w:rFonts w:eastAsiaTheme="minorEastAsia" w:cs="Times New Roman"/>
          <w:lang w:eastAsia="en-US"/>
        </w:rPr>
      </w:pPr>
    </w:p>
    <w:p w14:paraId="12182ADC" w14:textId="18583B62" w:rsidR="000F3FC5" w:rsidRPr="007519FC" w:rsidRDefault="000F3FC5" w:rsidP="000F3FC5">
      <w:pPr>
        <w:pStyle w:val="ListNumber"/>
        <w:rPr>
          <w:rFonts w:eastAsiaTheme="minorEastAsia" w:cs="Times New Roman"/>
          <w:lang w:eastAsia="en-US"/>
        </w:rPr>
      </w:pPr>
      <w:bookmarkStart w:id="35" w:name="_Ref522876270"/>
      <w:r>
        <w:rPr>
          <w:rFonts w:eastAsiaTheme="minorEastAsia" w:cs="Times New Roman"/>
          <w:lang w:eastAsia="en-US"/>
        </w:rPr>
        <w:t xml:space="preserve"> </w:t>
      </w:r>
      <w:r w:rsidRPr="007519FC">
        <w:rPr>
          <w:rFonts w:eastAsiaTheme="minorEastAsia" w:cs="Times New Roman"/>
          <w:lang w:eastAsia="en-US"/>
        </w:rPr>
        <w:t>Number of whole years</w:t>
      </w:r>
      <w:bookmarkEnd w:id="35"/>
    </w:p>
    <w:p w14:paraId="3F446B50" w14:textId="3A7385BC" w:rsidR="000F3FC5" w:rsidRPr="000F3FC5" w:rsidRDefault="000F3FC5" w:rsidP="000F3FC5">
      <w:pPr>
        <w:pStyle w:val="ListNumber2"/>
        <w:numPr>
          <w:ilvl w:val="0"/>
          <w:numId w:val="53"/>
        </w:numPr>
        <w:rPr>
          <w:rFonts w:eastAsiaTheme="minorEastAsia" w:cs="Times New Roman"/>
          <w:lang w:eastAsia="en-US"/>
        </w:rPr>
      </w:pPr>
      <w:r w:rsidRPr="007519FC">
        <w:rPr>
          <w:rFonts w:eastAsiaTheme="minorEastAsia" w:cs="Times New Roman"/>
          <w:lang w:eastAsia="en-US"/>
        </w:rPr>
        <w:t xml:space="preserve">The number of whole years are calculated by subtracting the year of the end of the reporting period minus the year of the end of the baseline period, as defined in </w:t>
      </w:r>
      <w:r w:rsidRPr="007519FC">
        <w:t xml:space="preserve">section </w:t>
      </w:r>
      <w:r>
        <w:fldChar w:fldCharType="begin"/>
      </w:r>
      <w:r>
        <w:instrText xml:space="preserve"> REF _Ref522876552 \r \h </w:instrText>
      </w:r>
      <w:r>
        <w:fldChar w:fldCharType="separate"/>
      </w:r>
      <w:r w:rsidR="007010FE">
        <w:t>(15)</w:t>
      </w:r>
      <w:r>
        <w:fldChar w:fldCharType="end"/>
      </w:r>
      <w:r>
        <w:t xml:space="preserve"> and </w:t>
      </w:r>
      <w:r>
        <w:fldChar w:fldCharType="begin"/>
      </w:r>
      <w:r>
        <w:instrText xml:space="preserve"> REF _Ref522876560 \r \h </w:instrText>
      </w:r>
      <w:r>
        <w:fldChar w:fldCharType="separate"/>
      </w:r>
      <w:r w:rsidR="007010FE">
        <w:t>(16)</w:t>
      </w:r>
      <w:r>
        <w:fldChar w:fldCharType="end"/>
      </w:r>
      <w:r>
        <w:t>.</w:t>
      </w:r>
    </w:p>
    <w:p w14:paraId="202C4E41" w14:textId="77777777" w:rsidR="001E2EC7" w:rsidRPr="001E2EC7" w:rsidRDefault="001E2EC7" w:rsidP="001E2EC7">
      <w:pPr>
        <w:pStyle w:val="BodyText"/>
        <w:rPr>
          <w:lang w:eastAsia="en-AU"/>
        </w:rPr>
      </w:pPr>
    </w:p>
    <w:p w14:paraId="066D91D5" w14:textId="4D5C949E" w:rsidR="001E2EC7" w:rsidRPr="007519FC" w:rsidRDefault="000F3FC5" w:rsidP="001E2EC7">
      <w:pPr>
        <w:pStyle w:val="ListNumber"/>
      </w:pPr>
      <w:bookmarkStart w:id="36" w:name="_Ref522874695"/>
      <w:bookmarkStart w:id="37" w:name="_Ref468700892"/>
      <w:r>
        <w:t xml:space="preserve"> </w:t>
      </w:r>
      <w:bookmarkStart w:id="38" w:name="_Ref522876552"/>
      <w:r w:rsidR="001E2EC7" w:rsidRPr="007519FC">
        <w:t>Reporting period</w:t>
      </w:r>
      <w:bookmarkEnd w:id="36"/>
      <w:bookmarkEnd w:id="38"/>
    </w:p>
    <w:p w14:paraId="34805EE3" w14:textId="77777777" w:rsidR="001E2EC7" w:rsidRPr="007519FC" w:rsidRDefault="001E2EC7" w:rsidP="001E2EC7">
      <w:pPr>
        <w:pStyle w:val="ListNumber2"/>
        <w:numPr>
          <w:ilvl w:val="0"/>
          <w:numId w:val="28"/>
        </w:numPr>
        <w:ind w:left="680" w:hanging="340"/>
      </w:pPr>
      <w:r w:rsidRPr="007519FC">
        <w:t>The reporting period, in relation to a project, is a 12-month period commencing:</w:t>
      </w:r>
    </w:p>
    <w:p w14:paraId="3BC50162" w14:textId="77777777" w:rsidR="001E2EC7" w:rsidRPr="007519FC" w:rsidRDefault="001E2EC7" w:rsidP="001E2EC7">
      <w:pPr>
        <w:pStyle w:val="ListNumber3"/>
        <w:numPr>
          <w:ilvl w:val="0"/>
          <w:numId w:val="29"/>
        </w:numPr>
        <w:ind w:left="1049" w:hanging="369"/>
      </w:pPr>
      <w:r w:rsidRPr="007519FC">
        <w:t>Immediately after the implementation start time for the project, as defined in regulation 4 of the VEET PBA Regulations 2017; or</w:t>
      </w:r>
    </w:p>
    <w:p w14:paraId="0FD2DB0E" w14:textId="77777777" w:rsidR="001E2EC7" w:rsidRPr="007519FC" w:rsidRDefault="001E2EC7" w:rsidP="001E2EC7">
      <w:pPr>
        <w:pStyle w:val="ListNumber3"/>
        <w:numPr>
          <w:ilvl w:val="0"/>
          <w:numId w:val="29"/>
        </w:numPr>
        <w:ind w:left="1049" w:hanging="369"/>
      </w:pPr>
      <w:r w:rsidRPr="007519FC">
        <w:t>Immediately after another reporting period but not later than 7 years after the implementation start time.</w:t>
      </w:r>
    </w:p>
    <w:p w14:paraId="3EB574EB" w14:textId="111E250A" w:rsidR="000F3FC5" w:rsidRDefault="001E2EC7" w:rsidP="00205401">
      <w:pPr>
        <w:pStyle w:val="ListNumber3"/>
        <w:numPr>
          <w:ilvl w:val="0"/>
          <w:numId w:val="0"/>
        </w:numPr>
        <w:ind w:left="1049"/>
        <w:rPr>
          <w:sz w:val="18"/>
          <w:szCs w:val="18"/>
        </w:rPr>
      </w:pPr>
      <w:r w:rsidRPr="007519FC">
        <w:rPr>
          <w:sz w:val="18"/>
          <w:szCs w:val="18"/>
        </w:rPr>
        <w:t>Note: this means there can be a maximum of 8 reporting periods.</w:t>
      </w:r>
    </w:p>
    <w:p w14:paraId="4C7FB5CB" w14:textId="77777777" w:rsidR="00205401" w:rsidRPr="00205401" w:rsidRDefault="00205401" w:rsidP="00205401">
      <w:pPr>
        <w:pStyle w:val="ListNumber3"/>
        <w:numPr>
          <w:ilvl w:val="0"/>
          <w:numId w:val="0"/>
        </w:numPr>
        <w:ind w:left="1049"/>
        <w:rPr>
          <w:sz w:val="18"/>
          <w:szCs w:val="18"/>
        </w:rPr>
      </w:pPr>
    </w:p>
    <w:p w14:paraId="2F2764FD" w14:textId="7C4A5BEC" w:rsidR="001E2EC7" w:rsidRPr="007519FC" w:rsidRDefault="000F3FC5" w:rsidP="001E2EC7">
      <w:pPr>
        <w:pStyle w:val="ListNumber"/>
      </w:pPr>
      <w:bookmarkStart w:id="39" w:name="_Ref522874706"/>
      <w:r>
        <w:t xml:space="preserve"> </w:t>
      </w:r>
      <w:bookmarkStart w:id="40" w:name="_Ref522876560"/>
      <w:r w:rsidR="001E2EC7" w:rsidRPr="007519FC">
        <w:t>Baseline period</w:t>
      </w:r>
      <w:bookmarkEnd w:id="39"/>
      <w:bookmarkEnd w:id="40"/>
    </w:p>
    <w:p w14:paraId="155A07DE" w14:textId="77777777" w:rsidR="001E2EC7" w:rsidRPr="007519FC" w:rsidRDefault="001E2EC7" w:rsidP="001E2EC7">
      <w:pPr>
        <w:pStyle w:val="ListNumber2"/>
        <w:numPr>
          <w:ilvl w:val="0"/>
          <w:numId w:val="37"/>
        </w:numPr>
        <w:ind w:left="851" w:hanging="425"/>
      </w:pPr>
      <w:r w:rsidRPr="007519FC">
        <w:t>The baseline period, in relation to a project, is a 12-month period ending:</w:t>
      </w:r>
    </w:p>
    <w:p w14:paraId="39EC8DD7" w14:textId="77777777" w:rsidR="001E2EC7" w:rsidRPr="007519FC" w:rsidRDefault="001E2EC7" w:rsidP="001E2EC7">
      <w:pPr>
        <w:pStyle w:val="ListNumber3"/>
        <w:numPr>
          <w:ilvl w:val="0"/>
          <w:numId w:val="38"/>
        </w:numPr>
        <w:ind w:left="993" w:hanging="284"/>
      </w:pPr>
      <w:r w:rsidRPr="007519FC">
        <w:t>Before works commence, as defined in regulation 6 (7) of the VEET PBA Regulations 2017; and</w:t>
      </w:r>
    </w:p>
    <w:p w14:paraId="430A41CE" w14:textId="77777777" w:rsidR="001E2EC7" w:rsidRPr="007519FC" w:rsidRDefault="001E2EC7" w:rsidP="001E2EC7">
      <w:pPr>
        <w:pStyle w:val="ListNumber3"/>
        <w:numPr>
          <w:ilvl w:val="0"/>
          <w:numId w:val="38"/>
        </w:numPr>
        <w:ind w:left="993" w:hanging="284"/>
      </w:pPr>
      <w:r w:rsidRPr="007519FC">
        <w:t>No more than 18 months before works commence.</w:t>
      </w:r>
    </w:p>
    <w:p w14:paraId="53008019" w14:textId="77777777" w:rsidR="001E2EC7" w:rsidRDefault="001E2EC7" w:rsidP="001E2EC7">
      <w:pPr>
        <w:pStyle w:val="ListNumber"/>
        <w:numPr>
          <w:ilvl w:val="0"/>
          <w:numId w:val="0"/>
        </w:numPr>
      </w:pPr>
    </w:p>
    <w:p w14:paraId="5C221473" w14:textId="77777777" w:rsidR="001E2EC7" w:rsidRDefault="001E2EC7" w:rsidP="001E2EC7">
      <w:pPr>
        <w:pStyle w:val="ListNumber"/>
        <w:numPr>
          <w:ilvl w:val="0"/>
          <w:numId w:val="0"/>
        </w:numPr>
      </w:pPr>
    </w:p>
    <w:p w14:paraId="03E147CC" w14:textId="77777777" w:rsidR="001E2EC7" w:rsidRDefault="001E2EC7" w:rsidP="001E2EC7">
      <w:pPr>
        <w:pStyle w:val="ListNumber2"/>
        <w:numPr>
          <w:ilvl w:val="0"/>
          <w:numId w:val="0"/>
        </w:numPr>
        <w:ind w:left="1070" w:hanging="360"/>
      </w:pPr>
      <w:bookmarkStart w:id="41" w:name="_Ref468700290"/>
    </w:p>
    <w:bookmarkEnd w:id="41"/>
    <w:p w14:paraId="762CF227" w14:textId="77777777" w:rsidR="001E2EC7" w:rsidRDefault="001E2EC7" w:rsidP="001E2EC7">
      <w:pPr>
        <w:pStyle w:val="ListNumber"/>
        <w:numPr>
          <w:ilvl w:val="0"/>
          <w:numId w:val="0"/>
        </w:numPr>
      </w:pPr>
    </w:p>
    <w:p w14:paraId="371538C5" w14:textId="77777777" w:rsidR="001E2EC7" w:rsidRDefault="001E2EC7" w:rsidP="001E2EC7">
      <w:pPr>
        <w:pStyle w:val="ListNumber"/>
        <w:numPr>
          <w:ilvl w:val="0"/>
          <w:numId w:val="0"/>
        </w:numPr>
      </w:pPr>
    </w:p>
    <w:bookmarkEnd w:id="37"/>
    <w:p w14:paraId="0C06C12B" w14:textId="3907CB32" w:rsidR="00507F42" w:rsidRPr="007519FC" w:rsidRDefault="00507F42" w:rsidP="001E2EC7">
      <w:pPr>
        <w:pStyle w:val="ListNumber2"/>
        <w:numPr>
          <w:ilvl w:val="0"/>
          <w:numId w:val="0"/>
        </w:numPr>
      </w:pPr>
    </w:p>
    <w:p w14:paraId="01916B93" w14:textId="174DAF47" w:rsidR="00507F42" w:rsidRPr="007519FC" w:rsidRDefault="00507F42" w:rsidP="007519FC">
      <w:pPr>
        <w:pStyle w:val="ListNumber2"/>
        <w:numPr>
          <w:ilvl w:val="0"/>
          <w:numId w:val="0"/>
        </w:numPr>
      </w:pPr>
    </w:p>
    <w:p w14:paraId="7C8A5500" w14:textId="77777777" w:rsidR="000A4C0B" w:rsidRDefault="000A4C0B" w:rsidP="001E2EC7">
      <w:pPr>
        <w:pStyle w:val="ListNumber2"/>
        <w:numPr>
          <w:ilvl w:val="0"/>
          <w:numId w:val="0"/>
        </w:numPr>
        <w:ind w:left="360"/>
        <w:rPr>
          <w:rFonts w:eastAsiaTheme="minorEastAsia" w:cs="Times New Roman"/>
          <w:lang w:eastAsia="en-US"/>
        </w:rPr>
      </w:pPr>
    </w:p>
    <w:p w14:paraId="3BDFEEA4" w14:textId="77777777" w:rsidR="00507F42" w:rsidRPr="007519FC" w:rsidRDefault="00507F42" w:rsidP="007519FC">
      <w:pPr>
        <w:pStyle w:val="BodyText"/>
      </w:pPr>
    </w:p>
    <w:p w14:paraId="3C92C95D" w14:textId="77777777" w:rsidR="00B541C9" w:rsidRPr="007519FC" w:rsidRDefault="00B541C9" w:rsidP="007519FC">
      <w:pPr>
        <w:pStyle w:val="ListNumber3"/>
        <w:numPr>
          <w:ilvl w:val="0"/>
          <w:numId w:val="0"/>
        </w:numPr>
        <w:ind w:left="709"/>
      </w:pPr>
    </w:p>
    <w:p w14:paraId="3A998FC4" w14:textId="77777777" w:rsidR="00B541C9" w:rsidRPr="007519FC" w:rsidRDefault="00B541C9" w:rsidP="007519FC">
      <w:pPr>
        <w:pStyle w:val="ListNumber2"/>
        <w:numPr>
          <w:ilvl w:val="0"/>
          <w:numId w:val="0"/>
        </w:numPr>
      </w:pPr>
    </w:p>
    <w:p w14:paraId="19AE54D4" w14:textId="6E7DA263" w:rsidR="0058551B" w:rsidRPr="007519FC" w:rsidRDefault="0058551B" w:rsidP="007519FC">
      <w:pPr>
        <w:rPr>
          <w:rFonts w:cs="Times New Roman"/>
        </w:rPr>
      </w:pPr>
      <w:r w:rsidRPr="007519FC">
        <w:br w:type="page"/>
      </w:r>
    </w:p>
    <w:p w14:paraId="4FF9100C" w14:textId="77777777" w:rsidR="0058551B" w:rsidRPr="00EB042B" w:rsidRDefault="0058551B" w:rsidP="007519FC">
      <w:pPr>
        <w:pStyle w:val="BodyText"/>
        <w:rPr>
          <w:lang w:eastAsia="en-AU"/>
        </w:rPr>
      </w:pPr>
      <w:r w:rsidRPr="007519FC">
        <w:rPr>
          <w:noProof/>
          <w:lang w:eastAsia="en-AU"/>
        </w:rPr>
        <w:lastRenderedPageBreak/>
        <mc:AlternateContent>
          <mc:Choice Requires="wpc">
            <w:drawing>
              <wp:anchor distT="0" distB="0" distL="114300" distR="114300" simplePos="0" relativeHeight="251665920" behindDoc="0" locked="0" layoutInCell="1" allowOverlap="1" wp14:anchorId="489AF71F" wp14:editId="075250C9">
                <wp:simplePos x="0" y="0"/>
                <wp:positionH relativeFrom="page">
                  <wp:posOffset>0</wp:posOffset>
                </wp:positionH>
                <wp:positionV relativeFrom="page">
                  <wp:posOffset>0</wp:posOffset>
                </wp:positionV>
                <wp:extent cx="7562850" cy="10687050"/>
                <wp:effectExtent l="0" t="0" r="0" b="0"/>
                <wp:wrapNone/>
                <wp:docPr id="30" name="BackCoverPortrait"/>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bg1"/>
                        </a:solidFill>
                      </wpc:bg>
                      <wpc:whole>
                        <a:ln>
                          <a:noFill/>
                        </a:ln>
                      </wpc:whole>
                      <wps:wsp>
                        <wps:cNvPr id="25" name="DELWPRectangle"/>
                        <wps:cNvSpPr>
                          <a:spLocks noChangeArrowheads="1"/>
                        </wps:cNvSpPr>
                        <wps:spPr bwMode="auto">
                          <a:xfrm>
                            <a:off x="351459" y="554115"/>
                            <a:ext cx="6840000" cy="9972000"/>
                          </a:xfrm>
                          <a:prstGeom prst="rect">
                            <a:avLst/>
                          </a:prstGeom>
                          <a:solidFill>
                            <a:srgbClr val="201547"/>
                          </a:solidFill>
                          <a:ln>
                            <a:noFill/>
                          </a:ln>
                        </wps:spPr>
                        <wps:bodyPr rot="0" vert="horz" wrap="square" lIns="91440" tIns="45720" rIns="91440" bIns="45720" anchor="t" anchorCtr="0" upright="1">
                          <a:noAutofit/>
                        </wps:bodyPr>
                      </wps:wsp>
                      <wps:wsp>
                        <wps:cNvPr id="22" name="Text Box 22"/>
                        <wps:cNvSpPr txBox="1"/>
                        <wps:spPr>
                          <a:xfrm>
                            <a:off x="720090" y="9757410"/>
                            <a:ext cx="2383200" cy="576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612941" w14:textId="77777777" w:rsidR="00263498" w:rsidRPr="00CC18C6" w:rsidRDefault="00263498" w:rsidP="00CC18C6">
                              <w:pPr>
                                <w:pStyle w:val="xWeb"/>
                                <w:rPr>
                                  <w:color w:val="FFFFFF"/>
                                </w:rPr>
                              </w:pPr>
                              <w:r w:rsidRPr="00CC18C6">
                                <w:rPr>
                                  <w:color w:val="FFFFFF"/>
                                </w:rPr>
                                <w:t xml:space="preserve">delwp.vic.gov.au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c:wpc>
                  </a:graphicData>
                </a:graphic>
                <wp14:sizeRelH relativeFrom="page">
                  <wp14:pctWidth>0</wp14:pctWidth>
                </wp14:sizeRelH>
                <wp14:sizeRelV relativeFrom="page">
                  <wp14:pctHeight>0</wp14:pctHeight>
                </wp14:sizeRelV>
              </wp:anchor>
            </w:drawing>
          </mc:Choice>
          <mc:Fallback>
            <w:pict>
              <v:group w14:anchorId="489AF71F" id="BackCoverPortrait" o:spid="_x0000_s1030" editas="canvas" style="position:absolute;margin-left:0;margin-top:0;width:595.5pt;height:841.5pt;z-index:251665920;mso-position-horizontal-relative:page;mso-position-vertical-relative:page" coordsize="75628,106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&#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75628;height:106870;visibility:visible;mso-wrap-style:square" filled="t" fillcolor="white [3212]">
                  <v:fill o:detectmouseclick="t"/>
                  <v:path o:connecttype="none"/>
                </v:shape>
                <v:rect id="DELWPRectangle" o:spid="_x0000_s1032" style="position:absolute;left:3514;top:5541;width:68400;height:99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" fillcolor="#201547" stroked="f"/>
                <v:shape id="Text Box 22" o:spid="_x0000_s1033" type="#_x0000_t202" style="position:absolute;left:7200;top:97574;width:23832;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" filled="f" stroked="f" strokeweight=".5pt">
                  <v:textbox inset="0,0,0,0">
                    <w:txbxContent>
                      <w:p w14:paraId="4E612941" w14:textId="77777777" w:rsidR="00263498" w:rsidRPr="00CC18C6" w:rsidRDefault="00263498" w:rsidP="00CC18C6">
                        <w:pPr>
                          <w:pStyle w:val="xWeb"/>
                          <w:rPr>
                            <w:color w:val="FFFFFF"/>
                          </w:rPr>
                        </w:pPr>
                        <w:r w:rsidRPr="00CC18C6">
                          <w:rPr>
                            <w:color w:val="FFFFFF"/>
                          </w:rPr>
                          <w:t xml:space="preserve">delwp.vic.gov.au </w:t>
                        </w:r>
                      </w:p>
                    </w:txbxContent>
                  </v:textbox>
                </v:shape>
                <w10:wrap anchorx="page" anchory="page"/>
              </v:group>
            </w:pict>
          </mc:Fallback>
        </mc:AlternateContent>
      </w:r>
    </w:p>
    <w:sectPr w:rsidR="0058551B" w:rsidRPr="00EB042B" w:rsidSect="004D2378">
      <w:pgSz w:w="11907" w:h="16840" w:code="9"/>
      <w:pgMar w:top="2268" w:right="1134" w:bottom="1134" w:left="1134"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74CB4B" w14:textId="77777777" w:rsidR="00643E9E" w:rsidRDefault="00643E9E">
      <w:r>
        <w:separator/>
      </w:r>
    </w:p>
    <w:p w14:paraId="59A7DA6E" w14:textId="77777777" w:rsidR="00643E9E" w:rsidRDefault="00643E9E"/>
  </w:endnote>
  <w:endnote w:type="continuationSeparator" w:id="0">
    <w:p w14:paraId="4807DFCE" w14:textId="77777777" w:rsidR="00643E9E" w:rsidRDefault="00643E9E">
      <w:r>
        <w:continuationSeparator/>
      </w:r>
    </w:p>
    <w:p w14:paraId="7121C5CA" w14:textId="77777777" w:rsidR="00643E9E" w:rsidRDefault="00643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Arial Narrow">
    <w:panose1 w:val="020B0606020202030204"/>
    <w:charset w:val="00"/>
    <w:family w:val="swiss"/>
    <w:pitch w:val="variable"/>
    <w:sig w:usb0="00000287" w:usb1="00000800" w:usb2="00000000" w:usb3="00000000" w:csb0="0000009F" w:csb1="00000000"/>
  </w:font>
  <w:font w:name="ArialMT">
    <w:altName w:val="Arial"/>
    <w:charset w:val="00"/>
    <w:family w:val="auto"/>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8504" w:type="dxa"/>
      <w:tblLayout w:type="fixed"/>
      <w:tblCellMar>
        <w:bottom w:w="284" w:type="dxa"/>
      </w:tblCellMar>
      <w:tblLook w:val="04A0" w:firstRow="1" w:lastRow="0" w:firstColumn="1" w:lastColumn="0" w:noHBand="0" w:noVBand="1"/>
    </w:tblPr>
    <w:tblGrid>
      <w:gridCol w:w="340"/>
      <w:gridCol w:w="8164"/>
    </w:tblGrid>
    <w:tr w:rsidR="00263498" w14:paraId="17A49F39" w14:textId="77777777" w:rsidTr="00D83BD4">
      <w:trPr>
        <w:trHeight w:val="397"/>
      </w:trPr>
      <w:tc>
        <w:tcPr>
          <w:tcW w:w="340" w:type="dxa"/>
        </w:tcPr>
        <w:p w14:paraId="6BB1AEE7" w14:textId="77777777" w:rsidR="00263498" w:rsidRPr="00D55628" w:rsidRDefault="00263498" w:rsidP="00D55628">
          <w:pPr>
            <w:pStyle w:val="FooterEven"/>
          </w:pPr>
          <w:r w:rsidRPr="00D55628">
            <w:fldChar w:fldCharType="begin"/>
          </w:r>
          <w:r w:rsidRPr="00D55628">
            <w:instrText xml:space="preserve"> PAGE   \* MERGEFORMAT </w:instrText>
          </w:r>
          <w:r w:rsidRPr="00D55628">
            <w:fldChar w:fldCharType="separate"/>
          </w:r>
          <w:r>
            <w:rPr>
              <w:noProof/>
            </w:rPr>
            <w:t>3</w:t>
          </w:r>
          <w:r w:rsidRPr="00D55628">
            <w:fldChar w:fldCharType="end"/>
          </w:r>
        </w:p>
      </w:tc>
      <w:tc>
        <w:tcPr>
          <w:tcW w:w="8164" w:type="dxa"/>
        </w:tcPr>
        <w:p w14:paraId="1A8FBF25" w14:textId="77777777" w:rsidR="00263498" w:rsidRPr="00D55628" w:rsidRDefault="00263498" w:rsidP="00D55628">
          <w:pPr>
            <w:pStyle w:val="FooterEven"/>
          </w:pPr>
          <w:r w:rsidRPr="000A15E4">
            <w:rPr>
              <w:rStyle w:val="Bold"/>
            </w:rPr>
            <w:t>Title of document</w:t>
          </w:r>
          <w:r w:rsidRPr="00D55628">
            <w:t xml:space="preserve"> Subtitle</w:t>
          </w:r>
        </w:p>
      </w:tc>
    </w:tr>
  </w:tbl>
  <w:p w14:paraId="217D0AB3" w14:textId="77777777" w:rsidR="00263498" w:rsidRPr="008B6D45" w:rsidRDefault="00263498" w:rsidP="005949B0">
    <w:pPr>
      <w:pStyle w:val="FooterEven"/>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9B5E3" w14:textId="77777777" w:rsidR="00263498" w:rsidRDefault="00263498">
    <w:pPr>
      <w:pStyle w:val="Footer"/>
    </w:pPr>
    <w:r w:rsidRPr="00D55628">
      <w:rPr>
        <w:noProof/>
      </w:rPr>
      <mc:AlternateContent>
        <mc:Choice Requires="wps">
          <w:drawing>
            <wp:anchor distT="0" distB="0" distL="114300" distR="114300" simplePos="0" relativeHeight="251658240" behindDoc="1" locked="1" layoutInCell="1" allowOverlap="1" wp14:anchorId="5411F264" wp14:editId="4F8CC436">
              <wp:simplePos x="0" y="0"/>
              <wp:positionH relativeFrom="page">
                <wp:align>center</wp:align>
              </wp:positionH>
              <wp:positionV relativeFrom="page">
                <wp:align>center</wp:align>
              </wp:positionV>
              <wp:extent cx="7560000" cy="1796400"/>
              <wp:effectExtent l="0" t="0" r="0" b="0"/>
              <wp:wrapNone/>
              <wp:docPr id="2"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725097" w14:textId="0397D6A0"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11F264" id="_x0000_t202" coordsize="21600,21600" o:spt="202" path="m,l,21600r21600,l21600,xe">
              <v:stroke joinstyle="miter"/>
              <v:path gradientshapeok="t" o:connecttype="rect"/>
            </v:shapetype>
            <v:shape id="Text Box 224" o:spid="_x0000_s1034" type="#_x0000_t202" alt="Title: Background Watermark Image" style="position:absolute;margin-left:0;margin-top:0;width:595.3pt;height:141.45pt;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B7kM6W0AIAAN8FAAAOAAAAAAAAAAAAAAAAAC4CAABkcnMvZTJvRG9jLnht&#10;bFBLAQItABQABgAIAAAAIQA0xUTO2wAAAAYBAAAPAAAAAAAAAAAAAAAAACoFAABkcnMvZG93bnJl&#10;di54bWxQSwUGAAAAAAQABADzAAAAMgYAAAAA&#10;" filled="f" stroked="f">
              <v:textbox>
                <w:txbxContent>
                  <w:p w14:paraId="5F725097" w14:textId="0397D6A0"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723C344" w14:textId="77777777" w:rsidR="00263498" w:rsidRDefault="002634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A294" w14:textId="77777777" w:rsidR="00263498" w:rsidRDefault="00263498">
    <w:pPr>
      <w:pStyle w:val="Footer"/>
    </w:pPr>
    <w:r w:rsidRPr="00D55628">
      <w:rPr>
        <w:noProof/>
      </w:rPr>
      <w:drawing>
        <wp:anchor distT="0" distB="0" distL="114300" distR="114300" simplePos="0" relativeHeight="251656192" behindDoc="1" locked="0" layoutInCell="1" allowOverlap="1" wp14:anchorId="66503C4F" wp14:editId="2F2683BC">
          <wp:simplePos x="0" y="0"/>
          <wp:positionH relativeFrom="page">
            <wp:align>right</wp:align>
          </wp:positionH>
          <wp:positionV relativeFrom="page">
            <wp:align>bottom</wp:align>
          </wp:positionV>
          <wp:extent cx="2203200" cy="903600"/>
          <wp:effectExtent l="0" t="0" r="6985" b="0"/>
          <wp:wrapNone/>
          <wp:docPr id="10" name="Logo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Black_RGB_right (w 1cm margin).emf"/>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3200" cy="903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55628">
      <w:rPr>
        <w:noProof/>
      </w:rPr>
      <w:drawing>
        <wp:anchor distT="0" distB="0" distL="114300" distR="114300" simplePos="0" relativeHeight="251654144" behindDoc="1" locked="1" layoutInCell="1" allowOverlap="1" wp14:anchorId="73987F63" wp14:editId="3C5BECBB">
          <wp:simplePos x="0" y="0"/>
          <wp:positionH relativeFrom="page">
            <wp:align>right</wp:align>
          </wp:positionH>
          <wp:positionV relativeFrom="page">
            <wp:align>bottom</wp:align>
          </wp:positionV>
          <wp:extent cx="2520000" cy="1062000"/>
          <wp:effectExtent l="0" t="0" r="0" b="0"/>
          <wp:wrapNone/>
          <wp:docPr id="47"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I_541_RGB_right (w 1cm margin).emf"/>
                  <pic:cNvPicPr/>
                </pic:nvPicPr>
                <pic:blipFill>
                  <a:blip r:embed="rId2">
                    <a:extLst>
                      <a:ext uri="{28A0092B-C50C-407E-A947-70E740481C1C}">
                        <a14:useLocalDpi xmlns:a14="http://schemas.microsoft.com/office/drawing/2010/main" val="0"/>
                      </a:ext>
                    </a:extLst>
                  </a:blip>
                  <a:srcRect r="-37744" b="-93793"/>
                  <a:stretch>
                    <a:fillRect/>
                  </a:stretch>
                </pic:blipFill>
                <pic:spPr bwMode="auto">
                  <a:xfrm>
                    <a:off x="0" y="0"/>
                    <a:ext cx="2520000" cy="1062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325B47" w14:textId="77777777" w:rsidR="00263498" w:rsidRPr="00124E8F" w:rsidRDefault="00263498" w:rsidP="00124E8F">
    <w:pPr>
      <w:pStyle w:val="Footer"/>
    </w:pPr>
    <w:r w:rsidRPr="00D55628">
      <w:rPr>
        <w:noProof/>
      </w:rPr>
      <mc:AlternateContent>
        <mc:Choice Requires="wps">
          <w:drawing>
            <wp:anchor distT="0" distB="0" distL="114300" distR="114300" simplePos="0" relativeHeight="251660288" behindDoc="1" locked="1" layoutInCell="1" allowOverlap="1" wp14:anchorId="2D958DD6" wp14:editId="5D6F24A8">
              <wp:simplePos x="0" y="0"/>
              <wp:positionH relativeFrom="page">
                <wp:align>center</wp:align>
              </wp:positionH>
              <wp:positionV relativeFrom="page">
                <wp:align>center</wp:align>
              </wp:positionV>
              <wp:extent cx="7560000" cy="1796400"/>
              <wp:effectExtent l="0" t="0" r="0" b="0"/>
              <wp:wrapNone/>
              <wp:docPr id="27"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6D757" w14:textId="7E31866D" w:rsidR="00263498" w:rsidRPr="0001226A" w:rsidRDefault="0026349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958DD6" id="_x0000_t202" coordsize="21600,21600" o:spt="202" path="m,l,21600r21600,l21600,xe">
              <v:stroke joinstyle="miter"/>
              <v:path gradientshapeok="t" o:connecttype="rect"/>
            </v:shapetype>
            <v:shape id="Text Box 225" o:spid="_x0000_s1035" type="#_x0000_t202" style="position:absolute;margin-left:0;margin-top:0;width:595.3pt;height:141.45pt;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" filled="f" stroked="f">
              <v:textbox>
                <w:txbxContent>
                  <w:p w14:paraId="4486D757" w14:textId="7E31866D" w:rsidR="00263498" w:rsidRPr="0001226A" w:rsidRDefault="0026349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46410D" w14:textId="77777777" w:rsidR="00263498" w:rsidRDefault="00263498">
    <w:pPr>
      <w:pStyle w:val="Footer"/>
    </w:pPr>
    <w:r w:rsidRPr="00D55628">
      <w:rPr>
        <w:noProof/>
      </w:rPr>
      <mc:AlternateContent>
        <mc:Choice Requires="wps">
          <w:drawing>
            <wp:anchor distT="0" distB="0" distL="114300" distR="114300" simplePos="0" relativeHeight="251657216" behindDoc="1" locked="1" layoutInCell="1" allowOverlap="1" wp14:anchorId="0BDE19AD" wp14:editId="628BB0C0">
              <wp:simplePos x="0" y="0"/>
              <wp:positionH relativeFrom="page">
                <wp:align>center</wp:align>
              </wp:positionH>
              <wp:positionV relativeFrom="page">
                <wp:align>center</wp:align>
              </wp:positionV>
              <wp:extent cx="7560000" cy="1796400"/>
              <wp:effectExtent l="0" t="0" r="0" b="0"/>
              <wp:wrapNone/>
              <wp:docPr id="14" name="Text Box 225"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515B" w14:textId="6B5642D8" w:rsidR="00263498" w:rsidRPr="0001226A" w:rsidRDefault="0026349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DE19AD" id="_x0000_t202" coordsize="21600,21600" o:spt="202" path="m,l,21600r21600,l21600,xe">
              <v:stroke joinstyle="miter"/>
              <v:path gradientshapeok="t" o:connecttype="rect"/>
            </v:shapetype>
            <v:shape id="_x0000_s1036" type="#_x0000_t202" alt="Title: Background Watermark Image" style="position:absolute;margin-left:0;margin-top:0;width:595.3pt;height:141.45pt;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8RR1AIAAOc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gSvEUdQCAADnBQAADgAAAAAAAAAAAAAAAAAuAgAAZHJzL2Uyb0Rv&#10;Yy54bWxQSwECLQAUAAYACAAAACEANMVEztsAAAAGAQAADwAAAAAAAAAAAAAAAAAuBQAAZHJzL2Rv&#10;d25yZXYueG1sUEsFBgAAAAAEAAQA8wAAADYGAAAAAA==&#10;" filled="f" stroked="f">
              <v:textbox>
                <w:txbxContent>
                  <w:p w14:paraId="0E72515B" w14:textId="6B5642D8" w:rsidR="00263498" w:rsidRPr="0001226A" w:rsidRDefault="00263498" w:rsidP="00DF21D2">
                    <w:pPr>
                      <w:pStyle w:val="xStatus"/>
                    </w:pPr>
                    <w:r w:rsidRPr="0001226A">
                      <w:fldChar w:fldCharType="begin"/>
                    </w:r>
                    <w:r w:rsidRPr="0001226A">
                      <w:instrText xml:space="preserve"> </w:instrText>
                    </w:r>
                    <w:r w:rsidRPr="006072AD">
                      <w:instrText>DOCPROPERTY</w:instrText>
                    </w:r>
                    <w:r w:rsidRPr="0001226A">
                      <w:instrText xml:space="preserve">  xStatus  \* MERGEFORMAT </w:instrText>
                    </w:r>
                    <w:r w:rsidRPr="0001226A">
                      <w:fldChar w:fldCharType="end"/>
                    </w:r>
                  </w:p>
                </w:txbxContent>
              </v:textbox>
              <w10:wrap anchorx="page" anchory="page"/>
              <w10:anchorlock/>
            </v:shape>
          </w:pict>
        </mc:Fallback>
      </mc:AlternateContent>
    </w:r>
  </w:p>
  <w:p w14:paraId="653A6164" w14:textId="77777777" w:rsidR="00263498" w:rsidRDefault="0026349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263498" w14:paraId="4A5C88CD" w14:textId="77777777" w:rsidTr="00DD7238">
      <w:trPr>
        <w:trHeight w:val="397"/>
      </w:trPr>
      <w:tc>
        <w:tcPr>
          <w:tcW w:w="340" w:type="dxa"/>
        </w:tcPr>
        <w:p w14:paraId="10A4858D" w14:textId="33F7E394" w:rsidR="00263498" w:rsidRPr="00D55628" w:rsidRDefault="00263498" w:rsidP="006C52DE">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0A4C0B">
            <w:rPr>
              <w:noProof/>
            </w:rPr>
            <w:t>8</w:t>
          </w:r>
          <w:r w:rsidRPr="00D55628">
            <w:fldChar w:fldCharType="end"/>
          </w:r>
        </w:p>
      </w:tc>
      <w:tc>
        <w:tcPr>
          <w:tcW w:w="9071" w:type="dxa"/>
        </w:tcPr>
        <w:p w14:paraId="12A419CA" w14:textId="4AFE2608" w:rsidR="00263498" w:rsidRPr="00D55628" w:rsidRDefault="00263498" w:rsidP="00D55628">
          <w:pPr>
            <w:pStyle w:val="FooterEven"/>
            <w:rPr>
              <w:rStyle w:val="Bold"/>
            </w:rPr>
          </w:pPr>
          <w:r>
            <w:rPr>
              <w:rStyle w:val="Bold"/>
            </w:rPr>
            <w:fldChar w:fldCharType="begin"/>
          </w:r>
          <w:r>
            <w:rPr>
              <w:rStyle w:val="Bold"/>
            </w:rPr>
            <w:instrText xml:space="preserve"> STYLEREF  Title  \* MERGEFORMAT </w:instrText>
          </w:r>
          <w:r>
            <w:rPr>
              <w:rStyle w:val="Bold"/>
            </w:rPr>
            <w:fldChar w:fldCharType="separate"/>
          </w:r>
          <w:r w:rsidR="00A95E64">
            <w:rPr>
              <w:rStyle w:val="Bold"/>
              <w:noProof/>
            </w:rPr>
            <w:t>Benchmark Rating in Victorian Energy Upgrades</w:t>
          </w:r>
          <w:r>
            <w:rPr>
              <w:rStyle w:val="Bold"/>
            </w:rPr>
            <w:fldChar w:fldCharType="end"/>
          </w:r>
        </w:p>
        <w:p w14:paraId="3C7E0A43" w14:textId="61BCCD88" w:rsidR="00263498" w:rsidRPr="00D55628" w:rsidRDefault="00B51A54" w:rsidP="00D55628">
          <w:pPr>
            <w:pStyle w:val="FooterEven"/>
          </w:pPr>
          <w:fldSimple w:instr=" STYLEREF  Subtitle  \* MERGEFORMAT ">
            <w:r w:rsidR="00A95E64">
              <w:rPr>
                <w:noProof/>
              </w:rPr>
              <w:t>Specifications</w:t>
            </w:r>
          </w:fldSimple>
        </w:p>
      </w:tc>
    </w:tr>
  </w:tbl>
  <w:p w14:paraId="5AF8FFDB" w14:textId="77777777" w:rsidR="00263498" w:rsidRDefault="00263498" w:rsidP="005949B0">
    <w:pPr>
      <w:pStyle w:val="FooterEven"/>
    </w:pPr>
    <w:r w:rsidRPr="00D55628">
      <w:rPr>
        <w:noProof/>
      </w:rPr>
      <mc:AlternateContent>
        <mc:Choice Requires="wps">
          <w:drawing>
            <wp:anchor distT="0" distB="0" distL="114300" distR="114300" simplePos="0" relativeHeight="251659264" behindDoc="1" locked="1" layoutInCell="1" allowOverlap="1" wp14:anchorId="2408AAB7" wp14:editId="7B89F6B5">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15ED24" w14:textId="64DC6BEC"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08AAB7" id="_x0000_t202" coordsize="21600,21600" o:spt="202" path="m,l,21600r21600,l21600,xe">
              <v:stroke joinstyle="miter"/>
              <v:path gradientshapeok="t" o:connecttype="rect"/>
            </v:shapetype>
            <v:shape id="_x0000_s1037" type="#_x0000_t202" alt="Title: Background Watermark Image" style="position:absolute;margin-left:0;margin-top:0;width:595.3pt;height:141.45pt;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nNKNG9QCAADmBQAADgAAAAAAAAAAAAAAAAAuAgAAZHJzL2Uyb0Rv&#10;Yy54bWxQSwECLQAUAAYACAAAACEANMVEztsAAAAGAQAADwAAAAAAAAAAAAAAAAAuBQAAZHJzL2Rv&#10;d25yZXYueG1sUEsFBgAAAAAEAAQA8wAAADYGAAAAAA==&#10;" filled="f" stroked="f">
              <v:textbox>
                <w:txbxContent>
                  <w:p w14:paraId="0C15ED24" w14:textId="64DC6BEC"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1D7C572B" w14:textId="77777777" w:rsidR="00263498" w:rsidRPr="00B5221E" w:rsidRDefault="00263498" w:rsidP="00B5221E">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263498" w14:paraId="3914057D" w14:textId="77777777" w:rsidTr="00DD7238">
      <w:trPr>
        <w:trHeight w:val="397"/>
      </w:trPr>
      <w:tc>
        <w:tcPr>
          <w:tcW w:w="9071" w:type="dxa"/>
        </w:tcPr>
        <w:p w14:paraId="2497CE2B" w14:textId="4B032D15" w:rsidR="00263498" w:rsidRPr="00D55628" w:rsidRDefault="00263498" w:rsidP="00D55628">
          <w:pPr>
            <w:pStyle w:val="FooterOdd"/>
            <w:rPr>
              <w:rStyle w:val="Bold"/>
            </w:rPr>
          </w:pPr>
          <w:r>
            <w:rPr>
              <w:rStyle w:val="Bold"/>
            </w:rPr>
            <w:fldChar w:fldCharType="begin"/>
          </w:r>
          <w:r>
            <w:rPr>
              <w:rStyle w:val="Bold"/>
            </w:rPr>
            <w:instrText xml:space="preserve"> STYLEREF  Title  \* MERGEFORMAT </w:instrText>
          </w:r>
          <w:r>
            <w:rPr>
              <w:rStyle w:val="Bold"/>
            </w:rPr>
            <w:fldChar w:fldCharType="separate"/>
          </w:r>
          <w:r w:rsidR="00A95E64">
            <w:rPr>
              <w:rStyle w:val="Bold"/>
              <w:noProof/>
            </w:rPr>
            <w:t>Benchmark Rating in Victorian Energy Upgrades</w:t>
          </w:r>
          <w:r>
            <w:rPr>
              <w:rStyle w:val="Bold"/>
            </w:rPr>
            <w:fldChar w:fldCharType="end"/>
          </w:r>
        </w:p>
        <w:p w14:paraId="6ECD1B50" w14:textId="2306882B" w:rsidR="00263498" w:rsidRPr="00CB1FB7" w:rsidRDefault="00263498" w:rsidP="00CB1FB7">
          <w:pPr>
            <w:pStyle w:val="FooterOdd"/>
            <w:rPr>
              <w:b/>
            </w:rPr>
          </w:pPr>
          <w:r>
            <w:rPr>
              <w:rStyle w:val="Bold"/>
            </w:rPr>
            <w:fldChar w:fldCharType="begin"/>
          </w:r>
          <w:r>
            <w:rPr>
              <w:rStyle w:val="Bold"/>
            </w:rPr>
            <w:instrText xml:space="preserve"> STYLEREF  Subtitle  \* MERGEFORMAT </w:instrText>
          </w:r>
          <w:r>
            <w:rPr>
              <w:rStyle w:val="Bold"/>
            </w:rPr>
            <w:fldChar w:fldCharType="separate"/>
          </w:r>
          <w:r w:rsidR="00A95E64">
            <w:rPr>
              <w:rStyle w:val="Bold"/>
              <w:noProof/>
            </w:rPr>
            <w:t>Specifications</w:t>
          </w:r>
          <w:r>
            <w:rPr>
              <w:rStyle w:val="Bold"/>
            </w:rPr>
            <w:fldChar w:fldCharType="end"/>
          </w:r>
        </w:p>
      </w:tc>
      <w:tc>
        <w:tcPr>
          <w:tcW w:w="340" w:type="dxa"/>
        </w:tcPr>
        <w:p w14:paraId="4D9DC825" w14:textId="01F1F937" w:rsidR="00263498" w:rsidRPr="00D55628" w:rsidRDefault="00263498" w:rsidP="00D55628">
          <w:pPr>
            <w:pStyle w:val="FooterOddPageNumber"/>
          </w:pPr>
          <w:r w:rsidRPr="00D55628">
            <w:fldChar w:fldCharType="begin"/>
          </w:r>
          <w:r w:rsidRPr="00D55628">
            <w:instrText xml:space="preserve"> PAGE   \* MERGEFORMAT </w:instrText>
          </w:r>
          <w:r w:rsidRPr="00D55628">
            <w:fldChar w:fldCharType="separate"/>
          </w:r>
          <w:r w:rsidR="000A4C0B">
            <w:rPr>
              <w:noProof/>
            </w:rPr>
            <w:t>9</w:t>
          </w:r>
          <w:r w:rsidRPr="00D55628">
            <w:fldChar w:fldCharType="end"/>
          </w:r>
        </w:p>
      </w:tc>
    </w:tr>
  </w:tbl>
  <w:p w14:paraId="50236247" w14:textId="77777777" w:rsidR="00263498" w:rsidRDefault="00263498">
    <w:pPr>
      <w:pStyle w:val="Footer"/>
    </w:pPr>
    <w:r w:rsidRPr="00D55628">
      <w:rPr>
        <w:noProof/>
      </w:rPr>
      <mc:AlternateContent>
        <mc:Choice Requires="wps">
          <w:drawing>
            <wp:anchor distT="0" distB="0" distL="114300" distR="114300" simplePos="0" relativeHeight="251655168" behindDoc="1" locked="1" layoutInCell="1" allowOverlap="1" wp14:anchorId="76CA81D9" wp14:editId="51E46B06">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39CA2" w14:textId="69E4BD43"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A81D9" id="_x0000_t202" coordsize="21600,21600" o:spt="202" path="m,l,21600r21600,l21600,xe">
              <v:stroke joinstyle="miter"/>
              <v:path gradientshapeok="t" o:connecttype="rect"/>
            </v:shapetype>
            <v:shape id="_x0000_s1038" type="#_x0000_t202" alt="Title: Background Watermark Image" style="position:absolute;margin-left:0;margin-top:0;width:595.3pt;height:141.45pt;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i/C1A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" filled="f" stroked="f">
              <v:textbox>
                <w:txbxContent>
                  <w:p w14:paraId="1E839CA2" w14:textId="69E4BD43" w:rsidR="00263498" w:rsidRPr="0001226A" w:rsidRDefault="00263498"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p w14:paraId="787E1DC6" w14:textId="77777777" w:rsidR="00263498" w:rsidRDefault="002634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75B69" w14:textId="77777777" w:rsidR="00643E9E" w:rsidRPr="008F5280" w:rsidRDefault="00643E9E" w:rsidP="008F5280">
      <w:pPr>
        <w:pStyle w:val="FootnoteSeparator"/>
      </w:pPr>
    </w:p>
  </w:footnote>
  <w:footnote w:type="continuationSeparator" w:id="0">
    <w:p w14:paraId="5DD5E4C4" w14:textId="77777777" w:rsidR="00643E9E" w:rsidRDefault="00643E9E" w:rsidP="008F5280">
      <w:pPr>
        <w:pStyle w:val="FootnoteSeparator"/>
      </w:pPr>
    </w:p>
    <w:p w14:paraId="71B625EA" w14:textId="77777777" w:rsidR="00643E9E" w:rsidRDefault="00643E9E"/>
  </w:footnote>
  <w:footnote w:type="continuationNotice" w:id="1">
    <w:p w14:paraId="7AEC3D5B" w14:textId="77777777" w:rsidR="00643E9E" w:rsidRDefault="00643E9E" w:rsidP="00D55628"/>
    <w:p w14:paraId="53FAD7F3" w14:textId="77777777" w:rsidR="00643E9E" w:rsidRDefault="00643E9E"/>
  </w:footnote>
  <w:footnote w:id="2">
    <w:p w14:paraId="708898DA" w14:textId="164C0307" w:rsidR="00263498" w:rsidRDefault="00263498" w:rsidP="00B40584">
      <w:pPr>
        <w:pStyle w:val="FootnoteText"/>
      </w:pPr>
      <w:r>
        <w:rPr>
          <w:rStyle w:val="FootnoteReference"/>
        </w:rPr>
        <w:footnoteRef/>
      </w:r>
      <w:r>
        <w:t xml:space="preserve"> New South Wales Office of Environment and Heritage</w:t>
      </w:r>
    </w:p>
  </w:footnote>
  <w:footnote w:id="3">
    <w:p w14:paraId="2EE0E751" w14:textId="63ACCF49" w:rsidR="00263498" w:rsidRDefault="00263498">
      <w:pPr>
        <w:pStyle w:val="FootnoteText"/>
      </w:pPr>
      <w:r>
        <w:rPr>
          <w:rStyle w:val="FootnoteReference"/>
        </w:rPr>
        <w:footnoteRef/>
      </w:r>
      <w:r>
        <w:t xml:space="preserve"> National Australian Built Environment Rating System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5FA54" w14:textId="77777777" w:rsidR="00263498" w:rsidRDefault="00263498" w:rsidP="009C64FA">
    <w:pPr>
      <w:pStyle w:val="Header"/>
    </w:pPr>
  </w:p>
  <w:p w14:paraId="44514820" w14:textId="77777777" w:rsidR="00263498" w:rsidRPr="00393205" w:rsidRDefault="00263498" w:rsidP="003932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84A96" w14:textId="77777777" w:rsidR="00263498" w:rsidRDefault="00263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D1084" w14:textId="77777777" w:rsidR="00263498" w:rsidRDefault="0026349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15A8DB" w14:textId="7E04D16A" w:rsidR="00263498" w:rsidRDefault="0026349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1BA0A" w14:textId="77777777" w:rsidR="00263498" w:rsidRDefault="00263498" w:rsidP="009C64FA">
    <w:pPr>
      <w:pStyle w:val="Header"/>
    </w:pPr>
  </w:p>
  <w:p w14:paraId="764AF283" w14:textId="77777777" w:rsidR="00263498" w:rsidRPr="00393205" w:rsidRDefault="00263498" w:rsidP="003932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B601422"/>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04BCEB92"/>
    <w:lvl w:ilvl="0">
      <w:start w:val="1"/>
      <w:numFmt w:val="decimal"/>
      <w:lvlText w:val="%1."/>
      <w:lvlJc w:val="left"/>
      <w:pPr>
        <w:tabs>
          <w:tab w:val="num" w:pos="360"/>
        </w:tabs>
        <w:ind w:left="360" w:hanging="360"/>
      </w:pPr>
    </w:lvl>
  </w:abstractNum>
  <w:abstractNum w:abstractNumId="2"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 w15:restartNumberingAfterBreak="0">
    <w:nsid w:val="09052597"/>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351215"/>
    <w:multiLevelType w:val="multilevel"/>
    <w:tmpl w:val="3FDEBA7A"/>
    <w:name w:val="DELWPHeadings"/>
    <w:lvl w:ilvl="0">
      <w:start w:val="1"/>
      <w:numFmt w:val="none"/>
      <w:lvlRestart w:val="0"/>
      <w:pStyle w:val="Heading1"/>
      <w:suff w:val="nothing"/>
      <w:lvlText w:val=""/>
      <w:lvlJc w:val="left"/>
      <w:pPr>
        <w:ind w:left="0" w:firstLine="0"/>
      </w:pPr>
      <w:rPr>
        <w:rFonts w:hint="default"/>
        <w:color w:val="0072CE"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6" w15:restartNumberingAfterBreak="0">
    <w:nsid w:val="193B1A32"/>
    <w:multiLevelType w:val="hybridMultilevel"/>
    <w:tmpl w:val="B23674D8"/>
    <w:name w:val="DEPIListNumbering2"/>
    <w:lvl w:ilvl="0" w:tplc="F962B9BC">
      <w:start w:val="1"/>
      <w:numFmt w:val="lowerLetter"/>
      <w:pStyle w:val="ListNumber2"/>
      <w:lvlText w:val="(%1)"/>
      <w:lvlJc w:val="left"/>
      <w:pPr>
        <w:ind w:left="107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8" w15:restartNumberingAfterBreak="0">
    <w:nsid w:val="1C1329C1"/>
    <w:multiLevelType w:val="hybridMultilevel"/>
    <w:tmpl w:val="F35E27DE"/>
    <w:lvl w:ilvl="0" w:tplc="D6E240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730D5C"/>
    <w:multiLevelType w:val="hybridMultilevel"/>
    <w:tmpl w:val="69CA0CCC"/>
    <w:lvl w:ilvl="0" w:tplc="2B66749E">
      <w:start w:val="1"/>
      <w:numFmt w:val="lowerLetter"/>
      <w:lvlText w:val="(%1)"/>
      <w:lvlJc w:val="left"/>
      <w:pPr>
        <w:ind w:left="720" w:hanging="360"/>
      </w:pPr>
      <w:rPr>
        <w:rFonts w:hint="default"/>
        <w:i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1" w15:restartNumberingAfterBreak="0">
    <w:nsid w:val="2A0965F5"/>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3" w15:restartNumberingAfterBreak="0">
    <w:nsid w:val="3057384A"/>
    <w:multiLevelType w:val="hybridMultilevel"/>
    <w:tmpl w:val="4586966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74D3542"/>
    <w:multiLevelType w:val="hybridMultilevel"/>
    <w:tmpl w:val="C0AE6B02"/>
    <w:name w:val="DEPIListNumbering3"/>
    <w:lvl w:ilvl="0" w:tplc="D91E1030">
      <w:start w:val="1"/>
      <w:numFmt w:val="lowerRoman"/>
      <w:pStyle w:val="ListNumber3"/>
      <w:lvlText w:val="(%1)"/>
      <w:lvlJc w:val="left"/>
      <w:pPr>
        <w:ind w:left="1070" w:hanging="360"/>
      </w:pPr>
      <w:rPr>
        <w:rFonts w:hint="default"/>
      </w:rPr>
    </w:lvl>
    <w:lvl w:ilvl="1" w:tplc="0C090019">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15"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6"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4C9E17E7"/>
    <w:multiLevelType w:val="hybridMultilevel"/>
    <w:tmpl w:val="296216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D545EC4"/>
    <w:multiLevelType w:val="multilevel"/>
    <w:tmpl w:val="697AE6B4"/>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1A44A30"/>
    <w:multiLevelType w:val="multilevel"/>
    <w:tmpl w:val="896C5878"/>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7"/>
        </w:tabs>
        <w:ind w:left="3687" w:hanging="2552"/>
      </w:pPr>
      <w:rPr>
        <w:rFonts w:hint="default"/>
        <w:b/>
        <w:i w:val="0"/>
        <w:sz w:val="40"/>
      </w:rPr>
    </w:lvl>
    <w:lvl w:ilvl="1">
      <w:start w:val="1"/>
      <w:numFmt w:val="none"/>
      <w:lvlText w:val=""/>
      <w:lvlJc w:val="left"/>
      <w:pPr>
        <w:tabs>
          <w:tab w:val="num" w:pos="766"/>
        </w:tabs>
        <w:ind w:left="766" w:hanging="765"/>
      </w:pPr>
      <w:rPr>
        <w:rFonts w:hint="default"/>
        <w:sz w:val="26"/>
      </w:rPr>
    </w:lvl>
    <w:lvl w:ilvl="2">
      <w:start w:val="1"/>
      <w:numFmt w:val="decimal"/>
      <w:lvlText w:val="%1%2.%3"/>
      <w:lvlJc w:val="left"/>
      <w:pPr>
        <w:tabs>
          <w:tab w:val="num" w:pos="766"/>
        </w:tabs>
        <w:ind w:left="766" w:hanging="765"/>
      </w:pPr>
      <w:rPr>
        <w:rFonts w:hint="default"/>
      </w:rPr>
    </w:lvl>
    <w:lvl w:ilvl="3">
      <w:start w:val="1"/>
      <w:numFmt w:val="decimal"/>
      <w:lvlText w:val="%1%2.%3.%4"/>
      <w:lvlJc w:val="left"/>
      <w:pPr>
        <w:tabs>
          <w:tab w:val="num" w:pos="766"/>
        </w:tabs>
        <w:ind w:left="766" w:hanging="765"/>
      </w:pPr>
      <w:rPr>
        <w:rFonts w:hint="default"/>
      </w:rPr>
    </w:lvl>
    <w:lvl w:ilvl="4">
      <w:start w:val="1"/>
      <w:numFmt w:val="decimal"/>
      <w:lvlText w:val="%1%2.%3.%4.%5"/>
      <w:lvlJc w:val="left"/>
      <w:pPr>
        <w:tabs>
          <w:tab w:val="num" w:pos="1135"/>
        </w:tabs>
        <w:ind w:left="1135" w:hanging="1134"/>
      </w:pPr>
      <w:rPr>
        <w:rFonts w:hint="default"/>
      </w:rPr>
    </w:lvl>
    <w:lvl w:ilvl="5">
      <w:start w:val="1"/>
      <w:numFmt w:val="none"/>
      <w:lvlText w:val=""/>
      <w:lvlJc w:val="right"/>
      <w:pPr>
        <w:ind w:left="1" w:firstLine="0"/>
      </w:pPr>
      <w:rPr>
        <w:rFonts w:hint="default"/>
      </w:rPr>
    </w:lvl>
    <w:lvl w:ilvl="6">
      <w:start w:val="1"/>
      <w:numFmt w:val="none"/>
      <w:lvlText w:val=""/>
      <w:lvlJc w:val="left"/>
      <w:pPr>
        <w:ind w:left="1" w:firstLine="0"/>
      </w:pPr>
      <w:rPr>
        <w:rFonts w:hint="default"/>
      </w:rPr>
    </w:lvl>
    <w:lvl w:ilvl="7">
      <w:start w:val="1"/>
      <w:numFmt w:val="none"/>
      <w:lvlText w:val=""/>
      <w:lvlJc w:val="left"/>
      <w:pPr>
        <w:ind w:left="5761" w:hanging="5760"/>
      </w:pPr>
      <w:rPr>
        <w:rFonts w:hint="default"/>
      </w:rPr>
    </w:lvl>
    <w:lvl w:ilvl="8">
      <w:start w:val="1"/>
      <w:numFmt w:val="none"/>
      <w:lvlText w:val=""/>
      <w:lvlJc w:val="right"/>
      <w:pPr>
        <w:ind w:left="6481" w:hanging="6480"/>
      </w:pPr>
      <w:rPr>
        <w:rFonts w:hint="default"/>
      </w:rPr>
    </w:lvl>
  </w:abstractNum>
  <w:abstractNum w:abstractNumId="25" w15:restartNumberingAfterBreak="0">
    <w:nsid w:val="638D6E17"/>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7" w15:restartNumberingAfterBreak="0">
    <w:nsid w:val="64E90907"/>
    <w:multiLevelType w:val="hybridMultilevel"/>
    <w:tmpl w:val="69CA0CCC"/>
    <w:lvl w:ilvl="0" w:tplc="2B66749E">
      <w:start w:val="1"/>
      <w:numFmt w:val="lowerLetter"/>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0072CE"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0" w15:restartNumberingAfterBreak="0">
    <w:nsid w:val="7839021E"/>
    <w:multiLevelType w:val="multilevel"/>
    <w:tmpl w:val="EF36802A"/>
    <w:name w:val="DEPIListNumbering"/>
    <w:lvl w:ilvl="0">
      <w:start w:val="1"/>
      <w:numFmt w:val="decimal"/>
      <w:pStyle w:val="ListNumber"/>
      <w:lvlText w:val="(%1)"/>
      <w:lvlJc w:val="left"/>
      <w:pPr>
        <w:ind w:left="360" w:hanging="360"/>
      </w:pPr>
      <w:rPr>
        <w:rFonts w:hint="default"/>
        <w:color w:val="363534" w:themeColor="text1"/>
        <w:spacing w:val="0"/>
        <w:sz w:val="20"/>
      </w:rPr>
    </w:lvl>
    <w:lvl w:ilvl="1">
      <w:start w:val="1"/>
      <w:numFmt w:val="lowerLetter"/>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7"/>
  </w:num>
  <w:num w:numId="2">
    <w:abstractNumId w:val="28"/>
  </w:num>
  <w:num w:numId="3">
    <w:abstractNumId w:val="24"/>
  </w:num>
  <w:num w:numId="4">
    <w:abstractNumId w:val="30"/>
  </w:num>
  <w:num w:numId="5">
    <w:abstractNumId w:val="12"/>
  </w:num>
  <w:num w:numId="6">
    <w:abstractNumId w:val="5"/>
  </w:num>
  <w:num w:numId="7">
    <w:abstractNumId w:val="4"/>
  </w:num>
  <w:num w:numId="8">
    <w:abstractNumId w:val="2"/>
  </w:num>
  <w:num w:numId="9">
    <w:abstractNumId w:val="29"/>
  </w:num>
  <w:num w:numId="10">
    <w:abstractNumId w:val="7"/>
  </w:num>
  <w:num w:numId="11">
    <w:abstractNumId w:val="15"/>
  </w:num>
  <w:num w:numId="12">
    <w:abstractNumId w:val="10"/>
  </w:num>
  <w:num w:numId="13">
    <w:abstractNumId w:val="18"/>
  </w:num>
  <w:num w:numId="14">
    <w:abstractNumId w:val="20"/>
  </w:num>
  <w:num w:numId="15">
    <w:abstractNumId w:val="23"/>
  </w:num>
  <w:num w:numId="16">
    <w:abstractNumId w:val="6"/>
  </w:num>
  <w:num w:numId="17">
    <w:abstractNumId w:val="6"/>
    <w:lvlOverride w:ilvl="0">
      <w:startOverride w:val="1"/>
    </w:lvlOverride>
  </w:num>
  <w:num w:numId="18">
    <w:abstractNumId w:val="14"/>
  </w:num>
  <w:num w:numId="19">
    <w:abstractNumId w:val="14"/>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6"/>
    <w:lvlOverride w:ilvl="0">
      <w:startOverride w:val="1"/>
    </w:lvlOverride>
  </w:num>
  <w:num w:numId="23">
    <w:abstractNumId w:val="6"/>
    <w:lvlOverride w:ilvl="0">
      <w:startOverride w:val="1"/>
    </w:lvlOverride>
  </w:num>
  <w:num w:numId="24">
    <w:abstractNumId w:val="14"/>
    <w:lvlOverride w:ilvl="0">
      <w:startOverride w:val="1"/>
    </w:lvlOverride>
  </w:num>
  <w:num w:numId="25">
    <w:abstractNumId w:val="14"/>
    <w:lvlOverride w:ilvl="0">
      <w:startOverride w:val="1"/>
    </w:lvlOverride>
  </w:num>
  <w:num w:numId="26">
    <w:abstractNumId w:val="6"/>
    <w:lvlOverride w:ilvl="0">
      <w:startOverride w:val="1"/>
    </w:lvlOverride>
  </w:num>
  <w:num w:numId="27">
    <w:abstractNumId w:val="14"/>
    <w:lvlOverride w:ilvl="0">
      <w:startOverride w:val="1"/>
    </w:lvlOverride>
  </w:num>
  <w:num w:numId="28">
    <w:abstractNumId w:val="6"/>
    <w:lvlOverride w:ilvl="0">
      <w:startOverride w:val="1"/>
    </w:lvlOverride>
  </w:num>
  <w:num w:numId="29">
    <w:abstractNumId w:val="14"/>
    <w:lvlOverride w:ilvl="0">
      <w:startOverride w:val="1"/>
    </w:lvlOverride>
  </w:num>
  <w:num w:numId="30">
    <w:abstractNumId w:val="25"/>
  </w:num>
  <w:num w:numId="31">
    <w:abstractNumId w:val="9"/>
  </w:num>
  <w:num w:numId="32">
    <w:abstractNumId w:val="27"/>
  </w:num>
  <w:num w:numId="33">
    <w:abstractNumId w:val="6"/>
    <w:lvlOverride w:ilvl="0">
      <w:startOverride w:val="1"/>
    </w:lvlOverride>
  </w:num>
  <w:num w:numId="34">
    <w:abstractNumId w:val="14"/>
    <w:lvlOverride w:ilvl="0">
      <w:startOverride w:val="1"/>
    </w:lvlOverride>
  </w:num>
  <w:num w:numId="35">
    <w:abstractNumId w:val="6"/>
    <w:lvlOverride w:ilvl="0">
      <w:startOverride w:val="1"/>
    </w:lvlOverride>
  </w:num>
  <w:num w:numId="36">
    <w:abstractNumId w:val="3"/>
  </w:num>
  <w:num w:numId="37">
    <w:abstractNumId w:val="6"/>
    <w:lvlOverride w:ilvl="0">
      <w:startOverride w:val="1"/>
    </w:lvlOverride>
  </w:num>
  <w:num w:numId="38">
    <w:abstractNumId w:val="14"/>
    <w:lvlOverride w:ilvl="0">
      <w:startOverride w:val="1"/>
    </w:lvlOverride>
  </w:num>
  <w:num w:numId="39">
    <w:abstractNumId w:val="19"/>
  </w:num>
  <w:num w:numId="40">
    <w:abstractNumId w:val="6"/>
    <w:lvlOverride w:ilvl="0">
      <w:startOverride w:val="1"/>
    </w:lvlOverride>
  </w:num>
  <w:num w:numId="41">
    <w:abstractNumId w:val="14"/>
    <w:lvlOverride w:ilvl="0">
      <w:startOverride w:val="1"/>
    </w:lvlOverride>
  </w:num>
  <w:num w:numId="42">
    <w:abstractNumId w:val="13"/>
  </w:num>
  <w:num w:numId="43">
    <w:abstractNumId w:val="6"/>
  </w:num>
  <w:num w:numId="44">
    <w:abstractNumId w:val="6"/>
  </w:num>
  <w:num w:numId="45">
    <w:abstractNumId w:val="6"/>
  </w:num>
  <w:num w:numId="46">
    <w:abstractNumId w:val="6"/>
  </w:num>
  <w:num w:numId="47">
    <w:abstractNumId w:val="6"/>
  </w:num>
  <w:num w:numId="48">
    <w:abstractNumId w:val="6"/>
  </w:num>
  <w:num w:numId="49">
    <w:abstractNumId w:val="14"/>
  </w:num>
  <w:num w:numId="50">
    <w:abstractNumId w:val="8"/>
  </w:num>
  <w:num w:numId="51">
    <w:abstractNumId w:val="4"/>
  </w:num>
  <w:num w:numId="52">
    <w:abstractNumId w:val="6"/>
  </w:num>
  <w:num w:numId="53">
    <w:abstractNumId w:val="11"/>
  </w:num>
  <w:num w:numId="54">
    <w:abstractNumId w:val="0"/>
  </w:num>
  <w:num w:numId="55">
    <w:abstractNumId w:val="14"/>
  </w:num>
  <w:num w:numId="56">
    <w:abstractNumId w:val="30"/>
  </w:num>
  <w:num w:numId="57">
    <w:abstractNumId w:val="1"/>
  </w:num>
  <w:num w:numId="58">
    <w:abstractNumId w:val="6"/>
  </w:num>
  <w:num w:numId="59">
    <w:abstractNumId w:val="6"/>
    <w:lvlOverride w:ilvl="0">
      <w:startOverride w:val="1"/>
    </w:lvlOverride>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en-US" w:vendorID="64" w:dllVersion="0" w:nlCheck="1" w:checkStyle="1"/>
  <w:activeWritingStyle w:appName="MSWord" w:lang="en-AU" w:vendorID="64" w:dllVersion="0" w:nlCheck="1" w:checkStyle="1"/>
  <w:activeWritingStyle w:appName="MSWord" w:lang="en-AU" w:vendorID="64" w:dllVersion="4096" w:nlCheck="1" w:checkStyle="0"/>
  <w:activeWritingStyle w:appName="MSWord" w:lang="en-US" w:vendorID="64" w:dllVersion="4096" w:nlCheck="1" w:checkStyle="0"/>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ergy"/>
    <w:docVar w:name="TOC" w:val="True"/>
    <w:docVar w:name="TOCNew" w:val="True"/>
    <w:docVar w:name="Version" w:val="1"/>
  </w:docVars>
  <w:rsids>
    <w:rsidRoot w:val="00D80116"/>
    <w:rsid w:val="0000017F"/>
    <w:rsid w:val="00000279"/>
    <w:rsid w:val="000004BD"/>
    <w:rsid w:val="00000B7A"/>
    <w:rsid w:val="00000C89"/>
    <w:rsid w:val="00000FEB"/>
    <w:rsid w:val="000012BE"/>
    <w:rsid w:val="00001F76"/>
    <w:rsid w:val="000024EB"/>
    <w:rsid w:val="0000279C"/>
    <w:rsid w:val="000028B4"/>
    <w:rsid w:val="00002DE1"/>
    <w:rsid w:val="00003960"/>
    <w:rsid w:val="00003F94"/>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054"/>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697"/>
    <w:rsid w:val="00033A8A"/>
    <w:rsid w:val="0003451C"/>
    <w:rsid w:val="00034B87"/>
    <w:rsid w:val="00034E46"/>
    <w:rsid w:val="00035139"/>
    <w:rsid w:val="00035163"/>
    <w:rsid w:val="000351EF"/>
    <w:rsid w:val="00035B4E"/>
    <w:rsid w:val="00035F72"/>
    <w:rsid w:val="0003623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2DA8"/>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4FD9"/>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4711"/>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292E"/>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343"/>
    <w:rsid w:val="000A1512"/>
    <w:rsid w:val="000A15E4"/>
    <w:rsid w:val="000A16B0"/>
    <w:rsid w:val="000A2315"/>
    <w:rsid w:val="000A28BD"/>
    <w:rsid w:val="000A2A90"/>
    <w:rsid w:val="000A2C62"/>
    <w:rsid w:val="000A2E96"/>
    <w:rsid w:val="000A30F9"/>
    <w:rsid w:val="000A3721"/>
    <w:rsid w:val="000A3769"/>
    <w:rsid w:val="000A3841"/>
    <w:rsid w:val="000A3B01"/>
    <w:rsid w:val="000A4744"/>
    <w:rsid w:val="000A4C0B"/>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097"/>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2B7"/>
    <w:rsid w:val="000E24E1"/>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5"/>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253"/>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906"/>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14"/>
    <w:rsid w:val="0011267E"/>
    <w:rsid w:val="0011271A"/>
    <w:rsid w:val="00112E38"/>
    <w:rsid w:val="001131AA"/>
    <w:rsid w:val="001137CE"/>
    <w:rsid w:val="00113C4C"/>
    <w:rsid w:val="00113CDC"/>
    <w:rsid w:val="00113DD9"/>
    <w:rsid w:val="0011467A"/>
    <w:rsid w:val="00114751"/>
    <w:rsid w:val="0011484F"/>
    <w:rsid w:val="001148DA"/>
    <w:rsid w:val="00114DBC"/>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09"/>
    <w:rsid w:val="00125F99"/>
    <w:rsid w:val="001262FB"/>
    <w:rsid w:val="001266B1"/>
    <w:rsid w:val="001269E0"/>
    <w:rsid w:val="001270B7"/>
    <w:rsid w:val="00127385"/>
    <w:rsid w:val="00127410"/>
    <w:rsid w:val="0012741A"/>
    <w:rsid w:val="00127532"/>
    <w:rsid w:val="00127D30"/>
    <w:rsid w:val="00127F2F"/>
    <w:rsid w:val="001300CB"/>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71A"/>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A81"/>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4E8"/>
    <w:rsid w:val="001A5625"/>
    <w:rsid w:val="001A6A11"/>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6BB"/>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B1D"/>
    <w:rsid w:val="001E2E6F"/>
    <w:rsid w:val="001E2EC7"/>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671"/>
    <w:rsid w:val="00200A9D"/>
    <w:rsid w:val="00200B2E"/>
    <w:rsid w:val="00201324"/>
    <w:rsid w:val="0020179C"/>
    <w:rsid w:val="00201841"/>
    <w:rsid w:val="0020194C"/>
    <w:rsid w:val="0020205B"/>
    <w:rsid w:val="00202C45"/>
    <w:rsid w:val="00202E4A"/>
    <w:rsid w:val="00203011"/>
    <w:rsid w:val="002031FC"/>
    <w:rsid w:val="0020332E"/>
    <w:rsid w:val="00203733"/>
    <w:rsid w:val="0020390A"/>
    <w:rsid w:val="002041DB"/>
    <w:rsid w:val="0020460C"/>
    <w:rsid w:val="00205401"/>
    <w:rsid w:val="00205553"/>
    <w:rsid w:val="0020587F"/>
    <w:rsid w:val="002059C8"/>
    <w:rsid w:val="00206005"/>
    <w:rsid w:val="00206928"/>
    <w:rsid w:val="00206BDC"/>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DF7"/>
    <w:rsid w:val="002544FC"/>
    <w:rsid w:val="00254AB4"/>
    <w:rsid w:val="00254CA1"/>
    <w:rsid w:val="00254D73"/>
    <w:rsid w:val="00254DE3"/>
    <w:rsid w:val="0025505F"/>
    <w:rsid w:val="002550FF"/>
    <w:rsid w:val="0025523C"/>
    <w:rsid w:val="00255D7F"/>
    <w:rsid w:val="00255DD3"/>
    <w:rsid w:val="00256057"/>
    <w:rsid w:val="002560F7"/>
    <w:rsid w:val="002565E2"/>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498"/>
    <w:rsid w:val="0026369F"/>
    <w:rsid w:val="002636AB"/>
    <w:rsid w:val="0026373B"/>
    <w:rsid w:val="00263BE7"/>
    <w:rsid w:val="00264677"/>
    <w:rsid w:val="00264993"/>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795"/>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7FC"/>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6CD"/>
    <w:rsid w:val="002B6A07"/>
    <w:rsid w:val="002B6AE7"/>
    <w:rsid w:val="002B6C6B"/>
    <w:rsid w:val="002B7092"/>
    <w:rsid w:val="002B72F5"/>
    <w:rsid w:val="002B737D"/>
    <w:rsid w:val="002B76BC"/>
    <w:rsid w:val="002B780E"/>
    <w:rsid w:val="002B78F7"/>
    <w:rsid w:val="002B7AF2"/>
    <w:rsid w:val="002B7D49"/>
    <w:rsid w:val="002B7D71"/>
    <w:rsid w:val="002B7F08"/>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1B87"/>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BD7"/>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1955"/>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35"/>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841"/>
    <w:rsid w:val="00354EFD"/>
    <w:rsid w:val="003555CC"/>
    <w:rsid w:val="003561B4"/>
    <w:rsid w:val="003574ED"/>
    <w:rsid w:val="003576A7"/>
    <w:rsid w:val="003576FA"/>
    <w:rsid w:val="0035773F"/>
    <w:rsid w:val="0036096A"/>
    <w:rsid w:val="00360B61"/>
    <w:rsid w:val="00360F3F"/>
    <w:rsid w:val="00361287"/>
    <w:rsid w:val="0036145D"/>
    <w:rsid w:val="00361F2F"/>
    <w:rsid w:val="00361FBC"/>
    <w:rsid w:val="003622D4"/>
    <w:rsid w:val="003628F9"/>
    <w:rsid w:val="00362AAB"/>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3C1"/>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26A"/>
    <w:rsid w:val="003A5365"/>
    <w:rsid w:val="003A546D"/>
    <w:rsid w:val="003A634F"/>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A26"/>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D1B"/>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A93"/>
    <w:rsid w:val="003F4DE2"/>
    <w:rsid w:val="003F4E79"/>
    <w:rsid w:val="003F524E"/>
    <w:rsid w:val="003F5505"/>
    <w:rsid w:val="003F5644"/>
    <w:rsid w:val="003F56FC"/>
    <w:rsid w:val="003F5720"/>
    <w:rsid w:val="003F5AAB"/>
    <w:rsid w:val="003F5C95"/>
    <w:rsid w:val="003F6017"/>
    <w:rsid w:val="003F635B"/>
    <w:rsid w:val="003F6842"/>
    <w:rsid w:val="003F6B4D"/>
    <w:rsid w:val="003F6E4F"/>
    <w:rsid w:val="003F7913"/>
    <w:rsid w:val="003F7B68"/>
    <w:rsid w:val="003F7E66"/>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39"/>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0F6"/>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CF7"/>
    <w:rsid w:val="00471D90"/>
    <w:rsid w:val="00472154"/>
    <w:rsid w:val="0047291F"/>
    <w:rsid w:val="00472D29"/>
    <w:rsid w:val="00473915"/>
    <w:rsid w:val="004741FF"/>
    <w:rsid w:val="0047431D"/>
    <w:rsid w:val="00474492"/>
    <w:rsid w:val="00474924"/>
    <w:rsid w:val="004749BC"/>
    <w:rsid w:val="00474AB4"/>
    <w:rsid w:val="00474C65"/>
    <w:rsid w:val="0047533C"/>
    <w:rsid w:val="00475575"/>
    <w:rsid w:val="00475911"/>
    <w:rsid w:val="00475DC7"/>
    <w:rsid w:val="00475E92"/>
    <w:rsid w:val="00476187"/>
    <w:rsid w:val="00476D9E"/>
    <w:rsid w:val="00477146"/>
    <w:rsid w:val="004771D9"/>
    <w:rsid w:val="004772B4"/>
    <w:rsid w:val="004776C9"/>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CFB"/>
    <w:rsid w:val="00486F4D"/>
    <w:rsid w:val="00487851"/>
    <w:rsid w:val="004879B6"/>
    <w:rsid w:val="00487EC0"/>
    <w:rsid w:val="00487EC7"/>
    <w:rsid w:val="00490F9B"/>
    <w:rsid w:val="00491465"/>
    <w:rsid w:val="0049165E"/>
    <w:rsid w:val="00491A11"/>
    <w:rsid w:val="004922A5"/>
    <w:rsid w:val="004925EC"/>
    <w:rsid w:val="00492A69"/>
    <w:rsid w:val="00492C0D"/>
    <w:rsid w:val="00492CD9"/>
    <w:rsid w:val="0049412F"/>
    <w:rsid w:val="00494637"/>
    <w:rsid w:val="0049473E"/>
    <w:rsid w:val="00494760"/>
    <w:rsid w:val="0049493E"/>
    <w:rsid w:val="004956B2"/>
    <w:rsid w:val="0049587E"/>
    <w:rsid w:val="00495986"/>
    <w:rsid w:val="00496446"/>
    <w:rsid w:val="00496465"/>
    <w:rsid w:val="00496982"/>
    <w:rsid w:val="00496C3E"/>
    <w:rsid w:val="0049713E"/>
    <w:rsid w:val="00497A05"/>
    <w:rsid w:val="004A0535"/>
    <w:rsid w:val="004A05C7"/>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1F0"/>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5CF8"/>
    <w:rsid w:val="004B7FA5"/>
    <w:rsid w:val="004C0479"/>
    <w:rsid w:val="004C0A38"/>
    <w:rsid w:val="004C1076"/>
    <w:rsid w:val="004C112B"/>
    <w:rsid w:val="004C1234"/>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7235"/>
    <w:rsid w:val="004C72EE"/>
    <w:rsid w:val="004C7366"/>
    <w:rsid w:val="004C77E1"/>
    <w:rsid w:val="004C7F52"/>
    <w:rsid w:val="004D0374"/>
    <w:rsid w:val="004D03AF"/>
    <w:rsid w:val="004D078E"/>
    <w:rsid w:val="004D082D"/>
    <w:rsid w:val="004D09B3"/>
    <w:rsid w:val="004D0BB5"/>
    <w:rsid w:val="004D0ED6"/>
    <w:rsid w:val="004D1061"/>
    <w:rsid w:val="004D2378"/>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66B"/>
    <w:rsid w:val="004F3A12"/>
    <w:rsid w:val="004F3D42"/>
    <w:rsid w:val="004F43A1"/>
    <w:rsid w:val="004F4995"/>
    <w:rsid w:val="004F5160"/>
    <w:rsid w:val="004F5D45"/>
    <w:rsid w:val="004F5ECF"/>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07F42"/>
    <w:rsid w:val="00510245"/>
    <w:rsid w:val="0051067C"/>
    <w:rsid w:val="00510833"/>
    <w:rsid w:val="0051089A"/>
    <w:rsid w:val="005108EF"/>
    <w:rsid w:val="00510A01"/>
    <w:rsid w:val="00511120"/>
    <w:rsid w:val="00511156"/>
    <w:rsid w:val="0051118C"/>
    <w:rsid w:val="0051138B"/>
    <w:rsid w:val="00511A66"/>
    <w:rsid w:val="00512229"/>
    <w:rsid w:val="00512A98"/>
    <w:rsid w:val="00512DFB"/>
    <w:rsid w:val="00512E08"/>
    <w:rsid w:val="005135E4"/>
    <w:rsid w:val="00513EDA"/>
    <w:rsid w:val="00513F6B"/>
    <w:rsid w:val="005142A8"/>
    <w:rsid w:val="00514425"/>
    <w:rsid w:val="00514B86"/>
    <w:rsid w:val="00514E2D"/>
    <w:rsid w:val="00514ECF"/>
    <w:rsid w:val="00515748"/>
    <w:rsid w:val="00515B23"/>
    <w:rsid w:val="00515C39"/>
    <w:rsid w:val="00516381"/>
    <w:rsid w:val="00516487"/>
    <w:rsid w:val="00516C58"/>
    <w:rsid w:val="005173C0"/>
    <w:rsid w:val="00517471"/>
    <w:rsid w:val="005174F9"/>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C66"/>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7A9"/>
    <w:rsid w:val="00542945"/>
    <w:rsid w:val="00542AD5"/>
    <w:rsid w:val="00542EDE"/>
    <w:rsid w:val="0054341E"/>
    <w:rsid w:val="00543482"/>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15BD"/>
    <w:rsid w:val="00572C10"/>
    <w:rsid w:val="00572FD2"/>
    <w:rsid w:val="005735B8"/>
    <w:rsid w:val="005735BB"/>
    <w:rsid w:val="00573ABC"/>
    <w:rsid w:val="00573EC6"/>
    <w:rsid w:val="005746CB"/>
    <w:rsid w:val="00574A48"/>
    <w:rsid w:val="00574A5F"/>
    <w:rsid w:val="00574C1C"/>
    <w:rsid w:val="00574E66"/>
    <w:rsid w:val="005753E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B09"/>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D"/>
    <w:rsid w:val="00583129"/>
    <w:rsid w:val="005835F6"/>
    <w:rsid w:val="00583D40"/>
    <w:rsid w:val="00583E2B"/>
    <w:rsid w:val="00583E96"/>
    <w:rsid w:val="005840D6"/>
    <w:rsid w:val="00584B8F"/>
    <w:rsid w:val="00584DF0"/>
    <w:rsid w:val="00584E40"/>
    <w:rsid w:val="0058551B"/>
    <w:rsid w:val="00585C73"/>
    <w:rsid w:val="005867AE"/>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393A"/>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070F"/>
    <w:rsid w:val="005A0ED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221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BF9"/>
    <w:rsid w:val="005D0397"/>
    <w:rsid w:val="005D0565"/>
    <w:rsid w:val="005D071D"/>
    <w:rsid w:val="005D09B8"/>
    <w:rsid w:val="005D1075"/>
    <w:rsid w:val="005D1248"/>
    <w:rsid w:val="005D1255"/>
    <w:rsid w:val="005D12C4"/>
    <w:rsid w:val="005D141F"/>
    <w:rsid w:val="005D1494"/>
    <w:rsid w:val="005D2102"/>
    <w:rsid w:val="005D23F3"/>
    <w:rsid w:val="005D2885"/>
    <w:rsid w:val="005D395A"/>
    <w:rsid w:val="005D45FC"/>
    <w:rsid w:val="005D48A2"/>
    <w:rsid w:val="005D497A"/>
    <w:rsid w:val="005D4AA8"/>
    <w:rsid w:val="005D5F8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5D9"/>
    <w:rsid w:val="005F66D6"/>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18C"/>
    <w:rsid w:val="00615263"/>
    <w:rsid w:val="0061599C"/>
    <w:rsid w:val="00615AD4"/>
    <w:rsid w:val="0061619C"/>
    <w:rsid w:val="00616BFE"/>
    <w:rsid w:val="00617567"/>
    <w:rsid w:val="00617C5A"/>
    <w:rsid w:val="00617D36"/>
    <w:rsid w:val="00617FA5"/>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5CE"/>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680"/>
    <w:rsid w:val="00636A17"/>
    <w:rsid w:val="0063703B"/>
    <w:rsid w:val="006378C4"/>
    <w:rsid w:val="00640027"/>
    <w:rsid w:val="00640E50"/>
    <w:rsid w:val="00640EC7"/>
    <w:rsid w:val="00641975"/>
    <w:rsid w:val="00641FE4"/>
    <w:rsid w:val="006421A8"/>
    <w:rsid w:val="00642290"/>
    <w:rsid w:val="006423EC"/>
    <w:rsid w:val="00642B49"/>
    <w:rsid w:val="00642E73"/>
    <w:rsid w:val="006430E4"/>
    <w:rsid w:val="006434FB"/>
    <w:rsid w:val="00643E9E"/>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3F"/>
    <w:rsid w:val="00645E86"/>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981"/>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5EC"/>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6A1"/>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27A"/>
    <w:rsid w:val="00675E8D"/>
    <w:rsid w:val="006760A1"/>
    <w:rsid w:val="00676B02"/>
    <w:rsid w:val="006770D4"/>
    <w:rsid w:val="006773B8"/>
    <w:rsid w:val="006773E8"/>
    <w:rsid w:val="00677CFC"/>
    <w:rsid w:val="00677D3D"/>
    <w:rsid w:val="00677DE9"/>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2F8"/>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1FEC"/>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22B"/>
    <w:rsid w:val="006F747F"/>
    <w:rsid w:val="0070005F"/>
    <w:rsid w:val="00700C18"/>
    <w:rsid w:val="007010C5"/>
    <w:rsid w:val="007010FE"/>
    <w:rsid w:val="007011AB"/>
    <w:rsid w:val="00701595"/>
    <w:rsid w:val="00701BC0"/>
    <w:rsid w:val="00701F5E"/>
    <w:rsid w:val="00702342"/>
    <w:rsid w:val="007023F5"/>
    <w:rsid w:val="00702B73"/>
    <w:rsid w:val="00702D28"/>
    <w:rsid w:val="00703986"/>
    <w:rsid w:val="00703AF1"/>
    <w:rsid w:val="00703BC5"/>
    <w:rsid w:val="00704255"/>
    <w:rsid w:val="00704C93"/>
    <w:rsid w:val="00704D0F"/>
    <w:rsid w:val="00705602"/>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1D13"/>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C"/>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6F7A"/>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A8D"/>
    <w:rsid w:val="00742E83"/>
    <w:rsid w:val="00743779"/>
    <w:rsid w:val="00743C5A"/>
    <w:rsid w:val="00743E88"/>
    <w:rsid w:val="007444C1"/>
    <w:rsid w:val="0074479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19FC"/>
    <w:rsid w:val="00752085"/>
    <w:rsid w:val="007525FC"/>
    <w:rsid w:val="007526FB"/>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33"/>
    <w:rsid w:val="00761AFD"/>
    <w:rsid w:val="00762267"/>
    <w:rsid w:val="0076264F"/>
    <w:rsid w:val="00762D06"/>
    <w:rsid w:val="00762D0E"/>
    <w:rsid w:val="0076407E"/>
    <w:rsid w:val="00764110"/>
    <w:rsid w:val="00764456"/>
    <w:rsid w:val="00764E15"/>
    <w:rsid w:val="00765855"/>
    <w:rsid w:val="00765F41"/>
    <w:rsid w:val="00765F49"/>
    <w:rsid w:val="007660F9"/>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3F77"/>
    <w:rsid w:val="0077408B"/>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0EA"/>
    <w:rsid w:val="00780241"/>
    <w:rsid w:val="00780E0F"/>
    <w:rsid w:val="00780F83"/>
    <w:rsid w:val="007812DE"/>
    <w:rsid w:val="00781566"/>
    <w:rsid w:val="00781795"/>
    <w:rsid w:val="00781A63"/>
    <w:rsid w:val="00781D40"/>
    <w:rsid w:val="007820C9"/>
    <w:rsid w:val="0078243F"/>
    <w:rsid w:val="0078248E"/>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52"/>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1BF"/>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62D"/>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E23"/>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346"/>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4EE"/>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AA9"/>
    <w:rsid w:val="00846CDC"/>
    <w:rsid w:val="00846F12"/>
    <w:rsid w:val="00846F26"/>
    <w:rsid w:val="00847067"/>
    <w:rsid w:val="00847A28"/>
    <w:rsid w:val="00850090"/>
    <w:rsid w:val="008500A9"/>
    <w:rsid w:val="00850A6C"/>
    <w:rsid w:val="00850DE6"/>
    <w:rsid w:val="0085205A"/>
    <w:rsid w:val="0085232C"/>
    <w:rsid w:val="00852345"/>
    <w:rsid w:val="008529C7"/>
    <w:rsid w:val="00852C4A"/>
    <w:rsid w:val="00852C8B"/>
    <w:rsid w:val="00853053"/>
    <w:rsid w:val="0085362D"/>
    <w:rsid w:val="008536DA"/>
    <w:rsid w:val="008538DB"/>
    <w:rsid w:val="00853987"/>
    <w:rsid w:val="00853B92"/>
    <w:rsid w:val="00854775"/>
    <w:rsid w:val="00854A92"/>
    <w:rsid w:val="00854AFC"/>
    <w:rsid w:val="00854E25"/>
    <w:rsid w:val="008551AF"/>
    <w:rsid w:val="00855D27"/>
    <w:rsid w:val="0085602A"/>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404"/>
    <w:rsid w:val="008727CD"/>
    <w:rsid w:val="008727D8"/>
    <w:rsid w:val="008729F9"/>
    <w:rsid w:val="00872ABD"/>
    <w:rsid w:val="00872B1F"/>
    <w:rsid w:val="008730AA"/>
    <w:rsid w:val="008732E8"/>
    <w:rsid w:val="008732FF"/>
    <w:rsid w:val="00873328"/>
    <w:rsid w:val="0087348D"/>
    <w:rsid w:val="00873EB9"/>
    <w:rsid w:val="00874B42"/>
    <w:rsid w:val="00874D8C"/>
    <w:rsid w:val="008759AC"/>
    <w:rsid w:val="00875CD3"/>
    <w:rsid w:val="00876589"/>
    <w:rsid w:val="00876BC7"/>
    <w:rsid w:val="00876EAC"/>
    <w:rsid w:val="00877975"/>
    <w:rsid w:val="00880672"/>
    <w:rsid w:val="00880758"/>
    <w:rsid w:val="008811B0"/>
    <w:rsid w:val="008814CC"/>
    <w:rsid w:val="00881C82"/>
    <w:rsid w:val="00881F0A"/>
    <w:rsid w:val="0088206B"/>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34"/>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5C6"/>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763"/>
    <w:rsid w:val="008B5BFA"/>
    <w:rsid w:val="008B61AB"/>
    <w:rsid w:val="008B6359"/>
    <w:rsid w:val="008B64BF"/>
    <w:rsid w:val="008B65D8"/>
    <w:rsid w:val="008B6F4B"/>
    <w:rsid w:val="008B7302"/>
    <w:rsid w:val="008B7329"/>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DDD"/>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2B23"/>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1D99"/>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2F9"/>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11"/>
    <w:rsid w:val="00965E31"/>
    <w:rsid w:val="00966A50"/>
    <w:rsid w:val="00966CA6"/>
    <w:rsid w:val="00966ED7"/>
    <w:rsid w:val="00967ADB"/>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6B89"/>
    <w:rsid w:val="00977318"/>
    <w:rsid w:val="0097757C"/>
    <w:rsid w:val="0098053B"/>
    <w:rsid w:val="009807C6"/>
    <w:rsid w:val="00980ACA"/>
    <w:rsid w:val="00980F14"/>
    <w:rsid w:val="0098125C"/>
    <w:rsid w:val="0098146B"/>
    <w:rsid w:val="00981877"/>
    <w:rsid w:val="009828BD"/>
    <w:rsid w:val="009829FD"/>
    <w:rsid w:val="00982A6F"/>
    <w:rsid w:val="00982F90"/>
    <w:rsid w:val="00983984"/>
    <w:rsid w:val="00983BA8"/>
    <w:rsid w:val="00983C3B"/>
    <w:rsid w:val="00984DFF"/>
    <w:rsid w:val="00985311"/>
    <w:rsid w:val="0098555E"/>
    <w:rsid w:val="009856E1"/>
    <w:rsid w:val="009857FB"/>
    <w:rsid w:val="00986423"/>
    <w:rsid w:val="009866B2"/>
    <w:rsid w:val="00986D0E"/>
    <w:rsid w:val="00986E15"/>
    <w:rsid w:val="009871C5"/>
    <w:rsid w:val="0098742C"/>
    <w:rsid w:val="0098765F"/>
    <w:rsid w:val="00987688"/>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AE4"/>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7A4"/>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6AE7"/>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686"/>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77A"/>
    <w:rsid w:val="00A33AF9"/>
    <w:rsid w:val="00A33B2D"/>
    <w:rsid w:val="00A33BC4"/>
    <w:rsid w:val="00A33F26"/>
    <w:rsid w:val="00A3438C"/>
    <w:rsid w:val="00A34864"/>
    <w:rsid w:val="00A348E4"/>
    <w:rsid w:val="00A350DB"/>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12"/>
    <w:rsid w:val="00A41AE6"/>
    <w:rsid w:val="00A41C3C"/>
    <w:rsid w:val="00A42B8E"/>
    <w:rsid w:val="00A42DF0"/>
    <w:rsid w:val="00A43557"/>
    <w:rsid w:val="00A4361D"/>
    <w:rsid w:val="00A436C4"/>
    <w:rsid w:val="00A4399E"/>
    <w:rsid w:val="00A43AC9"/>
    <w:rsid w:val="00A44135"/>
    <w:rsid w:val="00A4418D"/>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5099"/>
    <w:rsid w:val="00A551BD"/>
    <w:rsid w:val="00A553C8"/>
    <w:rsid w:val="00A5581C"/>
    <w:rsid w:val="00A55F09"/>
    <w:rsid w:val="00A55FB1"/>
    <w:rsid w:val="00A562C4"/>
    <w:rsid w:val="00A564A6"/>
    <w:rsid w:val="00A56B1E"/>
    <w:rsid w:val="00A56E27"/>
    <w:rsid w:val="00A56E85"/>
    <w:rsid w:val="00A57420"/>
    <w:rsid w:val="00A5762A"/>
    <w:rsid w:val="00A577F3"/>
    <w:rsid w:val="00A57929"/>
    <w:rsid w:val="00A57B08"/>
    <w:rsid w:val="00A60368"/>
    <w:rsid w:val="00A6046E"/>
    <w:rsid w:val="00A60ADB"/>
    <w:rsid w:val="00A60CB7"/>
    <w:rsid w:val="00A613D9"/>
    <w:rsid w:val="00A61413"/>
    <w:rsid w:val="00A61530"/>
    <w:rsid w:val="00A61580"/>
    <w:rsid w:val="00A61B2C"/>
    <w:rsid w:val="00A61B81"/>
    <w:rsid w:val="00A61DDD"/>
    <w:rsid w:val="00A62811"/>
    <w:rsid w:val="00A631C8"/>
    <w:rsid w:val="00A63B3C"/>
    <w:rsid w:val="00A63E8C"/>
    <w:rsid w:val="00A63EEE"/>
    <w:rsid w:val="00A64417"/>
    <w:rsid w:val="00A64C9F"/>
    <w:rsid w:val="00A653F3"/>
    <w:rsid w:val="00A665C7"/>
    <w:rsid w:val="00A66C93"/>
    <w:rsid w:val="00A66F00"/>
    <w:rsid w:val="00A6723A"/>
    <w:rsid w:val="00A67702"/>
    <w:rsid w:val="00A67855"/>
    <w:rsid w:val="00A67E3F"/>
    <w:rsid w:val="00A70E35"/>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C61"/>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AE4"/>
    <w:rsid w:val="00A91DA2"/>
    <w:rsid w:val="00A92200"/>
    <w:rsid w:val="00A92C73"/>
    <w:rsid w:val="00A93932"/>
    <w:rsid w:val="00A93E28"/>
    <w:rsid w:val="00A93F4B"/>
    <w:rsid w:val="00A93FC2"/>
    <w:rsid w:val="00A942BA"/>
    <w:rsid w:val="00A949D2"/>
    <w:rsid w:val="00A9559C"/>
    <w:rsid w:val="00A955CE"/>
    <w:rsid w:val="00A95B1D"/>
    <w:rsid w:val="00A95DD5"/>
    <w:rsid w:val="00A95E64"/>
    <w:rsid w:val="00A961F8"/>
    <w:rsid w:val="00A964D5"/>
    <w:rsid w:val="00A9691F"/>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54A"/>
    <w:rsid w:val="00AB275F"/>
    <w:rsid w:val="00AB27EA"/>
    <w:rsid w:val="00AB2EB2"/>
    <w:rsid w:val="00AB325D"/>
    <w:rsid w:val="00AB3846"/>
    <w:rsid w:val="00AB3877"/>
    <w:rsid w:val="00AB3BD5"/>
    <w:rsid w:val="00AB3C26"/>
    <w:rsid w:val="00AB4154"/>
    <w:rsid w:val="00AB4171"/>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29DE"/>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51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3E7"/>
    <w:rsid w:val="00B00433"/>
    <w:rsid w:val="00B00AFA"/>
    <w:rsid w:val="00B017D8"/>
    <w:rsid w:val="00B01A56"/>
    <w:rsid w:val="00B01E99"/>
    <w:rsid w:val="00B025A5"/>
    <w:rsid w:val="00B0383E"/>
    <w:rsid w:val="00B03852"/>
    <w:rsid w:val="00B03B76"/>
    <w:rsid w:val="00B03C53"/>
    <w:rsid w:val="00B03D71"/>
    <w:rsid w:val="00B04FF3"/>
    <w:rsid w:val="00B05AD9"/>
    <w:rsid w:val="00B05DED"/>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99"/>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58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1A54"/>
    <w:rsid w:val="00B52051"/>
    <w:rsid w:val="00B5221E"/>
    <w:rsid w:val="00B5248C"/>
    <w:rsid w:val="00B526A3"/>
    <w:rsid w:val="00B529D8"/>
    <w:rsid w:val="00B52D73"/>
    <w:rsid w:val="00B53063"/>
    <w:rsid w:val="00B533C7"/>
    <w:rsid w:val="00B5361C"/>
    <w:rsid w:val="00B53682"/>
    <w:rsid w:val="00B538B9"/>
    <w:rsid w:val="00B53EE2"/>
    <w:rsid w:val="00B541C9"/>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A99"/>
    <w:rsid w:val="00B71B3E"/>
    <w:rsid w:val="00B71BB3"/>
    <w:rsid w:val="00B7210F"/>
    <w:rsid w:val="00B72791"/>
    <w:rsid w:val="00B73397"/>
    <w:rsid w:val="00B7377D"/>
    <w:rsid w:val="00B739CC"/>
    <w:rsid w:val="00B73DF0"/>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4C8"/>
    <w:rsid w:val="00B82664"/>
    <w:rsid w:val="00B82A0A"/>
    <w:rsid w:val="00B82EA0"/>
    <w:rsid w:val="00B83024"/>
    <w:rsid w:val="00B836F9"/>
    <w:rsid w:val="00B83743"/>
    <w:rsid w:val="00B8374F"/>
    <w:rsid w:val="00B83BCF"/>
    <w:rsid w:val="00B83E0A"/>
    <w:rsid w:val="00B84996"/>
    <w:rsid w:val="00B8504C"/>
    <w:rsid w:val="00B85235"/>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6AB"/>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970"/>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399"/>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A4E"/>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43"/>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749"/>
    <w:rsid w:val="00C25915"/>
    <w:rsid w:val="00C25B9A"/>
    <w:rsid w:val="00C25C9E"/>
    <w:rsid w:val="00C25FC0"/>
    <w:rsid w:val="00C26C8E"/>
    <w:rsid w:val="00C270CC"/>
    <w:rsid w:val="00C2728B"/>
    <w:rsid w:val="00C272C4"/>
    <w:rsid w:val="00C27473"/>
    <w:rsid w:val="00C30987"/>
    <w:rsid w:val="00C30AFA"/>
    <w:rsid w:val="00C30B58"/>
    <w:rsid w:val="00C30D8E"/>
    <w:rsid w:val="00C30DEB"/>
    <w:rsid w:val="00C30E89"/>
    <w:rsid w:val="00C31358"/>
    <w:rsid w:val="00C31439"/>
    <w:rsid w:val="00C31C12"/>
    <w:rsid w:val="00C31E6E"/>
    <w:rsid w:val="00C324FF"/>
    <w:rsid w:val="00C32704"/>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1A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47713"/>
    <w:rsid w:val="00C509E0"/>
    <w:rsid w:val="00C51011"/>
    <w:rsid w:val="00C51174"/>
    <w:rsid w:val="00C515D3"/>
    <w:rsid w:val="00C51B84"/>
    <w:rsid w:val="00C52067"/>
    <w:rsid w:val="00C52634"/>
    <w:rsid w:val="00C52B31"/>
    <w:rsid w:val="00C52C8C"/>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8F"/>
    <w:rsid w:val="00C765D7"/>
    <w:rsid w:val="00C766E2"/>
    <w:rsid w:val="00C77116"/>
    <w:rsid w:val="00C77B9A"/>
    <w:rsid w:val="00C80C33"/>
    <w:rsid w:val="00C80F2F"/>
    <w:rsid w:val="00C83B22"/>
    <w:rsid w:val="00C845B7"/>
    <w:rsid w:val="00C858A1"/>
    <w:rsid w:val="00C8600E"/>
    <w:rsid w:val="00C86505"/>
    <w:rsid w:val="00C86F92"/>
    <w:rsid w:val="00C8742E"/>
    <w:rsid w:val="00C87484"/>
    <w:rsid w:val="00C874D1"/>
    <w:rsid w:val="00C876B5"/>
    <w:rsid w:val="00C8788F"/>
    <w:rsid w:val="00C902AA"/>
    <w:rsid w:val="00C904DF"/>
    <w:rsid w:val="00C9058E"/>
    <w:rsid w:val="00C909AB"/>
    <w:rsid w:val="00C91540"/>
    <w:rsid w:val="00C9158B"/>
    <w:rsid w:val="00C91703"/>
    <w:rsid w:val="00C91B1E"/>
    <w:rsid w:val="00C91C4E"/>
    <w:rsid w:val="00C91CF5"/>
    <w:rsid w:val="00C920F6"/>
    <w:rsid w:val="00C923FF"/>
    <w:rsid w:val="00C92C19"/>
    <w:rsid w:val="00C92D74"/>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0623"/>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7FF"/>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D70"/>
    <w:rsid w:val="00CC6E76"/>
    <w:rsid w:val="00CC731B"/>
    <w:rsid w:val="00CC7676"/>
    <w:rsid w:val="00CC7832"/>
    <w:rsid w:val="00CC7B75"/>
    <w:rsid w:val="00CC7BC7"/>
    <w:rsid w:val="00CC7E21"/>
    <w:rsid w:val="00CC7FEC"/>
    <w:rsid w:val="00CD02E6"/>
    <w:rsid w:val="00CD102F"/>
    <w:rsid w:val="00CD1112"/>
    <w:rsid w:val="00CD139D"/>
    <w:rsid w:val="00CD1A7D"/>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A0F"/>
    <w:rsid w:val="00CF1F26"/>
    <w:rsid w:val="00CF1F40"/>
    <w:rsid w:val="00CF26A1"/>
    <w:rsid w:val="00CF2886"/>
    <w:rsid w:val="00CF2ABF"/>
    <w:rsid w:val="00CF2B7B"/>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A4F"/>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71F"/>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58C"/>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216"/>
    <w:rsid w:val="00D747A7"/>
    <w:rsid w:val="00D7587C"/>
    <w:rsid w:val="00D7591E"/>
    <w:rsid w:val="00D75FF5"/>
    <w:rsid w:val="00D765B1"/>
    <w:rsid w:val="00D76EF0"/>
    <w:rsid w:val="00D779E9"/>
    <w:rsid w:val="00D77C08"/>
    <w:rsid w:val="00D77C22"/>
    <w:rsid w:val="00D77C87"/>
    <w:rsid w:val="00D77DA6"/>
    <w:rsid w:val="00D80116"/>
    <w:rsid w:val="00D80648"/>
    <w:rsid w:val="00D80832"/>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1FD"/>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378"/>
    <w:rsid w:val="00DA2779"/>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6B2"/>
    <w:rsid w:val="00DC37BD"/>
    <w:rsid w:val="00DC3889"/>
    <w:rsid w:val="00DC3AEA"/>
    <w:rsid w:val="00DC3C99"/>
    <w:rsid w:val="00DC4118"/>
    <w:rsid w:val="00DC42AF"/>
    <w:rsid w:val="00DC4361"/>
    <w:rsid w:val="00DC455B"/>
    <w:rsid w:val="00DC4B81"/>
    <w:rsid w:val="00DC4B93"/>
    <w:rsid w:val="00DC5F11"/>
    <w:rsid w:val="00DC5FAE"/>
    <w:rsid w:val="00DC62BC"/>
    <w:rsid w:val="00DC6901"/>
    <w:rsid w:val="00DC6BD0"/>
    <w:rsid w:val="00DC6C10"/>
    <w:rsid w:val="00DC6DF5"/>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46A"/>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EB5"/>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30A"/>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E11"/>
    <w:rsid w:val="00E26754"/>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0FC"/>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57E6B"/>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2B8F"/>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5A6"/>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2D8"/>
    <w:rsid w:val="00EA2415"/>
    <w:rsid w:val="00EA28ED"/>
    <w:rsid w:val="00EA29DF"/>
    <w:rsid w:val="00EA3073"/>
    <w:rsid w:val="00EA3163"/>
    <w:rsid w:val="00EA3433"/>
    <w:rsid w:val="00EA3498"/>
    <w:rsid w:val="00EA397A"/>
    <w:rsid w:val="00EA3F5A"/>
    <w:rsid w:val="00EA4C44"/>
    <w:rsid w:val="00EA4D19"/>
    <w:rsid w:val="00EA4F8A"/>
    <w:rsid w:val="00EA5708"/>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769"/>
    <w:rsid w:val="00EB6BC8"/>
    <w:rsid w:val="00EB74D6"/>
    <w:rsid w:val="00EB7608"/>
    <w:rsid w:val="00EB760C"/>
    <w:rsid w:val="00EC07D1"/>
    <w:rsid w:val="00EC08F4"/>
    <w:rsid w:val="00EC0A69"/>
    <w:rsid w:val="00EC0D4A"/>
    <w:rsid w:val="00EC0F26"/>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35F"/>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48B"/>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4C4"/>
    <w:rsid w:val="00F128E3"/>
    <w:rsid w:val="00F12FE6"/>
    <w:rsid w:val="00F1306F"/>
    <w:rsid w:val="00F13416"/>
    <w:rsid w:val="00F13590"/>
    <w:rsid w:val="00F13B6C"/>
    <w:rsid w:val="00F13DA9"/>
    <w:rsid w:val="00F13EF6"/>
    <w:rsid w:val="00F13F1F"/>
    <w:rsid w:val="00F14142"/>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2FFF"/>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567"/>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0B4"/>
    <w:rsid w:val="00F3465B"/>
    <w:rsid w:val="00F34A54"/>
    <w:rsid w:val="00F34B09"/>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78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D55"/>
    <w:rsid w:val="00F53F43"/>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681"/>
    <w:rsid w:val="00F658E4"/>
    <w:rsid w:val="00F65936"/>
    <w:rsid w:val="00F65C86"/>
    <w:rsid w:val="00F66384"/>
    <w:rsid w:val="00F663C4"/>
    <w:rsid w:val="00F6666A"/>
    <w:rsid w:val="00F667EF"/>
    <w:rsid w:val="00F67155"/>
    <w:rsid w:val="00F672D7"/>
    <w:rsid w:val="00F674E3"/>
    <w:rsid w:val="00F67C84"/>
    <w:rsid w:val="00F700B6"/>
    <w:rsid w:val="00F7012D"/>
    <w:rsid w:val="00F70175"/>
    <w:rsid w:val="00F7061C"/>
    <w:rsid w:val="00F70890"/>
    <w:rsid w:val="00F7215C"/>
    <w:rsid w:val="00F72873"/>
    <w:rsid w:val="00F72A89"/>
    <w:rsid w:val="00F72CD7"/>
    <w:rsid w:val="00F72DB1"/>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DDA"/>
    <w:rsid w:val="00F85101"/>
    <w:rsid w:val="00F851C4"/>
    <w:rsid w:val="00F85475"/>
    <w:rsid w:val="00F858E0"/>
    <w:rsid w:val="00F859D4"/>
    <w:rsid w:val="00F864E7"/>
    <w:rsid w:val="00F8670F"/>
    <w:rsid w:val="00F86963"/>
    <w:rsid w:val="00F87086"/>
    <w:rsid w:val="00F87130"/>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87C"/>
    <w:rsid w:val="00FA1ACB"/>
    <w:rsid w:val="00FA1BB5"/>
    <w:rsid w:val="00FA1FDF"/>
    <w:rsid w:val="00FA21F4"/>
    <w:rsid w:val="00FA2F3A"/>
    <w:rsid w:val="00FA304B"/>
    <w:rsid w:val="00FA3214"/>
    <w:rsid w:val="00FA397C"/>
    <w:rsid w:val="00FA3D5B"/>
    <w:rsid w:val="00FA4C7D"/>
    <w:rsid w:val="00FA4E97"/>
    <w:rsid w:val="00FA4ED6"/>
    <w:rsid w:val="00FA4FD7"/>
    <w:rsid w:val="00FA567F"/>
    <w:rsid w:val="00FA5750"/>
    <w:rsid w:val="00FA5874"/>
    <w:rsid w:val="00FA6476"/>
    <w:rsid w:val="00FA6A95"/>
    <w:rsid w:val="00FA6E13"/>
    <w:rsid w:val="00FA70CC"/>
    <w:rsid w:val="00FA7316"/>
    <w:rsid w:val="00FA77D4"/>
    <w:rsid w:val="00FA798A"/>
    <w:rsid w:val="00FA7E20"/>
    <w:rsid w:val="00FB0377"/>
    <w:rsid w:val="00FB0FF2"/>
    <w:rsid w:val="00FB18B5"/>
    <w:rsid w:val="00FB197F"/>
    <w:rsid w:val="00FB23DD"/>
    <w:rsid w:val="00FB2830"/>
    <w:rsid w:val="00FB312F"/>
    <w:rsid w:val="00FB35C3"/>
    <w:rsid w:val="00FB409D"/>
    <w:rsid w:val="00FB4272"/>
    <w:rsid w:val="00FB42B7"/>
    <w:rsid w:val="00FB546C"/>
    <w:rsid w:val="00FB580C"/>
    <w:rsid w:val="00FB584F"/>
    <w:rsid w:val="00FB5D61"/>
    <w:rsid w:val="00FB6343"/>
    <w:rsid w:val="00FB6A75"/>
    <w:rsid w:val="00FB6BF7"/>
    <w:rsid w:val="00FB746B"/>
    <w:rsid w:val="00FB74A0"/>
    <w:rsid w:val="00FB7D96"/>
    <w:rsid w:val="00FC0142"/>
    <w:rsid w:val="00FC03A1"/>
    <w:rsid w:val="00FC0623"/>
    <w:rsid w:val="00FC0932"/>
    <w:rsid w:val="00FC1D06"/>
    <w:rsid w:val="00FC1F16"/>
    <w:rsid w:val="00FC1FB3"/>
    <w:rsid w:val="00FC2156"/>
    <w:rsid w:val="00FC218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259"/>
    <w:rsid w:val="00FD245D"/>
    <w:rsid w:val="00FD296C"/>
    <w:rsid w:val="00FD315A"/>
    <w:rsid w:val="00FD31A5"/>
    <w:rsid w:val="00FD3406"/>
    <w:rsid w:val="00FD3499"/>
    <w:rsid w:val="00FD370A"/>
    <w:rsid w:val="00FD376D"/>
    <w:rsid w:val="00FD3BEE"/>
    <w:rsid w:val="00FD3D3D"/>
    <w:rsid w:val="00FD4795"/>
    <w:rsid w:val="00FD49B4"/>
    <w:rsid w:val="00FD4B84"/>
    <w:rsid w:val="00FD55E2"/>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785"/>
    <w:rsid w:val="00FF58A7"/>
    <w:rsid w:val="00FF6A50"/>
    <w:rsid w:val="00FF6D0F"/>
    <w:rsid w:val="00FF74EF"/>
    <w:rsid w:val="00FF75FD"/>
    <w:rsid w:val="00FF77F8"/>
    <w:rsid w:val="00FF786F"/>
    <w:rsid w:val="159005E9"/>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shapedefaults>
    <o:shapelayout v:ext="edit">
      <o:idmap v:ext="edit" data="1"/>
    </o:shapelayout>
  </w:shapeDefaults>
  <w:decimalSymbol w:val="."/>
  <w:listSeparator w:val=","/>
  <w14:docId w14:val="2841E6CE"/>
  <w15:docId w15:val="{706DBF0F-DA59-4472-9601-4E60C34C8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95AB8"/>
  </w:style>
  <w:style w:type="paragraph" w:styleId="Heading1">
    <w:name w:val="heading 1"/>
    <w:basedOn w:val="Normal"/>
    <w:next w:val="BodyText"/>
    <w:link w:val="Heading1Char"/>
    <w:qFormat/>
    <w:rsid w:val="00321955"/>
    <w:pPr>
      <w:keepNext/>
      <w:keepLines/>
      <w:numPr>
        <w:numId w:val="7"/>
      </w:numPr>
      <w:spacing w:before="300" w:after="360" w:line="440" w:lineRule="exact"/>
      <w:outlineLvl w:val="0"/>
    </w:pPr>
    <w:rPr>
      <w:b/>
      <w:bCs/>
      <w:color w:val="0072CE" w:themeColor="text2"/>
      <w:kern w:val="32"/>
      <w:sz w:val="40"/>
      <w:szCs w:val="32"/>
    </w:rPr>
  </w:style>
  <w:style w:type="paragraph" w:styleId="Heading2">
    <w:name w:val="heading 2"/>
    <w:basedOn w:val="Normal"/>
    <w:next w:val="BodyText"/>
    <w:link w:val="Heading2Char"/>
    <w:qFormat/>
    <w:rsid w:val="00DA2779"/>
    <w:pPr>
      <w:keepNext/>
      <w:keepLines/>
      <w:numPr>
        <w:ilvl w:val="1"/>
        <w:numId w:val="7"/>
      </w:numPr>
      <w:tabs>
        <w:tab w:val="left" w:pos="1418"/>
        <w:tab w:val="left" w:pos="1701"/>
        <w:tab w:val="left" w:pos="1985"/>
      </w:tabs>
      <w:spacing w:before="240" w:after="100" w:line="280" w:lineRule="exact"/>
      <w:outlineLvl w:val="1"/>
    </w:pPr>
    <w:rPr>
      <w:b/>
      <w:bCs/>
      <w:iCs/>
      <w:color w:val="0072CE" w:themeColor="text2"/>
      <w:kern w:val="20"/>
      <w:sz w:val="24"/>
      <w:szCs w:val="28"/>
    </w:rPr>
  </w:style>
  <w:style w:type="paragraph" w:styleId="Heading3">
    <w:name w:val="heading 3"/>
    <w:basedOn w:val="Normal"/>
    <w:next w:val="BodyText"/>
    <w:link w:val="Heading3Char"/>
    <w:qFormat/>
    <w:rsid w:val="00DA2779"/>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DA2779"/>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DA2779"/>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72CE"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72CE" w:themeColor="text2"/>
      <w:sz w:val="40"/>
    </w:rPr>
  </w:style>
  <w:style w:type="paragraph" w:styleId="Heading9">
    <w:name w:val="heading 9"/>
    <w:aliases w:val="Appendix Heading 1"/>
    <w:basedOn w:val="Normal"/>
    <w:next w:val="BodyText"/>
    <w:link w:val="Heading9Char"/>
    <w:uiPriority w:val="1"/>
    <w:rsid w:val="000758E3"/>
    <w:pPr>
      <w:keepNext/>
      <w:keepLines/>
      <w:tabs>
        <w:tab w:val="left" w:pos="1559"/>
        <w:tab w:val="left" w:pos="1843"/>
        <w:tab w:val="left" w:pos="2126"/>
        <w:tab w:val="left" w:pos="2410"/>
      </w:tabs>
      <w:spacing w:before="100" w:after="100" w:line="280" w:lineRule="exact"/>
      <w:outlineLvl w:val="8"/>
    </w:pPr>
    <w:rPr>
      <w:b/>
      <w:color w:val="0072CE"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561E6"/>
    <w:pPr>
      <w:spacing w:line="240" w:lineRule="auto"/>
    </w:pPr>
  </w:style>
  <w:style w:type="paragraph" w:styleId="Footer">
    <w:name w:val="footer"/>
    <w:basedOn w:val="Normal"/>
    <w:link w:val="FooterChar"/>
    <w:rsid w:val="00F83203"/>
    <w:pPr>
      <w:spacing w:line="200" w:lineRule="atLeast"/>
    </w:pPr>
    <w:rPr>
      <w:sz w:val="16"/>
    </w:rPr>
  </w:style>
  <w:style w:type="paragraph" w:customStyle="1" w:styleId="xDisclaimertext3">
    <w:name w:val="xDisclaimer text 3"/>
    <w:basedOn w:val="xDisclaimerText"/>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0072CE" w:themeColor="text2"/>
        <w:bottom w:val="single" w:sz="8" w:space="0" w:color="0072CE" w:themeColor="text2"/>
        <w:insideH w:val="single" w:sz="8" w:space="0" w:color="0072CE"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0072CE" w:themeFill="text2"/>
      </w:tcPr>
    </w:tblStylePr>
    <w:tblStylePr w:type="lastRow">
      <w:rPr>
        <w:b w:val="0"/>
      </w:rPr>
    </w:tblStylePr>
    <w:tblStylePr w:type="lastCol">
      <w:pPr>
        <w:jc w:val="left"/>
      </w:pPr>
    </w:tblStylePr>
    <w:tblStylePr w:type="band1Vert">
      <w:tblPr/>
      <w:tcPr>
        <w:shd w:val="clear" w:color="auto" w:fill="E5F1FA" w:themeFill="background2"/>
      </w:tcPr>
    </w:tblStylePr>
    <w:tblStylePr w:type="nwCell">
      <w:pPr>
        <w:jc w:val="left"/>
      </w:pPr>
      <w:tblPr/>
      <w:tcPr>
        <w:vAlign w:val="center"/>
      </w:tcPr>
    </w:tblStylePr>
  </w:style>
  <w:style w:type="paragraph" w:customStyle="1" w:styleId="FooterEven">
    <w:name w:val="Footer Even"/>
    <w:next w:val="Footer"/>
    <w:rsid w:val="00F83203"/>
    <w:pPr>
      <w:spacing w:line="200" w:lineRule="atLeast"/>
    </w:pPr>
    <w:rPr>
      <w:sz w:val="16"/>
    </w:rPr>
  </w:style>
  <w:style w:type="character" w:customStyle="1" w:styleId="FooterChar">
    <w:name w:val="Footer Char"/>
    <w:basedOn w:val="DefaultParagraphFont"/>
    <w:link w:val="Footer"/>
    <w:rsid w:val="00F83203"/>
    <w:rPr>
      <w:sz w:val="16"/>
    </w:rPr>
  </w:style>
  <w:style w:type="paragraph" w:customStyle="1" w:styleId="FooterOddPageNumber">
    <w:name w:val="Footer Odd Page Number"/>
    <w:basedOn w:val="FooterOdd"/>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042DA8"/>
    <w:pPr>
      <w:numPr>
        <w:numId w:val="4"/>
      </w:numPr>
      <w:spacing w:before="120" w:after="120"/>
    </w:pPr>
  </w:style>
  <w:style w:type="paragraph" w:styleId="ListNumber2">
    <w:name w:val="List Number 2"/>
    <w:basedOn w:val="Normal"/>
    <w:qFormat/>
    <w:rsid w:val="0008292E"/>
    <w:pPr>
      <w:numPr>
        <w:numId w:val="16"/>
      </w:numPr>
      <w:spacing w:before="120" w:after="120"/>
    </w:pPr>
  </w:style>
  <w:style w:type="paragraph" w:styleId="ListNumber3">
    <w:name w:val="List Number 3"/>
    <w:basedOn w:val="Normal"/>
    <w:qFormat/>
    <w:rsid w:val="005174F9"/>
    <w:pPr>
      <w:numPr>
        <w:numId w:val="18"/>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uiPriority w:val="99"/>
    <w:rsid w:val="004561E6"/>
    <w:rPr>
      <w:color w:val="auto"/>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86233C"/>
    <w:pPr>
      <w:spacing w:before="60" w:after="120"/>
    </w:pPr>
    <w:rPr>
      <w:rFonts w:cs="Times New Roman"/>
      <w:lang w:eastAsia="en-US"/>
    </w:rPr>
  </w:style>
  <w:style w:type="character" w:customStyle="1" w:styleId="BodyTextChar">
    <w:name w:val="Body Text Char"/>
    <w:basedOn w:val="DefaultParagraphFont"/>
    <w:link w:val="BodyText"/>
    <w:rsid w:val="0086233C"/>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1"/>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4D4063"/>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1748A0"/>
    <w:pPr>
      <w:numPr>
        <w:ilvl w:val="1"/>
      </w:numPr>
      <w:spacing w:line="360" w:lineRule="exact"/>
      <w:jc w:val="right"/>
    </w:pPr>
    <w:rPr>
      <w:rFonts w:asciiTheme="majorHAnsi" w:eastAsiaTheme="majorEastAsia" w:hAnsiTheme="majorHAnsi" w:cstheme="majorBidi"/>
      <w:iCs/>
      <w:color w:val="FFFFFF"/>
      <w:sz w:val="32"/>
      <w:szCs w:val="24"/>
    </w:rPr>
  </w:style>
  <w:style w:type="character" w:customStyle="1" w:styleId="SubtitleChar">
    <w:name w:val="Subtitle Char"/>
    <w:basedOn w:val="DefaultParagraphFont"/>
    <w:link w:val="Subtitle"/>
    <w:uiPriority w:val="99"/>
    <w:rsid w:val="001748A0"/>
    <w:rPr>
      <w:rFonts w:asciiTheme="majorHAnsi" w:eastAsiaTheme="majorEastAsia" w:hAnsiTheme="majorHAnsi" w:cstheme="majorBidi"/>
      <w:iCs/>
      <w:color w:val="FFFFFF"/>
      <w:sz w:val="32"/>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DA2779"/>
    <w:rPr>
      <w:rFonts w:asciiTheme="majorHAnsi" w:eastAsiaTheme="majorEastAsia" w:hAnsiTheme="majorHAnsi" w:cstheme="majorBidi"/>
      <w:b/>
      <w:bCs/>
      <w:i/>
      <w:iCs/>
      <w:color w:val="494847"/>
    </w:rPr>
  </w:style>
  <w:style w:type="paragraph" w:customStyle="1" w:styleId="xDisclaimerHeading">
    <w:name w:val="xDisclaimer Heading"/>
    <w:basedOn w:val="Normal"/>
    <w:rsid w:val="0086233C"/>
    <w:pPr>
      <w:spacing w:before="170" w:after="20" w:line="170" w:lineRule="atLeast"/>
    </w:pPr>
    <w:rPr>
      <w:b/>
      <w:sz w:val="16"/>
    </w:rPr>
  </w:style>
  <w:style w:type="paragraph" w:styleId="Title">
    <w:name w:val="Title"/>
    <w:basedOn w:val="Normal"/>
    <w:next w:val="Normal"/>
    <w:link w:val="TitleChar"/>
    <w:uiPriority w:val="99"/>
    <w:rsid w:val="002C2E8E"/>
    <w:pPr>
      <w:spacing w:after="360" w:line="600" w:lineRule="exact"/>
      <w:jc w:val="right"/>
    </w:pPr>
    <w:rPr>
      <w:rFonts w:asciiTheme="majorHAnsi" w:eastAsiaTheme="majorEastAsia" w:hAnsiTheme="majorHAnsi" w:cstheme="majorBidi"/>
      <w:b/>
      <w:color w:val="FFFFFF"/>
      <w:spacing w:val="-2"/>
      <w:sz w:val="54"/>
      <w:szCs w:val="52"/>
    </w:rPr>
  </w:style>
  <w:style w:type="character" w:customStyle="1" w:styleId="TitleChar">
    <w:name w:val="Title Char"/>
    <w:basedOn w:val="DefaultParagraphFont"/>
    <w:link w:val="Title"/>
    <w:uiPriority w:val="99"/>
    <w:rsid w:val="000758E3"/>
    <w:rPr>
      <w:rFonts w:asciiTheme="majorHAnsi" w:eastAsiaTheme="majorEastAsia" w:hAnsiTheme="majorHAnsi" w:cstheme="majorBidi"/>
      <w:b/>
      <w:color w:val="FFFFFF"/>
      <w:spacing w:val="-2"/>
      <w:sz w:val="54"/>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rsid w:val="00887CC1"/>
    <w:pPr>
      <w:tabs>
        <w:tab w:val="right" w:leader="dot" w:pos="9582"/>
      </w:tabs>
      <w:spacing w:before="120" w:after="60"/>
      <w:ind w:right="851"/>
    </w:pPr>
    <w:rPr>
      <w:b/>
      <w:noProof/>
      <w:color w:val="0072CE" w:themeColor="text2"/>
      <w:szCs w:val="24"/>
    </w:rPr>
  </w:style>
  <w:style w:type="paragraph" w:styleId="TOCHeading">
    <w:name w:val="TOC Heading"/>
    <w:basedOn w:val="Normal"/>
    <w:uiPriority w:val="99"/>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0072CE" w:themeColor="text2"/>
      <w:sz w:val="40"/>
      <w:szCs w:val="40"/>
    </w:rPr>
  </w:style>
  <w:style w:type="paragraph" w:styleId="TOC2">
    <w:name w:val="toc 2"/>
    <w:basedOn w:val="Normal"/>
    <w:next w:val="Normal"/>
    <w:uiPriority w:val="39"/>
    <w:rsid w:val="00887CC1"/>
    <w:pPr>
      <w:tabs>
        <w:tab w:val="right" w:leader="dot" w:pos="9582"/>
      </w:tabs>
      <w:spacing w:before="120" w:after="60"/>
      <w:ind w:right="851"/>
    </w:pPr>
    <w:rPr>
      <w:b/>
      <w:noProof/>
      <w:szCs w:val="28"/>
    </w:rPr>
  </w:style>
  <w:style w:type="paragraph" w:styleId="TOC3">
    <w:name w:val="toc 3"/>
    <w:basedOn w:val="Normal"/>
    <w:next w:val="Normal"/>
    <w:uiPriority w:val="39"/>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rsid w:val="00096B2D"/>
    <w:pPr>
      <w:keepNext/>
      <w:tabs>
        <w:tab w:val="left" w:pos="2268"/>
      </w:tabs>
      <w:spacing w:before="240" w:after="60"/>
    </w:pPr>
    <w:rPr>
      <w:b/>
      <w:color w:val="0072CE"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rsid w:val="000758E3"/>
    <w:rPr>
      <w:b/>
      <w:color w:val="0072CE" w:themeColor="text2"/>
      <w:sz w:val="24"/>
    </w:rPr>
  </w:style>
  <w:style w:type="paragraph" w:customStyle="1" w:styleId="AppendixHeading3">
    <w:name w:val="Appendix Heading 3"/>
    <w:basedOn w:val="Normal"/>
    <w:next w:val="BodyText"/>
    <w:uiPriority w:val="2"/>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rsid w:val="00807FD2"/>
    <w:pPr>
      <w:tabs>
        <w:tab w:val="right" w:pos="9582"/>
      </w:tabs>
      <w:spacing w:before="240" w:after="60"/>
      <w:ind w:right="851"/>
    </w:pPr>
    <w:rPr>
      <w:b/>
      <w:color w:val="0072CE"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rsid w:val="00173F6E"/>
    <w:pPr>
      <w:tabs>
        <w:tab w:val="right" w:leader="dot" w:pos="9582"/>
      </w:tabs>
      <w:spacing w:before="120" w:after="60"/>
      <w:ind w:right="851"/>
    </w:pPr>
    <w:rPr>
      <w:b/>
      <w:color w:val="0072CE"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rsid w:val="000758E3"/>
    <w:rPr>
      <w:rFonts w:asciiTheme="majorHAnsi" w:eastAsiaTheme="majorEastAsia" w:hAnsiTheme="majorHAnsi" w:cstheme="majorBidi"/>
      <w:b/>
      <w:color w:val="0072CE"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72CE" w:themeColor="text2"/>
    </w:rPr>
  </w:style>
  <w:style w:type="character" w:customStyle="1" w:styleId="Heading5Char">
    <w:name w:val="Heading 5 Char"/>
    <w:basedOn w:val="DefaultParagraphFont"/>
    <w:link w:val="Heading5"/>
    <w:rsid w:val="00DA2779"/>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0072CE"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E5F1F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E5F1F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rsid w:val="009363B5"/>
    <w:pPr>
      <w:spacing w:before="0" w:after="0" w:line="175" w:lineRule="atLeast"/>
      <w:ind w:left="0" w:right="0"/>
      <w:contextualSpacing w:val="0"/>
    </w:pPr>
  </w:style>
  <w:style w:type="paragraph" w:customStyle="1" w:styleId="IntroFeatureText">
    <w:name w:val="Intro/Feature Text"/>
    <w:basedOn w:val="Normal"/>
    <w:next w:val="BodyText"/>
    <w:qFormat/>
    <w:rsid w:val="00F124C4"/>
    <w:pPr>
      <w:spacing w:before="60" w:after="180" w:line="360" w:lineRule="exact"/>
    </w:pPr>
    <w:rPr>
      <w:color w:val="0072CE" w:themeColor="text2"/>
      <w:spacing w:val="-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0072CE" w:themeColor="text2"/>
        <w:left w:val="single" w:sz="4" w:space="0" w:color="0072CE" w:themeColor="text2"/>
        <w:bottom w:val="single" w:sz="4" w:space="0" w:color="0072CE" w:themeColor="text2"/>
        <w:right w:val="single" w:sz="4" w:space="0" w:color="0072CE"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0072CE"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0072CE"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paragraph" w:customStyle="1" w:styleId="TitleBarText">
    <w:name w:val="Title Bar Text"/>
    <w:basedOn w:val="Normal"/>
    <w:uiPriority w:val="99"/>
    <w:qFormat/>
    <w:rsid w:val="001748A0"/>
    <w:pPr>
      <w:spacing w:line="360" w:lineRule="exact"/>
      <w:jc w:val="right"/>
    </w:pPr>
    <w:rPr>
      <w:rFonts w:ascii="Arial Narrow" w:hAnsi="Arial Narrow"/>
      <w:color w:val="FFFFFF"/>
      <w:spacing w:val="-2"/>
      <w:sz w:val="28"/>
      <w:szCs w:val="28"/>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0072CE" w:themeFill="text2"/>
    </w:tcPr>
  </w:style>
  <w:style w:type="paragraph" w:customStyle="1" w:styleId="BodyText100ThemeColour">
    <w:name w:val="Body Text 100% Theme Colour"/>
    <w:basedOn w:val="BodyText"/>
    <w:qFormat/>
    <w:rsid w:val="00096B2D"/>
    <w:rPr>
      <w:color w:val="0072CE"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D14E24"/>
    <w:pPr>
      <w:spacing w:before="40" w:after="40" w:line="220" w:lineRule="atLeast"/>
      <w:ind w:right="3119"/>
    </w:pPr>
    <w:rPr>
      <w:sz w:val="18"/>
    </w:rPr>
  </w:style>
  <w:style w:type="paragraph" w:customStyle="1" w:styleId="SmallBullet">
    <w:name w:val="Small Bullet"/>
    <w:basedOn w:val="SmallBodyText"/>
    <w:qFormat/>
    <w:rsid w:val="00D14E24"/>
    <w:pPr>
      <w:numPr>
        <w:numId w:val="13"/>
      </w:numPr>
    </w:pPr>
  </w:style>
  <w:style w:type="paragraph" w:customStyle="1" w:styleId="SmallHeading">
    <w:name w:val="Small Heading"/>
    <w:basedOn w:val="xDisclaimerHeading"/>
    <w:next w:val="SmallBodyText"/>
    <w:qFormat/>
    <w:rsid w:val="00D14E24"/>
    <w:pPr>
      <w:spacing w:after="40" w:line="220" w:lineRule="atLeast"/>
      <w:ind w:right="3119"/>
    </w:pPr>
    <w:rPr>
      <w:sz w:val="18"/>
    </w:rPr>
  </w:style>
  <w:style w:type="paragraph" w:customStyle="1" w:styleId="xWeb">
    <w:name w:val="xWeb"/>
    <w:basedOn w:val="Normal"/>
    <w:semiHidden/>
    <w:qFormat/>
    <w:rsid w:val="009363B5"/>
    <w:pPr>
      <w:spacing w:line="240" w:lineRule="auto"/>
    </w:pPr>
    <w:rPr>
      <w:color w:val="636366"/>
      <w:spacing w:val="-4"/>
      <w:sz w:val="36"/>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86451D"/>
    <w:pPr>
      <w:spacing w:line="300" w:lineRule="exact"/>
    </w:pPr>
    <w:rPr>
      <w:sz w:val="24"/>
    </w:rPr>
  </w:style>
  <w:style w:type="paragraph" w:customStyle="1" w:styleId="xAccessibilityHeading">
    <w:name w:val="xAccessibility Heading"/>
    <w:basedOn w:val="Normal"/>
    <w:semiHidden/>
    <w:qFormat/>
    <w:rsid w:val="0086451D"/>
    <w:pPr>
      <w:spacing w:before="170" w:after="20" w:line="300" w:lineRule="exact"/>
    </w:pPr>
    <w:rPr>
      <w:b/>
      <w:sz w:val="24"/>
    </w:rPr>
  </w:style>
  <w:style w:type="paragraph" w:customStyle="1" w:styleId="FooterEvenPageNumber">
    <w:name w:val="Footer Even Page Number"/>
    <w:basedOn w:val="FooterEven"/>
    <w:rsid w:val="001748A0"/>
    <w:pPr>
      <w:framePr w:wrap="around" w:vAnchor="page" w:hAnchor="margin" w:yAlign="bottom"/>
    </w:pPr>
    <w:rPr>
      <w:b/>
      <w:color w:val="00B2A9" w:themeColor="accent1"/>
    </w:rPr>
  </w:style>
  <w:style w:type="character" w:customStyle="1" w:styleId="Heading2Char">
    <w:name w:val="Heading 2 Char"/>
    <w:basedOn w:val="DefaultParagraphFont"/>
    <w:link w:val="Heading2"/>
    <w:rsid w:val="00D901FD"/>
    <w:rPr>
      <w:b/>
      <w:bCs/>
      <w:iCs/>
      <w:color w:val="0072CE" w:themeColor="text2"/>
      <w:kern w:val="20"/>
      <w:sz w:val="24"/>
      <w:szCs w:val="28"/>
    </w:rPr>
  </w:style>
  <w:style w:type="character" w:customStyle="1" w:styleId="Heading1Char">
    <w:name w:val="Heading 1 Char"/>
    <w:basedOn w:val="DefaultParagraphFont"/>
    <w:link w:val="Heading1"/>
    <w:rsid w:val="00321955"/>
    <w:rPr>
      <w:b/>
      <w:bCs/>
      <w:color w:val="0072CE" w:themeColor="text2"/>
      <w:kern w:val="32"/>
      <w:sz w:val="40"/>
      <w:szCs w:val="32"/>
    </w:rPr>
  </w:style>
  <w:style w:type="character" w:customStyle="1" w:styleId="Heading3Char">
    <w:name w:val="Heading 3 Char"/>
    <w:basedOn w:val="DefaultParagraphFont"/>
    <w:link w:val="Heading3"/>
    <w:rsid w:val="00321955"/>
    <w:rPr>
      <w:b/>
      <w:color w:val="494847"/>
    </w:rPr>
  </w:style>
  <w:style w:type="character" w:customStyle="1" w:styleId="HiddenText">
    <w:name w:val="Hidden Text"/>
    <w:basedOn w:val="DefaultParagraphFont"/>
    <w:uiPriority w:val="1"/>
    <w:qFormat/>
    <w:rsid w:val="00321955"/>
    <w:rPr>
      <w:color w:val="FF0000"/>
      <w:sz w:val="20"/>
      <w:u w:val="dotted"/>
    </w:rPr>
  </w:style>
  <w:style w:type="table" w:styleId="LightShading">
    <w:name w:val="Light Shading"/>
    <w:basedOn w:val="TableNormal"/>
    <w:uiPriority w:val="60"/>
    <w:rsid w:val="001A6A11"/>
    <w:pPr>
      <w:spacing w:line="240" w:lineRule="auto"/>
    </w:pPr>
    <w:rPr>
      <w:rFonts w:eastAsiaTheme="minorHAnsi" w:cstheme="minorBidi"/>
      <w:color w:val="282727" w:themeColor="text1" w:themeShade="BF"/>
      <w:sz w:val="22"/>
      <w:szCs w:val="22"/>
      <w:lang w:eastAsia="en-US"/>
    </w:rPr>
    <w:tblPr>
      <w:tblStyleRowBandSize w:val="1"/>
      <w:tblStyleColBandSize w:val="1"/>
      <w:tblBorders>
        <w:top w:val="single" w:sz="8" w:space="0" w:color="363534" w:themeColor="text1"/>
        <w:bottom w:val="single" w:sz="8" w:space="0" w:color="363534" w:themeColor="text1"/>
      </w:tblBorders>
    </w:tblPr>
    <w:tblStylePr w:type="fir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lastRow">
      <w:pPr>
        <w:spacing w:before="0" w:after="0" w:line="240" w:lineRule="auto"/>
      </w:pPr>
      <w:rPr>
        <w:b/>
        <w:bCs/>
      </w:rPr>
      <w:tblPr/>
      <w:tcPr>
        <w:tcBorders>
          <w:top w:val="single" w:sz="8" w:space="0" w:color="363534" w:themeColor="text1"/>
          <w:left w:val="nil"/>
          <w:bottom w:val="single" w:sz="8" w:space="0" w:color="3635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CCCC" w:themeFill="text1" w:themeFillTint="3F"/>
      </w:tcPr>
    </w:tblStylePr>
    <w:tblStylePr w:type="band1Horz">
      <w:tblPr/>
      <w:tcPr>
        <w:tcBorders>
          <w:left w:val="nil"/>
          <w:right w:val="nil"/>
          <w:insideH w:val="nil"/>
          <w:insideV w:val="nil"/>
        </w:tcBorders>
        <w:shd w:val="clear" w:color="auto" w:fill="CECCCC" w:themeFill="text1" w:themeFillTint="3F"/>
      </w:tcPr>
    </w:tblStylePr>
  </w:style>
  <w:style w:type="numbering" w:customStyle="1" w:styleId="Style1">
    <w:name w:val="Style1"/>
    <w:uiPriority w:val="99"/>
    <w:rsid w:val="004D2378"/>
    <w:pPr>
      <w:numPr>
        <w:numId w:val="15"/>
      </w:numPr>
    </w:pPr>
  </w:style>
  <w:style w:type="paragraph" w:customStyle="1" w:styleId="Bullet">
    <w:name w:val="Bullet"/>
    <w:basedOn w:val="ListBullet"/>
    <w:qFormat/>
    <w:rsid w:val="00E0630A"/>
    <w:pPr>
      <w:widowControl w:val="0"/>
      <w:numPr>
        <w:numId w:val="0"/>
      </w:numPr>
      <w:tabs>
        <w:tab w:val="num" w:pos="360"/>
      </w:tabs>
      <w:suppressAutoHyphens/>
      <w:autoSpaceDE w:val="0"/>
      <w:autoSpaceDN w:val="0"/>
      <w:adjustRightInd w:val="0"/>
      <w:spacing w:before="0" w:line="240" w:lineRule="auto"/>
      <w:ind w:left="357" w:right="567" w:hanging="357"/>
      <w:textAlignment w:val="center"/>
    </w:pPr>
    <w:rPr>
      <w:rFonts w:ascii="Arial" w:eastAsiaTheme="minorHAnsi" w:hAnsi="Arial" w:cs="ArialMT"/>
      <w:color w:val="53565A"/>
      <w:sz w:val="18"/>
      <w:szCs w:val="18"/>
      <w:lang w:eastAsia="en-US"/>
    </w:rPr>
  </w:style>
  <w:style w:type="table" w:customStyle="1" w:styleId="TableGrid10">
    <w:name w:val="Table Grid1"/>
    <w:basedOn w:val="TableNormal"/>
    <w:next w:val="TableGrid"/>
    <w:rsid w:val="00E0630A"/>
    <w:pPr>
      <w:spacing w:line="240" w:lineRule="auto"/>
    </w:pPr>
    <w:rPr>
      <w:rFonts w:ascii="Arial" w:eastAsia="Calibri" w:hAnsi="Arial" w:cs="ArialMT"/>
      <w:color w:val="53565A"/>
      <w:sz w:val="18"/>
      <w:szCs w:val="18"/>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010FE"/>
    <w:pPr>
      <w:spacing w:line="240" w:lineRule="auto"/>
    </w:pPr>
  </w:style>
  <w:style w:type="character" w:styleId="UnresolvedMention">
    <w:name w:val="Unresolved Mention"/>
    <w:basedOn w:val="DefaultParagraphFont"/>
    <w:uiPriority w:val="99"/>
    <w:semiHidden/>
    <w:unhideWhenUsed/>
    <w:rsid w:val="00522C6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0319416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yperlink" Target="http://creativecommons.org/licenses/by/4.0/" TargetMode="External"/><Relationship Id="rId34"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2.xml"/><Relationship Id="rId33" Type="http://schemas.openxmlformats.org/officeDocument/2006/relationships/hyperlink" Target="http://veet.vic.gov.au"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5.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energy.vic.gov.au/energy-efficiency/victorian-energy-upgrades" TargetMode="External"/><Relationship Id="rId32"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image" Target="media/image2.jpg"/><Relationship Id="rId23" Type="http://schemas.openxmlformats.org/officeDocument/2006/relationships/hyperlink" Target="http://www.relayservice.com.au" TargetMode="External"/><Relationship Id="rId28" Type="http://schemas.openxmlformats.org/officeDocument/2006/relationships/footer" Target="footer5.xml"/><Relationship Id="rId10" Type="http://schemas.openxmlformats.org/officeDocument/2006/relationships/settings" Target="settings.xml"/><Relationship Id="rId19" Type="http://schemas.openxmlformats.org/officeDocument/2006/relationships/footer" Target="footer3.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jpg"/><Relationship Id="rId22" Type="http://schemas.openxmlformats.org/officeDocument/2006/relationships/hyperlink" Target="mailto:energy.upgrades@delwp.vic.gov.au" TargetMode="External"/><Relationship Id="rId27" Type="http://schemas.openxmlformats.org/officeDocument/2006/relationships/header" Target="header3.xml"/><Relationship Id="rId30" Type="http://schemas.openxmlformats.org/officeDocument/2006/relationships/header" Target="header5.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cashek\AppData\Roaming\Microsoft\Templates\DELWP%20Templates\DELWP%20Report%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0072CE"/>
      </a:dk2>
      <a:lt2>
        <a:srgbClr val="E5F1FA"/>
      </a:lt2>
      <a:accent1>
        <a:srgbClr val="00B2A9"/>
      </a:accent1>
      <a:accent2>
        <a:srgbClr val="0072CE"/>
      </a:accent2>
      <a:accent3>
        <a:srgbClr val="201547"/>
      </a:accent3>
      <a:accent4>
        <a:srgbClr val="99E0DD"/>
      </a:accent4>
      <a:accent5>
        <a:srgbClr val="99C7EB"/>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xCatchAll xmlns="9fd47c19-1c4a-4d7d-b342-c10cef269344">
      <Value>30</Value>
      <Value>7</Value>
      <Value>11</Value>
      <Value>1</Value>
      <Value>3</Value>
      <Value>2</Value>
      <Value>35</Value>
    </TaxCatchAll>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Environment, Land, Water and Planning</TermName>
          <TermId xmlns="http://schemas.microsoft.com/office/infopath/2007/PartnerControls">607a3f87-1228-4cd9-82a5-076aa8776274</TermId>
        </TermInfo>
      </Terms>
    </ece32f50ba964e1fbf627a9d83fe6c01>
    <k1bd994a94c2413797db3bab8f123f6f xmlns="9fd47c19-1c4a-4d7d-b342-c10cef269344">
      <Terms xmlns="http://schemas.microsoft.com/office/infopath/2007/PartnerControls"/>
    </k1bd994a94c2413797db3bab8f123f6f>
    <fc01d91d9ac346658516d76592d70065 xmlns="9fd47c19-1c4a-4d7d-b342-c10cef269344">
      <Terms xmlns="http://schemas.microsoft.com/office/infopath/2007/PartnerControls">
        <TermInfo xmlns="http://schemas.microsoft.com/office/infopath/2007/PartnerControls">
          <TermName xmlns="http://schemas.microsoft.com/office/infopath/2007/PartnerControls">2018</TermName>
          <TermId xmlns="http://schemas.microsoft.com/office/infopath/2007/PartnerControls">3ee34b94-4fe9-4614-8ec0-929bd5039ba9</TermId>
        </TermInfo>
      </Terms>
    </fc01d91d9ac346658516d76592d70065>
    <Activity xmlns="58bbc721-9bed-401d-a4b5-1cf2eb04139e">27</Activity>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Energy Sector Reform</TermName>
          <TermId xmlns="http://schemas.microsoft.com/office/infopath/2007/PartnerControls">b9c4f3f1-9538-4841-9a93-00ecd3e35a73</TermId>
        </TermInfo>
      </Terms>
    </n771d69a070c4babbf278c67c8a2b859>
    <Project_x0020_Name xmlns="baab21b2-3752-4d53-a6d8-1dd99ffff372">Specifications</Project_x0020_Nam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Energy Efficiency</TermName>
          <TermId xmlns="http://schemas.microsoft.com/office/infopath/2007/PartnerControls">ef958207-59c7-4f97-84ab-1f83e6060f72</TermId>
        </TermInfo>
      </Terms>
    </mfe9accc5a0b4653a7b513b67ffd122d>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All Groups</TermName>
          <TermId xmlns="http://schemas.microsoft.com/office/infopath/2007/PartnerControls">1d808b66-07e4-4275-bb6e-73d27edfc448</TermId>
        </TermInfo>
      </Terms>
    </ic50d0a05a8e4d9791dac67f8a1e716c>
    <_dlc_DocId xmlns="a5f32de4-e402-4188-b034-e71ca7d22e54">DOCID252-1330325950-922</_dlc_DocId>
    <_dlc_DocIdUrl xmlns="a5f32de4-e402-4188-b034-e71ca7d22e54">
      <Url>https://delwpvicgovau.sharepoint.com/sites/ecm_252/_layouts/15/DocIdRedir.aspx?ID=DOCID252-1330325950-922</Url>
      <Description>DOCID252-1330325950-922</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customXsn xmlns="http://schemas.microsoft.com/office/2006/metadata/customXsn">
  <xsnLocation/>
  <cached>True</cached>
  <openByDefault>True</openByDefault>
  <xsnScope>/sites/ecm_252/Activities</xsnScope>
</customXsn>
</file>

<file path=customXml/item5.xml><?xml version="1.0" encoding="utf-8"?>
<?mso-contentType ?>
<SharedContentType xmlns="Microsoft.SharePoint.Taxonomy.ContentTypeSync" SourceId="3452d580-73c1-4b2b-acb3-3600a17877a9" ContentTypeId="0x0101002517F445A0F35E449C98AAD631F2B038C0" PreviousValue="false"/>
</file>

<file path=customXml/item6.xml><?xml version="1.0" encoding="utf-8"?>
<ct:contentTypeSchema xmlns:ct="http://schemas.microsoft.com/office/2006/metadata/contentType" xmlns:ma="http://schemas.microsoft.com/office/2006/metadata/properties/metaAttributes" ct:_="" ma:_="" ma:contentTypeName="Background Brief" ma:contentTypeID="0x0101002517F445A0F35E449C98AAD631F2B038C00000FED5A94ED68F4F991AB36A11906F82" ma:contentTypeVersion="74" ma:contentTypeDescription="Project/program background material provided to Ministers or their representatives to attend events, e.g. funding information, project impetus, participants etc - DELWP" ma:contentTypeScope="" ma:versionID="466950ea312fbfd017a3d6a9a8911259">
  <xsd:schema xmlns:xsd="http://www.w3.org/2001/XMLSchema" xmlns:xs="http://www.w3.org/2001/XMLSchema" xmlns:p="http://schemas.microsoft.com/office/2006/metadata/properties" xmlns:ns1="a5f32de4-e402-4188-b034-e71ca7d22e54" xmlns:ns2="http://schemas.microsoft.com/sharepoint/v3" xmlns:ns3="9fd47c19-1c4a-4d7d-b342-c10cef269344" xmlns:ns4="58bbc721-9bed-401d-a4b5-1cf2eb04139e" xmlns:ns5="baab21b2-3752-4d53-a6d8-1dd99ffff372" xmlns:ns6="213c0d1a-1fef-4307-afa5-0627fedb4520" targetNamespace="http://schemas.microsoft.com/office/2006/metadata/properties" ma:root="true" ma:fieldsID="1b1093e6c03d7953e5d4530982de7e92" ns1:_="" ns2:_="" ns3:_="" ns4:_="" ns5:_="" ns6:_="">
    <xsd:import namespace="a5f32de4-e402-4188-b034-e71ca7d22e54"/>
    <xsd:import namespace="http://schemas.microsoft.com/sharepoint/v3"/>
    <xsd:import namespace="9fd47c19-1c4a-4d7d-b342-c10cef269344"/>
    <xsd:import namespace="58bbc721-9bed-401d-a4b5-1cf2eb04139e"/>
    <xsd:import namespace="baab21b2-3752-4d53-a6d8-1dd99ffff372"/>
    <xsd:import namespace="213c0d1a-1fef-4307-afa5-0627fedb4520"/>
    <xsd:element name="properties">
      <xsd:complexType>
        <xsd:sequence>
          <xsd:element name="documentManagement">
            <xsd:complexType>
              <xsd:all>
                <xsd:element ref="ns1:_dlc_DocIdUrl" minOccurs="0"/>
                <xsd:element ref="ns1:_dlc_DocId" minOccurs="0"/>
                <xsd:element ref="ns2:RoutingRuleDescription" minOccurs="0"/>
                <xsd:element ref="ns2:Language"/>
                <xsd:element ref="ns3:k1bd994a94c2413797db3bab8f123f6f" minOccurs="0"/>
                <xsd:element ref="ns3:a25c4e3633654d669cbaa09ae6b70789" minOccurs="0"/>
                <xsd:element ref="ns3:mfe9accc5a0b4653a7b513b67ffd122d" minOccurs="0"/>
                <xsd:element ref="ns1: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3:fc01d91d9ac346658516d76592d70065" minOccurs="0"/>
                <xsd:element ref="ns4:Activity" minOccurs="0"/>
                <xsd:element ref="ns5:Project_x0020_Name" minOccurs="0"/>
                <xsd:element ref="ns6:MediaServiceMetadata" minOccurs="0"/>
                <xsd:element ref="ns6:MediaServiceFastMetadata" minOccurs="0"/>
                <xsd:element ref="ns4:SharedWithUsers" minOccurs="0"/>
                <xsd:element ref="ns4:SharedWithDetails" minOccurs="0"/>
                <xsd:element ref="ns6:MediaServiceEventHashCode" minOccurs="0"/>
                <xsd:element ref="ns6: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4"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3"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4;#All|8270565e-a836-42c0-aa61-1ac7b0ff14aa"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7;#Energy Efficiency|ef958207-59c7-4f97-84ab-1f83e6060f72"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10e17f15-1dd9-48e4-8d42-107568d6a2cb}" ma:internalName="TaxCatchAll" ma:showField="CatchAllData"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10e17f15-1dd9-48e4-8d42-107568d6a2cb}" ma:internalName="TaxCatchAllLabel" ma:readOnly="true" ma:showField="CatchAllDataLabel" ma:web="58bbc721-9bed-401d-a4b5-1cf2eb04139e">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5;#Energy, Environment and Climate Change|94bee464-a01d-4057-aeaf-10b10373b617"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30;#Energy Sector Reform|b9c4f3f1-9538-4841-9a93-00ecd3e35a73"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fc01d91d9ac346658516d76592d70065" ma:index="31"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bbc721-9bed-401d-a4b5-1cf2eb04139e" elementFormDefault="qualified">
    <xsd:import namespace="http://schemas.microsoft.com/office/2006/documentManagement/types"/>
    <xsd:import namespace="http://schemas.microsoft.com/office/infopath/2007/PartnerControls"/>
    <xsd:element name="Activity" ma:index="33" nillable="true" ma:displayName="Activity" ma:list="{4424c753-5cc2-4ce5-96fb-a0a5ebc1a45b}" ma:internalName="Activity" ma:showField="Title" ma:web="58bbc721-9bed-401d-a4b5-1cf2eb04139e">
      <xsd:simpleType>
        <xsd:restriction base="dms:Lookup"/>
      </xsd:simpleType>
    </xsd:element>
    <xsd:element name="SharedWithUsers" ma:index="37"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8"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ab21b2-3752-4d53-a6d8-1dd99ffff372" elementFormDefault="qualified">
    <xsd:import namespace="http://schemas.microsoft.com/office/2006/documentManagement/types"/>
    <xsd:import namespace="http://schemas.microsoft.com/office/infopath/2007/PartnerControls"/>
    <xsd:element name="Project_x0020_Name" ma:index="34" nillable="true" ma:displayName="Project Name" ma:internalName="Project_x0020_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3c0d1a-1fef-4307-afa5-0627fedb4520" elementFormDefault="qualified">
    <xsd:import namespace="http://schemas.microsoft.com/office/2006/documentManagement/types"/>
    <xsd:import namespace="http://schemas.microsoft.com/office/infopath/2007/PartnerControls"/>
    <xsd:element name="MediaServiceMetadata" ma:index="35" nillable="true" ma:displayName="MediaServiceMetadata" ma:description="" ma:hidden="true" ma:internalName="MediaServiceMetadata" ma:readOnly="true">
      <xsd:simpleType>
        <xsd:restriction base="dms:Note"/>
      </xsd:simpleType>
    </xsd:element>
    <xsd:element name="MediaServiceFastMetadata" ma:index="36" nillable="true" ma:displayName="MediaServiceFastMetadata" ma:description="" ma:hidden="true" ma:internalName="MediaServiceFastMetadata" ma:readOnly="true">
      <xsd:simpleType>
        <xsd:restriction base="dms:Note"/>
      </xsd:simpleType>
    </xsd:element>
    <xsd:element name="MediaServiceEventHashCode" ma:index="39" nillable="true" ma:displayName="MediaServiceEventHashCode" ma:hidden="true" ma:internalName="MediaServiceEventHashCode" ma:readOnly="true">
      <xsd:simpleType>
        <xsd:restriction base="dms:Text"/>
      </xsd:simpleType>
    </xsd:element>
    <xsd:element name="MediaServiceGenerationTime" ma:index="4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E447BF-DF5D-491D-8703-989CC04B339A}">
  <ds:schemaRefs>
    <ds:schemaRef ds:uri="http://schemas.microsoft.com/sharepoint/v3/contenttype/forms"/>
  </ds:schemaRefs>
</ds:datastoreItem>
</file>

<file path=customXml/itemProps2.xml><?xml version="1.0" encoding="utf-8"?>
<ds:datastoreItem xmlns:ds="http://schemas.openxmlformats.org/officeDocument/2006/customXml" ds:itemID="{172D4220-8E2A-4EBC-BE6E-EF90212849F8}">
  <ds:schemaRefs>
    <ds:schemaRef ds:uri="a5f32de4-e402-4188-b034-e71ca7d22e54"/>
    <ds:schemaRef ds:uri="http://schemas.microsoft.com/office/infopath/2007/PartnerControls"/>
    <ds:schemaRef ds:uri="http://schemas.microsoft.com/office/2006/documentManagement/types"/>
    <ds:schemaRef ds:uri="http://schemas.openxmlformats.org/package/2006/metadata/core-properties"/>
    <ds:schemaRef ds:uri="213c0d1a-1fef-4307-afa5-0627fedb4520"/>
    <ds:schemaRef ds:uri="http://purl.org/dc/dcmitype/"/>
    <ds:schemaRef ds:uri="http://schemas.microsoft.com/office/2006/metadata/properties"/>
    <ds:schemaRef ds:uri="http://purl.org/dc/elements/1.1/"/>
    <ds:schemaRef ds:uri="baab21b2-3752-4d53-a6d8-1dd99ffff372"/>
    <ds:schemaRef ds:uri="58bbc721-9bed-401d-a4b5-1cf2eb04139e"/>
    <ds:schemaRef ds:uri="http://www.w3.org/XML/1998/namespace"/>
    <ds:schemaRef ds:uri="9fd47c19-1c4a-4d7d-b342-c10cef269344"/>
    <ds:schemaRef ds:uri="http://schemas.microsoft.com/sharepoint/v3"/>
    <ds:schemaRef ds:uri="http://purl.org/dc/terms/"/>
  </ds:schemaRefs>
</ds:datastoreItem>
</file>

<file path=customXml/itemProps3.xml><?xml version="1.0" encoding="utf-8"?>
<ds:datastoreItem xmlns:ds="http://schemas.openxmlformats.org/officeDocument/2006/customXml" ds:itemID="{8FF01893-C9AC-4BEF-8814-92F30F862F7E}">
  <ds:schemaRefs>
    <ds:schemaRef ds:uri="http://schemas.microsoft.com/sharepoint/events"/>
  </ds:schemaRefs>
</ds:datastoreItem>
</file>

<file path=customXml/itemProps4.xml><?xml version="1.0" encoding="utf-8"?>
<ds:datastoreItem xmlns:ds="http://schemas.openxmlformats.org/officeDocument/2006/customXml" ds:itemID="{5D3794AA-F384-42DA-9CB8-224B23C97A42}">
  <ds:schemaRefs>
    <ds:schemaRef ds:uri="http://schemas.microsoft.com/office/2006/metadata/customXsn"/>
  </ds:schemaRefs>
</ds:datastoreItem>
</file>

<file path=customXml/itemProps5.xml><?xml version="1.0" encoding="utf-8"?>
<ds:datastoreItem xmlns:ds="http://schemas.openxmlformats.org/officeDocument/2006/customXml" ds:itemID="{A1DC3C04-DCCB-48A4-9B45-229B0B9FA5FA}">
  <ds:schemaRefs>
    <ds:schemaRef ds:uri="Microsoft.SharePoint.Taxonomy.ContentTypeSync"/>
  </ds:schemaRefs>
</ds:datastoreItem>
</file>

<file path=customXml/itemProps6.xml><?xml version="1.0" encoding="utf-8"?>
<ds:datastoreItem xmlns:ds="http://schemas.openxmlformats.org/officeDocument/2006/customXml" ds:itemID="{8FC590AF-D753-4AA9-96B6-DD64B8B708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f32de4-e402-4188-b034-e71ca7d22e54"/>
    <ds:schemaRef ds:uri="http://schemas.microsoft.com/sharepoint/v3"/>
    <ds:schemaRef ds:uri="9fd47c19-1c4a-4d7d-b342-c10cef269344"/>
    <ds:schemaRef ds:uri="58bbc721-9bed-401d-a4b5-1cf2eb04139e"/>
    <ds:schemaRef ds:uri="baab21b2-3752-4d53-a6d8-1dd99ffff372"/>
    <ds:schemaRef ds:uri="213c0d1a-1fef-4307-afa5-0627fedb45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31F6D360-D125-450B-97BA-241223C1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Report template.dotm</Template>
  <TotalTime>0</TotalTime>
  <Pages>11</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Benchmark-Rating-in-the-VEET-Scheme-Specifications-Fina</vt:lpstr>
    </vt:vector>
  </TitlesOfParts>
  <Company/>
  <LinksUpToDate>false</LinksUpToDate>
  <CharactersWithSpaces>18128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Benchmark-Rating-in-the-VEET-Scheme-Specifications-Fina</dc:title>
  <dc:creator>Kathryn Lucas-Healey</dc:creator>
  <cp:lastModifiedBy>Alyce M Parker (DELWP)</cp:lastModifiedBy>
  <cp:revision>2</cp:revision>
  <cp:lastPrinted>2018-09-14T05:58:00Z</cp:lastPrinted>
  <dcterms:created xsi:type="dcterms:W3CDTF">2018-10-24T05:22:00Z</dcterms:created>
  <dcterms:modified xsi:type="dcterms:W3CDTF">2018-10-24T05:22:00Z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_dlc_DocIdItemGuid">
    <vt:lpwstr>8b0b13fa-041f-4cdd-88d5-a574fd34e6af</vt:lpwstr>
  </property>
  <property fmtid="{D5CDD505-2E9C-101B-9397-08002B2CF9AE}" pid="19" name="Section">
    <vt:lpwstr/>
  </property>
  <property fmtid="{D5CDD505-2E9C-101B-9397-08002B2CF9AE}" pid="20" name="Sub-Section">
    <vt:lpwstr/>
  </property>
  <property fmtid="{D5CDD505-2E9C-101B-9397-08002B2CF9AE}" pid="21" name="Agency">
    <vt:lpwstr>1;#Department of Environment, Land, Water and Planning|607a3f87-1228-4cd9-82a5-076aa8776274</vt:lpwstr>
  </property>
  <property fmtid="{D5CDD505-2E9C-101B-9397-08002B2CF9AE}" pid="22" name="Year">
    <vt:lpwstr>11;#2018|3ee34b94-4fe9-4614-8ec0-929bd5039ba9</vt:lpwstr>
  </property>
  <property fmtid="{D5CDD505-2E9C-101B-9397-08002B2CF9AE}" pid="23" name="Branch">
    <vt:lpwstr>7;#Energy Efficiency|ef958207-59c7-4f97-84ab-1f83e6060f72</vt:lpwstr>
  </property>
  <property fmtid="{D5CDD505-2E9C-101B-9397-08002B2CF9AE}" pid="24" name="Division">
    <vt:lpwstr>30;#Energy Sector Reform|b9c4f3f1-9538-4841-9a93-00ecd3e35a73</vt:lpwstr>
  </property>
  <property fmtid="{D5CDD505-2E9C-101B-9397-08002B2CF9AE}" pid="25" name="Dissemination Limiting Marker">
    <vt:lpwstr>2;#FOUO|955eb6fc-b35a-4808-8aa5-31e514fa3f26</vt:lpwstr>
  </property>
  <property fmtid="{D5CDD505-2E9C-101B-9397-08002B2CF9AE}" pid="26" name="Group1">
    <vt:lpwstr>35;#All Groups|1d808b66-07e4-4275-bb6e-73d27edfc448</vt:lpwstr>
  </property>
  <property fmtid="{D5CDD505-2E9C-101B-9397-08002B2CF9AE}" pid="27" name="Security Classification">
    <vt:lpwstr>3;#Unclassified|7fa379f4-4aba-4692-ab80-7d39d3a23cf4</vt:lpwstr>
  </property>
  <property fmtid="{D5CDD505-2E9C-101B-9397-08002B2CF9AE}" pid="28" name="o85941e134754762b9719660a258a6e6">
    <vt:lpwstr/>
  </property>
  <property fmtid="{D5CDD505-2E9C-101B-9397-08002B2CF9AE}" pid="29" name="Reference Type">
    <vt:lpwstr/>
  </property>
  <property fmtid="{D5CDD505-2E9C-101B-9397-08002B2CF9AE}" pid="30" name="Copyright Licence Name">
    <vt:lpwstr/>
  </property>
  <property fmtid="{D5CDD505-2E9C-101B-9397-08002B2CF9AE}" pid="31" name="Copyright License Type">
    <vt:lpwstr/>
  </property>
  <property fmtid="{D5CDD505-2E9C-101B-9397-08002B2CF9AE}" pid="32" name="df723ab3fe1c4eb7a0b151674e7ac40d">
    <vt:lpwstr/>
  </property>
  <property fmtid="{D5CDD505-2E9C-101B-9397-08002B2CF9AE}" pid="33" name="ld508a88e6264ce89693af80a72862cb">
    <vt:lpwstr/>
  </property>
  <property fmtid="{D5CDD505-2E9C-101B-9397-08002B2CF9AE}" pid="34" name="Activity Project Name">
    <vt:lpwstr/>
  </property>
  <property fmtid="{D5CDD505-2E9C-101B-9397-08002B2CF9AE}" pid="35" name="ContentTypeId">
    <vt:lpwstr>0x0101002517F445A0F35E449C98AAD631F2B038C00000FED5A94ED68F4F991AB36A11906F82</vt:lpwstr>
  </property>
</Properties>
</file>