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189A6" w14:textId="046C0D4A" w:rsidR="000C7148" w:rsidRPr="003E44AB" w:rsidRDefault="00A90182" w:rsidP="001F6D43">
      <w:pPr>
        <w:pStyle w:val="Title"/>
        <w:spacing w:after="600"/>
      </w:pPr>
      <w:r w:rsidRPr="003E44AB">
        <w:t>Renewable Energy Investment </w:t>
      </w:r>
      <w:r w:rsidR="00876ECA" w:rsidRPr="003E44AB">
        <w:t xml:space="preserve">Prospectus: </w:t>
      </w:r>
      <w:r w:rsidRPr="003E44AB">
        <w:br/>
      </w:r>
      <w:r w:rsidR="001F6D43" w:rsidRPr="003E44AB">
        <w:t>Renewable Fuels and Feedstocks</w:t>
      </w:r>
    </w:p>
    <w:p w14:paraId="53780E31" w14:textId="67266D07" w:rsidR="007968FE" w:rsidRPr="003E44AB" w:rsidRDefault="000C7148" w:rsidP="000C7148">
      <w:pPr>
        <w:pStyle w:val="Subtitle"/>
      </w:pPr>
      <w:r w:rsidRPr="003E44AB">
        <w:t>October 2026</w:t>
      </w:r>
    </w:p>
    <w:p w14:paraId="3FC55AF9" w14:textId="77777777" w:rsidR="00A51AD4" w:rsidRPr="003E44AB" w:rsidRDefault="00A51AD4" w:rsidP="00A90182">
      <w:pPr>
        <w:pStyle w:val="TOAHeading"/>
        <w:pageBreakBefore/>
        <w:outlineLvl w:val="0"/>
      </w:pPr>
      <w:r w:rsidRPr="003E44AB">
        <w:lastRenderedPageBreak/>
        <w:t>Table of Contents</w:t>
      </w:r>
    </w:p>
    <w:p w14:paraId="7D9A9C23" w14:textId="42FE6466" w:rsidR="00CF06E1" w:rsidRPr="003E44AB" w:rsidRDefault="00C81AC2">
      <w:pPr>
        <w:pStyle w:val="TOC1"/>
        <w:tabs>
          <w:tab w:val="right" w:leader="dot" w:pos="9628"/>
        </w:tabs>
        <w:rPr>
          <w:rFonts w:asciiTheme="minorHAnsi" w:hAnsiTheme="minorHAnsi" w:cstheme="minorBidi"/>
          <w:bCs w:val="0"/>
          <w:noProof/>
          <w:kern w:val="2"/>
          <w:lang w:eastAsia="en-GB"/>
          <w14:ligatures w14:val="standardContextual"/>
        </w:rPr>
      </w:pPr>
      <w:r w:rsidRPr="003E44AB">
        <w:rPr>
          <w:rFonts w:cstheme="majorHAnsi"/>
          <w:bCs w:val="0"/>
          <w:sz w:val="28"/>
        </w:rPr>
        <w:fldChar w:fldCharType="begin"/>
      </w:r>
      <w:r w:rsidR="00F72213" w:rsidRPr="003E44AB">
        <w:rPr>
          <w:rFonts w:cstheme="majorHAnsi"/>
          <w:b/>
          <w:bCs w:val="0"/>
          <w:sz w:val="28"/>
        </w:rPr>
        <w:instrText xml:space="preserve"> TOC \o "1-1" \h \z </w:instrText>
      </w:r>
      <w:r w:rsidRPr="003E44AB">
        <w:rPr>
          <w:rFonts w:cstheme="majorHAnsi"/>
          <w:bCs w:val="0"/>
          <w:sz w:val="28"/>
        </w:rPr>
        <w:fldChar w:fldCharType="separate"/>
      </w:r>
      <w:hyperlink w:anchor="_Toc243485843" w:history="1">
        <w:r w:rsidR="00CF06E1" w:rsidRPr="003E44AB">
          <w:rPr>
            <w:rStyle w:val="Hyperlink"/>
            <w:noProof/>
          </w:rPr>
          <w:t>Traditional Owners at the centre for decision-making processes</w:t>
        </w:r>
        <w:r w:rsidR="00CF06E1" w:rsidRPr="003E44AB">
          <w:rPr>
            <w:noProof/>
            <w:webHidden/>
          </w:rPr>
          <w:tab/>
        </w:r>
        <w:r w:rsidR="00CF06E1" w:rsidRPr="003E44AB">
          <w:rPr>
            <w:noProof/>
            <w:webHidden/>
          </w:rPr>
          <w:fldChar w:fldCharType="begin"/>
        </w:r>
        <w:r w:rsidR="00CF06E1" w:rsidRPr="003E44AB">
          <w:rPr>
            <w:noProof/>
            <w:webHidden/>
          </w:rPr>
          <w:instrText xml:space="preserve"> PAGEREF _Toc243485843 \h </w:instrText>
        </w:r>
        <w:r w:rsidR="00CF06E1" w:rsidRPr="003E44AB">
          <w:rPr>
            <w:noProof/>
            <w:webHidden/>
          </w:rPr>
        </w:r>
        <w:r w:rsidR="00CF06E1" w:rsidRPr="003E44AB">
          <w:rPr>
            <w:noProof/>
            <w:webHidden/>
          </w:rPr>
          <w:fldChar w:fldCharType="separate"/>
        </w:r>
        <w:r w:rsidR="00397331">
          <w:rPr>
            <w:noProof/>
            <w:webHidden/>
          </w:rPr>
          <w:t>3</w:t>
        </w:r>
        <w:r w:rsidR="00CF06E1" w:rsidRPr="003E44AB">
          <w:rPr>
            <w:noProof/>
            <w:webHidden/>
          </w:rPr>
          <w:fldChar w:fldCharType="end"/>
        </w:r>
      </w:hyperlink>
    </w:p>
    <w:p w14:paraId="2F64E2D4" w14:textId="340F6AC2"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4" w:history="1">
        <w:r w:rsidRPr="003E44AB">
          <w:rPr>
            <w:rStyle w:val="Hyperlink"/>
            <w:noProof/>
          </w:rPr>
          <w:t>Welcome to Victoria’s renewable energy sector</w:t>
        </w:r>
        <w:r w:rsidRPr="003E44AB">
          <w:rPr>
            <w:noProof/>
            <w:webHidden/>
          </w:rPr>
          <w:tab/>
        </w:r>
        <w:r w:rsidRPr="003E44AB">
          <w:rPr>
            <w:noProof/>
            <w:webHidden/>
          </w:rPr>
          <w:fldChar w:fldCharType="begin"/>
        </w:r>
        <w:r w:rsidRPr="003E44AB">
          <w:rPr>
            <w:noProof/>
            <w:webHidden/>
          </w:rPr>
          <w:instrText xml:space="preserve"> PAGEREF _Toc243485844 \h </w:instrText>
        </w:r>
        <w:r w:rsidRPr="003E44AB">
          <w:rPr>
            <w:noProof/>
            <w:webHidden/>
          </w:rPr>
        </w:r>
        <w:r w:rsidRPr="003E44AB">
          <w:rPr>
            <w:noProof/>
            <w:webHidden/>
          </w:rPr>
          <w:fldChar w:fldCharType="separate"/>
        </w:r>
        <w:r w:rsidR="00397331">
          <w:rPr>
            <w:noProof/>
            <w:webHidden/>
          </w:rPr>
          <w:t>4</w:t>
        </w:r>
        <w:r w:rsidRPr="003E44AB">
          <w:rPr>
            <w:noProof/>
            <w:webHidden/>
          </w:rPr>
          <w:fldChar w:fldCharType="end"/>
        </w:r>
      </w:hyperlink>
    </w:p>
    <w:p w14:paraId="4C5E9916" w14:textId="541F7F59"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5" w:history="1">
        <w:r w:rsidRPr="003E44AB">
          <w:rPr>
            <w:rStyle w:val="Hyperlink"/>
            <w:noProof/>
          </w:rPr>
          <w:t>Invest in Victoria’s renewable fuels sector</w:t>
        </w:r>
        <w:r w:rsidRPr="003E44AB">
          <w:rPr>
            <w:noProof/>
            <w:webHidden/>
          </w:rPr>
          <w:tab/>
        </w:r>
        <w:r w:rsidRPr="003E44AB">
          <w:rPr>
            <w:noProof/>
            <w:webHidden/>
          </w:rPr>
          <w:fldChar w:fldCharType="begin"/>
        </w:r>
        <w:r w:rsidRPr="003E44AB">
          <w:rPr>
            <w:noProof/>
            <w:webHidden/>
          </w:rPr>
          <w:instrText xml:space="preserve"> PAGEREF _Toc243485845 \h </w:instrText>
        </w:r>
        <w:r w:rsidRPr="003E44AB">
          <w:rPr>
            <w:noProof/>
            <w:webHidden/>
          </w:rPr>
        </w:r>
        <w:r w:rsidRPr="003E44AB">
          <w:rPr>
            <w:noProof/>
            <w:webHidden/>
          </w:rPr>
          <w:fldChar w:fldCharType="separate"/>
        </w:r>
        <w:r w:rsidR="00397331">
          <w:rPr>
            <w:noProof/>
            <w:webHidden/>
          </w:rPr>
          <w:t>6</w:t>
        </w:r>
        <w:r w:rsidRPr="003E44AB">
          <w:rPr>
            <w:noProof/>
            <w:webHidden/>
          </w:rPr>
          <w:fldChar w:fldCharType="end"/>
        </w:r>
      </w:hyperlink>
    </w:p>
    <w:p w14:paraId="6423B210" w14:textId="160897D0"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6" w:history="1">
        <w:r w:rsidRPr="003E44AB">
          <w:rPr>
            <w:rStyle w:val="Hyperlink"/>
            <w:noProof/>
          </w:rPr>
          <w:t>Investment opportunities in low carbon liquid fuels</w:t>
        </w:r>
        <w:r w:rsidRPr="003E44AB">
          <w:rPr>
            <w:noProof/>
            <w:webHidden/>
          </w:rPr>
          <w:tab/>
        </w:r>
        <w:r w:rsidRPr="003E44AB">
          <w:rPr>
            <w:noProof/>
            <w:webHidden/>
          </w:rPr>
          <w:fldChar w:fldCharType="begin"/>
        </w:r>
        <w:r w:rsidRPr="003E44AB">
          <w:rPr>
            <w:noProof/>
            <w:webHidden/>
          </w:rPr>
          <w:instrText xml:space="preserve"> PAGEREF _Toc243485846 \h </w:instrText>
        </w:r>
        <w:r w:rsidRPr="003E44AB">
          <w:rPr>
            <w:noProof/>
            <w:webHidden/>
          </w:rPr>
        </w:r>
        <w:r w:rsidRPr="003E44AB">
          <w:rPr>
            <w:noProof/>
            <w:webHidden/>
          </w:rPr>
          <w:fldChar w:fldCharType="separate"/>
        </w:r>
        <w:r w:rsidR="00397331">
          <w:rPr>
            <w:noProof/>
            <w:webHidden/>
          </w:rPr>
          <w:t>9</w:t>
        </w:r>
        <w:r w:rsidRPr="003E44AB">
          <w:rPr>
            <w:noProof/>
            <w:webHidden/>
          </w:rPr>
          <w:fldChar w:fldCharType="end"/>
        </w:r>
      </w:hyperlink>
    </w:p>
    <w:p w14:paraId="4872FE2F" w14:textId="24D06B67"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7" w:history="1">
        <w:r w:rsidRPr="003E44AB">
          <w:rPr>
            <w:rStyle w:val="Hyperlink"/>
            <w:noProof/>
          </w:rPr>
          <w:t>Drivers of low carbon liquid fuel (LCLF) uptake</w:t>
        </w:r>
        <w:r w:rsidRPr="003E44AB">
          <w:rPr>
            <w:noProof/>
            <w:webHidden/>
          </w:rPr>
          <w:tab/>
        </w:r>
        <w:r w:rsidRPr="003E44AB">
          <w:rPr>
            <w:noProof/>
            <w:webHidden/>
          </w:rPr>
          <w:fldChar w:fldCharType="begin"/>
        </w:r>
        <w:r w:rsidRPr="003E44AB">
          <w:rPr>
            <w:noProof/>
            <w:webHidden/>
          </w:rPr>
          <w:instrText xml:space="preserve"> PAGEREF _Toc243485847 \h </w:instrText>
        </w:r>
        <w:r w:rsidRPr="003E44AB">
          <w:rPr>
            <w:noProof/>
            <w:webHidden/>
          </w:rPr>
        </w:r>
        <w:r w:rsidRPr="003E44AB">
          <w:rPr>
            <w:noProof/>
            <w:webHidden/>
          </w:rPr>
          <w:fldChar w:fldCharType="separate"/>
        </w:r>
        <w:r w:rsidR="00397331">
          <w:rPr>
            <w:noProof/>
            <w:webHidden/>
          </w:rPr>
          <w:t>12</w:t>
        </w:r>
        <w:r w:rsidRPr="003E44AB">
          <w:rPr>
            <w:noProof/>
            <w:webHidden/>
          </w:rPr>
          <w:fldChar w:fldCharType="end"/>
        </w:r>
      </w:hyperlink>
    </w:p>
    <w:p w14:paraId="7E8E19E7" w14:textId="261D2500"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8" w:history="1">
        <w:r w:rsidRPr="003E44AB">
          <w:rPr>
            <w:rStyle w:val="Hyperlink"/>
            <w:noProof/>
          </w:rPr>
          <w:t>Investment focus on Sustainable Aviation Fuels</w:t>
        </w:r>
        <w:r w:rsidRPr="003E44AB">
          <w:rPr>
            <w:noProof/>
            <w:webHidden/>
          </w:rPr>
          <w:tab/>
        </w:r>
        <w:r w:rsidRPr="003E44AB">
          <w:rPr>
            <w:noProof/>
            <w:webHidden/>
          </w:rPr>
          <w:fldChar w:fldCharType="begin"/>
        </w:r>
        <w:r w:rsidRPr="003E44AB">
          <w:rPr>
            <w:noProof/>
            <w:webHidden/>
          </w:rPr>
          <w:instrText xml:space="preserve"> PAGEREF _Toc243485848 \h </w:instrText>
        </w:r>
        <w:r w:rsidRPr="003E44AB">
          <w:rPr>
            <w:noProof/>
            <w:webHidden/>
          </w:rPr>
        </w:r>
        <w:r w:rsidRPr="003E44AB">
          <w:rPr>
            <w:noProof/>
            <w:webHidden/>
          </w:rPr>
          <w:fldChar w:fldCharType="separate"/>
        </w:r>
        <w:r w:rsidR="00397331">
          <w:rPr>
            <w:noProof/>
            <w:webHidden/>
          </w:rPr>
          <w:t>14</w:t>
        </w:r>
        <w:r w:rsidRPr="003E44AB">
          <w:rPr>
            <w:noProof/>
            <w:webHidden/>
          </w:rPr>
          <w:fldChar w:fldCharType="end"/>
        </w:r>
      </w:hyperlink>
    </w:p>
    <w:p w14:paraId="2C84A20A" w14:textId="2F18B51E"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49" w:history="1">
        <w:r w:rsidRPr="003E44AB">
          <w:rPr>
            <w:rStyle w:val="Hyperlink"/>
            <w:noProof/>
          </w:rPr>
          <w:t>Emissions rules and airline targets are strengthening SAF demand</w:t>
        </w:r>
        <w:r w:rsidRPr="003E44AB">
          <w:rPr>
            <w:noProof/>
            <w:webHidden/>
          </w:rPr>
          <w:tab/>
        </w:r>
        <w:r w:rsidRPr="003E44AB">
          <w:rPr>
            <w:noProof/>
            <w:webHidden/>
          </w:rPr>
          <w:fldChar w:fldCharType="begin"/>
        </w:r>
        <w:r w:rsidRPr="003E44AB">
          <w:rPr>
            <w:noProof/>
            <w:webHidden/>
          </w:rPr>
          <w:instrText xml:space="preserve"> PAGEREF _Toc243485849 \h </w:instrText>
        </w:r>
        <w:r w:rsidRPr="003E44AB">
          <w:rPr>
            <w:noProof/>
            <w:webHidden/>
          </w:rPr>
        </w:r>
        <w:r w:rsidRPr="003E44AB">
          <w:rPr>
            <w:noProof/>
            <w:webHidden/>
          </w:rPr>
          <w:fldChar w:fldCharType="separate"/>
        </w:r>
        <w:r w:rsidR="00397331">
          <w:rPr>
            <w:noProof/>
            <w:webHidden/>
          </w:rPr>
          <w:t>15</w:t>
        </w:r>
        <w:r w:rsidRPr="003E44AB">
          <w:rPr>
            <w:noProof/>
            <w:webHidden/>
          </w:rPr>
          <w:fldChar w:fldCharType="end"/>
        </w:r>
      </w:hyperlink>
    </w:p>
    <w:p w14:paraId="77491B7E" w14:textId="6804C3E2"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0" w:history="1">
        <w:r w:rsidRPr="003E44AB">
          <w:rPr>
            <w:rStyle w:val="Hyperlink"/>
            <w:noProof/>
          </w:rPr>
          <w:t>Investment opportunities in renewable gas</w:t>
        </w:r>
        <w:r w:rsidRPr="003E44AB">
          <w:rPr>
            <w:noProof/>
            <w:webHidden/>
          </w:rPr>
          <w:tab/>
        </w:r>
        <w:r w:rsidRPr="003E44AB">
          <w:rPr>
            <w:noProof/>
            <w:webHidden/>
          </w:rPr>
          <w:fldChar w:fldCharType="begin"/>
        </w:r>
        <w:r w:rsidRPr="003E44AB">
          <w:rPr>
            <w:noProof/>
            <w:webHidden/>
          </w:rPr>
          <w:instrText xml:space="preserve"> PAGEREF _Toc243485850 \h </w:instrText>
        </w:r>
        <w:r w:rsidRPr="003E44AB">
          <w:rPr>
            <w:noProof/>
            <w:webHidden/>
          </w:rPr>
        </w:r>
        <w:r w:rsidRPr="003E44AB">
          <w:rPr>
            <w:noProof/>
            <w:webHidden/>
          </w:rPr>
          <w:fldChar w:fldCharType="separate"/>
        </w:r>
        <w:r w:rsidR="00397331">
          <w:rPr>
            <w:noProof/>
            <w:webHidden/>
          </w:rPr>
          <w:t>20</w:t>
        </w:r>
        <w:r w:rsidRPr="003E44AB">
          <w:rPr>
            <w:noProof/>
            <w:webHidden/>
          </w:rPr>
          <w:fldChar w:fldCharType="end"/>
        </w:r>
      </w:hyperlink>
    </w:p>
    <w:p w14:paraId="4AB0A403" w14:textId="5E614310"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1" w:history="1">
        <w:r w:rsidRPr="003E44AB">
          <w:rPr>
            <w:rStyle w:val="Hyperlink"/>
            <w:noProof/>
          </w:rPr>
          <w:t>Drivers for renewable gas</w:t>
        </w:r>
        <w:r w:rsidRPr="003E44AB">
          <w:rPr>
            <w:noProof/>
            <w:webHidden/>
          </w:rPr>
          <w:tab/>
        </w:r>
        <w:r w:rsidRPr="003E44AB">
          <w:rPr>
            <w:noProof/>
            <w:webHidden/>
          </w:rPr>
          <w:fldChar w:fldCharType="begin"/>
        </w:r>
        <w:r w:rsidRPr="003E44AB">
          <w:rPr>
            <w:noProof/>
            <w:webHidden/>
          </w:rPr>
          <w:instrText xml:space="preserve"> PAGEREF _Toc243485851 \h </w:instrText>
        </w:r>
        <w:r w:rsidRPr="003E44AB">
          <w:rPr>
            <w:noProof/>
            <w:webHidden/>
          </w:rPr>
        </w:r>
        <w:r w:rsidRPr="003E44AB">
          <w:rPr>
            <w:noProof/>
            <w:webHidden/>
          </w:rPr>
          <w:fldChar w:fldCharType="separate"/>
        </w:r>
        <w:r w:rsidR="00397331">
          <w:rPr>
            <w:noProof/>
            <w:webHidden/>
          </w:rPr>
          <w:t>22</w:t>
        </w:r>
        <w:r w:rsidRPr="003E44AB">
          <w:rPr>
            <w:noProof/>
            <w:webHidden/>
          </w:rPr>
          <w:fldChar w:fldCharType="end"/>
        </w:r>
      </w:hyperlink>
    </w:p>
    <w:p w14:paraId="7590EEDD" w14:textId="5B27A008"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2" w:history="1">
        <w:r w:rsidRPr="003E44AB">
          <w:rPr>
            <w:rStyle w:val="Hyperlink"/>
            <w:noProof/>
          </w:rPr>
          <w:t>Biomass for renewable fuels production</w:t>
        </w:r>
        <w:r w:rsidRPr="003E44AB">
          <w:rPr>
            <w:noProof/>
            <w:webHidden/>
          </w:rPr>
          <w:tab/>
        </w:r>
        <w:r w:rsidRPr="003E44AB">
          <w:rPr>
            <w:noProof/>
            <w:webHidden/>
          </w:rPr>
          <w:fldChar w:fldCharType="begin"/>
        </w:r>
        <w:r w:rsidRPr="003E44AB">
          <w:rPr>
            <w:noProof/>
            <w:webHidden/>
          </w:rPr>
          <w:instrText xml:space="preserve"> PAGEREF _Toc243485852 \h </w:instrText>
        </w:r>
        <w:r w:rsidRPr="003E44AB">
          <w:rPr>
            <w:noProof/>
            <w:webHidden/>
          </w:rPr>
        </w:r>
        <w:r w:rsidRPr="003E44AB">
          <w:rPr>
            <w:noProof/>
            <w:webHidden/>
          </w:rPr>
          <w:fldChar w:fldCharType="separate"/>
        </w:r>
        <w:r w:rsidR="00397331">
          <w:rPr>
            <w:noProof/>
            <w:webHidden/>
          </w:rPr>
          <w:t>26</w:t>
        </w:r>
        <w:r w:rsidRPr="003E44AB">
          <w:rPr>
            <w:noProof/>
            <w:webHidden/>
          </w:rPr>
          <w:fldChar w:fldCharType="end"/>
        </w:r>
      </w:hyperlink>
    </w:p>
    <w:p w14:paraId="54288414" w14:textId="5A3C95CD"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3" w:history="1">
        <w:r w:rsidRPr="003E44AB">
          <w:rPr>
            <w:rStyle w:val="Hyperlink"/>
            <w:noProof/>
          </w:rPr>
          <w:t>Bioenergy opportunities in Victoria</w:t>
        </w:r>
        <w:r w:rsidRPr="003E44AB">
          <w:rPr>
            <w:noProof/>
            <w:webHidden/>
          </w:rPr>
          <w:tab/>
        </w:r>
        <w:r w:rsidRPr="003E44AB">
          <w:rPr>
            <w:noProof/>
            <w:webHidden/>
          </w:rPr>
          <w:fldChar w:fldCharType="begin"/>
        </w:r>
        <w:r w:rsidRPr="003E44AB">
          <w:rPr>
            <w:noProof/>
            <w:webHidden/>
          </w:rPr>
          <w:instrText xml:space="preserve"> PAGEREF _Toc243485853 \h </w:instrText>
        </w:r>
        <w:r w:rsidRPr="003E44AB">
          <w:rPr>
            <w:noProof/>
            <w:webHidden/>
          </w:rPr>
        </w:r>
        <w:r w:rsidRPr="003E44AB">
          <w:rPr>
            <w:noProof/>
            <w:webHidden/>
          </w:rPr>
          <w:fldChar w:fldCharType="separate"/>
        </w:r>
        <w:r w:rsidR="00397331">
          <w:rPr>
            <w:noProof/>
            <w:webHidden/>
          </w:rPr>
          <w:t>27</w:t>
        </w:r>
        <w:r w:rsidRPr="003E44AB">
          <w:rPr>
            <w:noProof/>
            <w:webHidden/>
          </w:rPr>
          <w:fldChar w:fldCharType="end"/>
        </w:r>
      </w:hyperlink>
    </w:p>
    <w:p w14:paraId="315FCD68" w14:textId="19DA9F01"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4" w:history="1">
        <w:r w:rsidRPr="003E44AB">
          <w:rPr>
            <w:rStyle w:val="Hyperlink"/>
            <w:noProof/>
          </w:rPr>
          <w:t>Leverage established energy infrastructure</w:t>
        </w:r>
        <w:r w:rsidRPr="003E44AB">
          <w:rPr>
            <w:noProof/>
            <w:webHidden/>
          </w:rPr>
          <w:tab/>
        </w:r>
        <w:r w:rsidRPr="003E44AB">
          <w:rPr>
            <w:noProof/>
            <w:webHidden/>
          </w:rPr>
          <w:fldChar w:fldCharType="begin"/>
        </w:r>
        <w:r w:rsidRPr="003E44AB">
          <w:rPr>
            <w:noProof/>
            <w:webHidden/>
          </w:rPr>
          <w:instrText xml:space="preserve"> PAGEREF _Toc243485854 \h </w:instrText>
        </w:r>
        <w:r w:rsidRPr="003E44AB">
          <w:rPr>
            <w:noProof/>
            <w:webHidden/>
          </w:rPr>
        </w:r>
        <w:r w:rsidRPr="003E44AB">
          <w:rPr>
            <w:noProof/>
            <w:webHidden/>
          </w:rPr>
          <w:fldChar w:fldCharType="separate"/>
        </w:r>
        <w:r w:rsidR="00397331">
          <w:rPr>
            <w:noProof/>
            <w:webHidden/>
          </w:rPr>
          <w:t>29</w:t>
        </w:r>
        <w:r w:rsidRPr="003E44AB">
          <w:rPr>
            <w:noProof/>
            <w:webHidden/>
          </w:rPr>
          <w:fldChar w:fldCharType="end"/>
        </w:r>
      </w:hyperlink>
    </w:p>
    <w:p w14:paraId="4357D5F7" w14:textId="445707E4"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5" w:history="1">
        <w:r w:rsidRPr="003E44AB">
          <w:rPr>
            <w:rStyle w:val="Hyperlink"/>
            <w:noProof/>
          </w:rPr>
          <w:t>Victorian Government policies driving renewable fuels investment</w:t>
        </w:r>
        <w:r w:rsidRPr="003E44AB">
          <w:rPr>
            <w:noProof/>
            <w:webHidden/>
          </w:rPr>
          <w:tab/>
        </w:r>
        <w:r w:rsidRPr="003E44AB">
          <w:rPr>
            <w:noProof/>
            <w:webHidden/>
          </w:rPr>
          <w:fldChar w:fldCharType="begin"/>
        </w:r>
        <w:r w:rsidRPr="003E44AB">
          <w:rPr>
            <w:noProof/>
            <w:webHidden/>
          </w:rPr>
          <w:instrText xml:space="preserve"> PAGEREF _Toc243485855 \h </w:instrText>
        </w:r>
        <w:r w:rsidRPr="003E44AB">
          <w:rPr>
            <w:noProof/>
            <w:webHidden/>
          </w:rPr>
        </w:r>
        <w:r w:rsidRPr="003E44AB">
          <w:rPr>
            <w:noProof/>
            <w:webHidden/>
          </w:rPr>
          <w:fldChar w:fldCharType="separate"/>
        </w:r>
        <w:r w:rsidR="00397331">
          <w:rPr>
            <w:noProof/>
            <w:webHidden/>
          </w:rPr>
          <w:t>33</w:t>
        </w:r>
        <w:r w:rsidRPr="003E44AB">
          <w:rPr>
            <w:noProof/>
            <w:webHidden/>
          </w:rPr>
          <w:fldChar w:fldCharType="end"/>
        </w:r>
      </w:hyperlink>
    </w:p>
    <w:p w14:paraId="1BB82DA3" w14:textId="1443A05C"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6" w:history="1">
        <w:r w:rsidRPr="003E44AB">
          <w:rPr>
            <w:rStyle w:val="Hyperlink"/>
            <w:noProof/>
          </w:rPr>
          <w:t>Australian Government initiatives</w:t>
        </w:r>
        <w:r w:rsidRPr="003E44AB">
          <w:rPr>
            <w:noProof/>
            <w:webHidden/>
          </w:rPr>
          <w:tab/>
        </w:r>
        <w:r w:rsidRPr="003E44AB">
          <w:rPr>
            <w:noProof/>
            <w:webHidden/>
          </w:rPr>
          <w:fldChar w:fldCharType="begin"/>
        </w:r>
        <w:r w:rsidRPr="003E44AB">
          <w:rPr>
            <w:noProof/>
            <w:webHidden/>
          </w:rPr>
          <w:instrText xml:space="preserve"> PAGEREF _Toc243485856 \h </w:instrText>
        </w:r>
        <w:r w:rsidRPr="003E44AB">
          <w:rPr>
            <w:noProof/>
            <w:webHidden/>
          </w:rPr>
        </w:r>
        <w:r w:rsidRPr="003E44AB">
          <w:rPr>
            <w:noProof/>
            <w:webHidden/>
          </w:rPr>
          <w:fldChar w:fldCharType="separate"/>
        </w:r>
        <w:r w:rsidR="00397331">
          <w:rPr>
            <w:noProof/>
            <w:webHidden/>
          </w:rPr>
          <w:t>35</w:t>
        </w:r>
        <w:r w:rsidRPr="003E44AB">
          <w:rPr>
            <w:noProof/>
            <w:webHidden/>
          </w:rPr>
          <w:fldChar w:fldCharType="end"/>
        </w:r>
      </w:hyperlink>
    </w:p>
    <w:p w14:paraId="03BB95F1" w14:textId="228F1967"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7" w:history="1">
        <w:r w:rsidRPr="003E44AB">
          <w:rPr>
            <w:rStyle w:val="Hyperlink"/>
            <w:noProof/>
          </w:rPr>
          <w:t>Access to Victoria’s world-class renewable energy talent</w:t>
        </w:r>
        <w:r w:rsidRPr="003E44AB">
          <w:rPr>
            <w:noProof/>
            <w:webHidden/>
          </w:rPr>
          <w:tab/>
        </w:r>
        <w:r w:rsidRPr="003E44AB">
          <w:rPr>
            <w:noProof/>
            <w:webHidden/>
          </w:rPr>
          <w:fldChar w:fldCharType="begin"/>
        </w:r>
        <w:r w:rsidRPr="003E44AB">
          <w:rPr>
            <w:noProof/>
            <w:webHidden/>
          </w:rPr>
          <w:instrText xml:space="preserve"> PAGEREF _Toc243485857 \h </w:instrText>
        </w:r>
        <w:r w:rsidRPr="003E44AB">
          <w:rPr>
            <w:noProof/>
            <w:webHidden/>
          </w:rPr>
        </w:r>
        <w:r w:rsidRPr="003E44AB">
          <w:rPr>
            <w:noProof/>
            <w:webHidden/>
          </w:rPr>
          <w:fldChar w:fldCharType="separate"/>
        </w:r>
        <w:r w:rsidR="00397331">
          <w:rPr>
            <w:noProof/>
            <w:webHidden/>
          </w:rPr>
          <w:t>37</w:t>
        </w:r>
        <w:r w:rsidRPr="003E44AB">
          <w:rPr>
            <w:noProof/>
            <w:webHidden/>
          </w:rPr>
          <w:fldChar w:fldCharType="end"/>
        </w:r>
      </w:hyperlink>
    </w:p>
    <w:p w14:paraId="4E73FC37" w14:textId="2AFD08E6"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8" w:history="1">
        <w:r w:rsidRPr="003E44AB">
          <w:rPr>
            <w:rStyle w:val="Hyperlink"/>
            <w:noProof/>
          </w:rPr>
          <w:t>A clear pathway to partner with First Peoples</w:t>
        </w:r>
        <w:r w:rsidRPr="003E44AB">
          <w:rPr>
            <w:noProof/>
            <w:webHidden/>
          </w:rPr>
          <w:tab/>
        </w:r>
        <w:r w:rsidRPr="003E44AB">
          <w:rPr>
            <w:noProof/>
            <w:webHidden/>
          </w:rPr>
          <w:fldChar w:fldCharType="begin"/>
        </w:r>
        <w:r w:rsidRPr="003E44AB">
          <w:rPr>
            <w:noProof/>
            <w:webHidden/>
          </w:rPr>
          <w:instrText xml:space="preserve"> PAGEREF _Toc243485858 \h </w:instrText>
        </w:r>
        <w:r w:rsidRPr="003E44AB">
          <w:rPr>
            <w:noProof/>
            <w:webHidden/>
          </w:rPr>
        </w:r>
        <w:r w:rsidRPr="003E44AB">
          <w:rPr>
            <w:noProof/>
            <w:webHidden/>
          </w:rPr>
          <w:fldChar w:fldCharType="separate"/>
        </w:r>
        <w:r w:rsidR="00397331">
          <w:rPr>
            <w:noProof/>
            <w:webHidden/>
          </w:rPr>
          <w:t>39</w:t>
        </w:r>
        <w:r w:rsidRPr="003E44AB">
          <w:rPr>
            <w:noProof/>
            <w:webHidden/>
          </w:rPr>
          <w:fldChar w:fldCharType="end"/>
        </w:r>
      </w:hyperlink>
    </w:p>
    <w:p w14:paraId="529FB6A0" w14:textId="4F7116D0"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59" w:history="1">
        <w:r w:rsidRPr="003E44AB">
          <w:rPr>
            <w:rStyle w:val="Hyperlink"/>
            <w:noProof/>
          </w:rPr>
          <w:t>Key Victorian Government entities</w:t>
        </w:r>
        <w:r w:rsidRPr="003E44AB">
          <w:rPr>
            <w:noProof/>
            <w:webHidden/>
          </w:rPr>
          <w:tab/>
        </w:r>
        <w:r w:rsidRPr="003E44AB">
          <w:rPr>
            <w:noProof/>
            <w:webHidden/>
          </w:rPr>
          <w:fldChar w:fldCharType="begin"/>
        </w:r>
        <w:r w:rsidRPr="003E44AB">
          <w:rPr>
            <w:noProof/>
            <w:webHidden/>
          </w:rPr>
          <w:instrText xml:space="preserve"> PAGEREF _Toc243485859 \h </w:instrText>
        </w:r>
        <w:r w:rsidRPr="003E44AB">
          <w:rPr>
            <w:noProof/>
            <w:webHidden/>
          </w:rPr>
        </w:r>
        <w:r w:rsidRPr="003E44AB">
          <w:rPr>
            <w:noProof/>
            <w:webHidden/>
          </w:rPr>
          <w:fldChar w:fldCharType="separate"/>
        </w:r>
        <w:r w:rsidR="00397331">
          <w:rPr>
            <w:noProof/>
            <w:webHidden/>
          </w:rPr>
          <w:t>41</w:t>
        </w:r>
        <w:r w:rsidRPr="003E44AB">
          <w:rPr>
            <w:noProof/>
            <w:webHidden/>
          </w:rPr>
          <w:fldChar w:fldCharType="end"/>
        </w:r>
      </w:hyperlink>
    </w:p>
    <w:p w14:paraId="542E0080" w14:textId="5CC4E026"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60" w:history="1">
        <w:r w:rsidRPr="003E44AB">
          <w:rPr>
            <w:rStyle w:val="Hyperlink"/>
            <w:noProof/>
          </w:rPr>
          <w:t>Subsector packs</w:t>
        </w:r>
        <w:r w:rsidRPr="003E44AB">
          <w:rPr>
            <w:noProof/>
            <w:webHidden/>
          </w:rPr>
          <w:tab/>
        </w:r>
        <w:r w:rsidRPr="003E44AB">
          <w:rPr>
            <w:noProof/>
            <w:webHidden/>
          </w:rPr>
          <w:fldChar w:fldCharType="begin"/>
        </w:r>
        <w:r w:rsidRPr="003E44AB">
          <w:rPr>
            <w:noProof/>
            <w:webHidden/>
          </w:rPr>
          <w:instrText xml:space="preserve"> PAGEREF _Toc243485860 \h </w:instrText>
        </w:r>
        <w:r w:rsidRPr="003E44AB">
          <w:rPr>
            <w:noProof/>
            <w:webHidden/>
          </w:rPr>
        </w:r>
        <w:r w:rsidRPr="003E44AB">
          <w:rPr>
            <w:noProof/>
            <w:webHidden/>
          </w:rPr>
          <w:fldChar w:fldCharType="separate"/>
        </w:r>
        <w:r w:rsidR="00397331">
          <w:rPr>
            <w:noProof/>
            <w:webHidden/>
          </w:rPr>
          <w:t>44</w:t>
        </w:r>
        <w:r w:rsidRPr="003E44AB">
          <w:rPr>
            <w:noProof/>
            <w:webHidden/>
          </w:rPr>
          <w:fldChar w:fldCharType="end"/>
        </w:r>
      </w:hyperlink>
    </w:p>
    <w:p w14:paraId="03D60951" w14:textId="700D618B" w:rsidR="00CF06E1" w:rsidRPr="003E44AB" w:rsidRDefault="00CF06E1">
      <w:pPr>
        <w:pStyle w:val="TOC1"/>
        <w:tabs>
          <w:tab w:val="right" w:leader="dot" w:pos="9628"/>
        </w:tabs>
        <w:rPr>
          <w:rFonts w:asciiTheme="minorHAnsi" w:hAnsiTheme="minorHAnsi" w:cstheme="minorBidi"/>
          <w:bCs w:val="0"/>
          <w:noProof/>
          <w:kern w:val="2"/>
          <w:lang w:eastAsia="en-GB"/>
          <w14:ligatures w14:val="standardContextual"/>
        </w:rPr>
      </w:pPr>
      <w:hyperlink w:anchor="_Toc243485861" w:history="1">
        <w:r w:rsidRPr="003E44AB">
          <w:rPr>
            <w:rStyle w:val="Hyperlink"/>
            <w:noProof/>
          </w:rPr>
          <w:t>Publication information</w:t>
        </w:r>
        <w:r w:rsidRPr="003E44AB">
          <w:rPr>
            <w:noProof/>
            <w:webHidden/>
          </w:rPr>
          <w:tab/>
        </w:r>
        <w:r w:rsidRPr="003E44AB">
          <w:rPr>
            <w:noProof/>
            <w:webHidden/>
          </w:rPr>
          <w:fldChar w:fldCharType="begin"/>
        </w:r>
        <w:r w:rsidRPr="003E44AB">
          <w:rPr>
            <w:noProof/>
            <w:webHidden/>
          </w:rPr>
          <w:instrText xml:space="preserve"> PAGEREF _Toc243485861 \h </w:instrText>
        </w:r>
        <w:r w:rsidRPr="003E44AB">
          <w:rPr>
            <w:noProof/>
            <w:webHidden/>
          </w:rPr>
        </w:r>
        <w:r w:rsidRPr="003E44AB">
          <w:rPr>
            <w:noProof/>
            <w:webHidden/>
          </w:rPr>
          <w:fldChar w:fldCharType="separate"/>
        </w:r>
        <w:r w:rsidR="00397331">
          <w:rPr>
            <w:noProof/>
            <w:webHidden/>
          </w:rPr>
          <w:t>45</w:t>
        </w:r>
        <w:r w:rsidRPr="003E44AB">
          <w:rPr>
            <w:noProof/>
            <w:webHidden/>
          </w:rPr>
          <w:fldChar w:fldCharType="end"/>
        </w:r>
      </w:hyperlink>
    </w:p>
    <w:p w14:paraId="4F32CA67" w14:textId="45302199" w:rsidR="00B165A7" w:rsidRPr="003E44AB" w:rsidRDefault="00C81AC2">
      <w:pPr>
        <w:suppressAutoHyphens w:val="0"/>
        <w:spacing w:after="160"/>
        <w:rPr>
          <w:rFonts w:asciiTheme="majorHAnsi" w:hAnsiTheme="majorHAnsi" w:cstheme="majorHAnsi"/>
          <w:szCs w:val="24"/>
        </w:rPr>
        <w:sectPr w:rsidR="00B165A7" w:rsidRPr="003E44AB" w:rsidSect="00EB277B">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20" w:footer="454" w:gutter="0"/>
          <w:cols w:space="720"/>
          <w:noEndnote/>
          <w:docGrid w:linePitch="326"/>
        </w:sectPr>
      </w:pPr>
      <w:r w:rsidRPr="003E44AB">
        <w:rPr>
          <w:rFonts w:asciiTheme="majorHAnsi" w:hAnsiTheme="majorHAnsi" w:cstheme="majorHAnsi"/>
          <w:b/>
          <w:bCs/>
          <w:sz w:val="28"/>
          <w:szCs w:val="24"/>
        </w:rPr>
        <w:fldChar w:fldCharType="end"/>
      </w:r>
    </w:p>
    <w:p w14:paraId="66B12DFC" w14:textId="77777777" w:rsidR="00910420" w:rsidRPr="003E44AB" w:rsidRDefault="00910420" w:rsidP="008F55D1">
      <w:pPr>
        <w:pStyle w:val="Heading1"/>
        <w:ind w:right="282"/>
      </w:pPr>
      <w:bookmarkStart w:id="0" w:name="_Toc243485843"/>
      <w:bookmarkStart w:id="1" w:name="_Toc184285036"/>
      <w:r w:rsidRPr="003E44AB">
        <w:lastRenderedPageBreak/>
        <w:t>Traditional Owners at the centre for decision-making processes</w:t>
      </w:r>
      <w:bookmarkEnd w:id="0"/>
    </w:p>
    <w:p w14:paraId="363DFE1B" w14:textId="77777777" w:rsidR="00910420" w:rsidRPr="003E44AB" w:rsidRDefault="00910420">
      <w:pPr>
        <w:pStyle w:val="BodyText"/>
      </w:pPr>
      <w:r w:rsidRPr="003E44AB">
        <w:t xml:space="preserve">Strong and mutually beneficial partnerships with Traditional Owners and First Peoples are imperative to the energy transition’s success and integral to ensuring the goals and objectives of self-determination set out in the Victorian Government’s Self Determination Reform Framework and the Department of Energy, Environment and Climate Action’s (DEECA) </w:t>
      </w:r>
      <w:proofErr w:type="spellStart"/>
      <w:r w:rsidRPr="003E44AB">
        <w:t>Pupangarli</w:t>
      </w:r>
      <w:proofErr w:type="spellEnd"/>
      <w:r w:rsidRPr="003E44AB">
        <w:t xml:space="preserve"> </w:t>
      </w:r>
      <w:proofErr w:type="spellStart"/>
      <w:r w:rsidRPr="003E44AB">
        <w:t>Marnmarnepu</w:t>
      </w:r>
      <w:proofErr w:type="spellEnd"/>
      <w:r w:rsidRPr="003E44AB">
        <w:t xml:space="preserve"> ‘Owning Our Future’ Aboriginal Self-Determination Reform Strategy 2020–2025.</w:t>
      </w:r>
    </w:p>
    <w:p w14:paraId="034A1852" w14:textId="5AA66F7E" w:rsidR="00910420" w:rsidRPr="003E44AB" w:rsidRDefault="00910420" w:rsidP="008F55D1">
      <w:pPr>
        <w:pStyle w:val="BodyText"/>
        <w:ind w:right="-143"/>
      </w:pPr>
      <w:r w:rsidRPr="003E44AB">
        <w:t xml:space="preserve">For more information, visit the </w:t>
      </w:r>
      <w:hyperlink r:id="rId14" w:tooltip="Opens the DEECA web page for Pupangarli Marnmarnepu ‘Owning Our Future’ Aboriginal Self-Determination Reform Strategy 2020–2025" w:history="1">
        <w:proofErr w:type="spellStart"/>
        <w:r w:rsidRPr="003E44AB">
          <w:rPr>
            <w:rStyle w:val="Hyperlink"/>
          </w:rPr>
          <w:t>Pupangarli</w:t>
        </w:r>
        <w:proofErr w:type="spellEnd"/>
        <w:r w:rsidRPr="003E44AB">
          <w:rPr>
            <w:rStyle w:val="Hyperlink"/>
          </w:rPr>
          <w:t xml:space="preserve"> </w:t>
        </w:r>
        <w:proofErr w:type="spellStart"/>
        <w:r w:rsidRPr="003E44AB">
          <w:rPr>
            <w:rStyle w:val="Hyperlink"/>
          </w:rPr>
          <w:t>Marnmarnepu</w:t>
        </w:r>
        <w:proofErr w:type="spellEnd"/>
        <w:r w:rsidRPr="003E44AB">
          <w:rPr>
            <w:rStyle w:val="Hyperlink"/>
          </w:rPr>
          <w:t xml:space="preserve"> ‘Owning Our Future’ strategy page</w:t>
        </w:r>
      </w:hyperlink>
      <w:r w:rsidRPr="003E44AB">
        <w:t>.</w:t>
      </w:r>
    </w:p>
    <w:p w14:paraId="6F7887F5" w14:textId="4DD040EB" w:rsidR="00223B10" w:rsidRPr="003E44AB" w:rsidRDefault="00223B10" w:rsidP="00223B10">
      <w:pPr>
        <w:pStyle w:val="Heading2"/>
      </w:pPr>
      <w:r w:rsidRPr="003E44AB">
        <w:t>Acknowledgement of Country</w:t>
      </w:r>
    </w:p>
    <w:p w14:paraId="7E04A86D" w14:textId="77777777" w:rsidR="00223B10" w:rsidRPr="003E44AB" w:rsidRDefault="00223B10" w:rsidP="00223B10">
      <w:pPr>
        <w:pStyle w:val="BodyText"/>
        <w:spacing w:after="120"/>
      </w:pPr>
      <w:r w:rsidRPr="003E44AB">
        <w:t>We acknowledge and respect Victorian Traditional Owners as the original custodians of Victoria’s land and waters, their unique ability to care for Country and deep spiritual connection to it.</w:t>
      </w:r>
    </w:p>
    <w:p w14:paraId="13BE697E" w14:textId="77777777" w:rsidR="00223B10" w:rsidRPr="003E44AB" w:rsidRDefault="00223B10" w:rsidP="00223B10">
      <w:pPr>
        <w:pStyle w:val="BodyText"/>
        <w:spacing w:after="120"/>
      </w:pPr>
      <w:r w:rsidRPr="003E44AB">
        <w:t>We honour Elders past and present whose knowledge and wisdom have ensured the continuation of culture and traditional practices.</w:t>
      </w:r>
    </w:p>
    <w:p w14:paraId="0F1D3B4C" w14:textId="7928854E" w:rsidR="00223B10" w:rsidRPr="003E44AB" w:rsidRDefault="00223B10" w:rsidP="00223B10">
      <w:pPr>
        <w:pStyle w:val="BodyText"/>
        <w:spacing w:after="120"/>
      </w:pPr>
      <w:r w:rsidRPr="003E44AB">
        <w:t>We are committed to genuinely partner, and meaningfully engage, with Victoria’s Traditional Owners and Aboriginal communities to support the protection of Country, the maintenance of spiritual and cultural practices and their broader aspirations in the 21</w:t>
      </w:r>
      <w:r w:rsidRPr="003E44AB">
        <w:rPr>
          <w:vertAlign w:val="superscript"/>
        </w:rPr>
        <w:t>st</w:t>
      </w:r>
      <w:r w:rsidRPr="003E44AB">
        <w:t> century and beyond.</w:t>
      </w:r>
    </w:p>
    <w:p w14:paraId="0148C772" w14:textId="77777777" w:rsidR="00CF06E1" w:rsidRPr="003E44AB" w:rsidRDefault="00CF06E1" w:rsidP="00223B10">
      <w:pPr>
        <w:pStyle w:val="Heading1"/>
        <w:pageBreakBefore/>
        <w:ind w:right="-285"/>
      </w:pPr>
      <w:bookmarkStart w:id="2" w:name="_Toc243485844"/>
      <w:r w:rsidRPr="003E44AB">
        <w:lastRenderedPageBreak/>
        <w:t>Welcome to Victoria’s renewable energy sector</w:t>
      </w:r>
      <w:bookmarkEnd w:id="2"/>
    </w:p>
    <w:p w14:paraId="592DA86B" w14:textId="77777777" w:rsidR="00910420" w:rsidRPr="003E44AB" w:rsidRDefault="00910420">
      <w:pPr>
        <w:pStyle w:val="Introductoryparagraph"/>
      </w:pPr>
      <w:r w:rsidRPr="003E44AB">
        <w:t>Our legislated targets and changing energy market are creating investment opportunities.</w:t>
      </w:r>
    </w:p>
    <w:p w14:paraId="47A30888" w14:textId="77777777" w:rsidR="00910420" w:rsidRPr="003E44AB" w:rsidRDefault="00910420">
      <w:pPr>
        <w:pStyle w:val="BodyText"/>
      </w:pPr>
      <w:r w:rsidRPr="003E44AB">
        <w:t>As Victoria accelerates its transition to renewable energy, demand is emerging for renewable fuels to decarbonise hard-to-abate sectors. This presents a significant opportunity for investment across renewable fuel production, infrastructure and supply chains.</w:t>
      </w:r>
    </w:p>
    <w:p w14:paraId="548B2651" w14:textId="77777777" w:rsidR="00910420" w:rsidRPr="003E44AB" w:rsidRDefault="00910420">
      <w:pPr>
        <w:pStyle w:val="BodyText"/>
      </w:pPr>
      <w:r w:rsidRPr="003E44AB">
        <w:t>Victoria is well placed to become a leading producer and user of renewable fuels, creating new opportunities for investment, industry growth and emissions reduction. With excellent renewable energy and biomass resources, strong supply chains, world-class research and development capabilities, strategic infrastructure and a highly skilled workforce, Victoria is a great investment destination.</w:t>
      </w:r>
    </w:p>
    <w:p w14:paraId="7949D441" w14:textId="77777777" w:rsidR="00910420" w:rsidRPr="003E44AB" w:rsidRDefault="00910420">
      <w:pPr>
        <w:pStyle w:val="BodyText"/>
      </w:pPr>
      <w:r w:rsidRPr="003E44AB">
        <w:t>Significant progress is being made in electrification, but a material share of Victoria’s energy demand will continue to rely on fuels, particularly in hard-to-electrify sectors including heavy transport, aviation, shipping and high-temperature industrial processes.</w:t>
      </w:r>
    </w:p>
    <w:p w14:paraId="2060B1DC" w14:textId="77777777" w:rsidR="00910420" w:rsidRPr="003E44AB" w:rsidRDefault="00910420">
      <w:pPr>
        <w:pStyle w:val="BodyText"/>
      </w:pPr>
      <w:r w:rsidRPr="003E44AB">
        <w:t>The scale of fuel demand across Victoria’s economy creates a long-term opportunity for Victoria’s renewable fuel sector. Backed by strong policy direction, abundant renewable resources and a proven track record in energy innovation, Victoria is well positioned to lead the next wave of clean fuel development. For investors, this represents an opportunity to participate in a growing market at scale, supporting decarbonisation while meeting critical energy needs across the economy.</w:t>
      </w:r>
    </w:p>
    <w:p w14:paraId="3893FC25" w14:textId="07F3AD76" w:rsidR="00910420" w:rsidRPr="003E44AB" w:rsidRDefault="00910420">
      <w:pPr>
        <w:pStyle w:val="Caption"/>
        <w:keepNext/>
      </w:pPr>
      <w:bookmarkStart w:id="3" w:name="_Ref243564463"/>
      <w:r w:rsidRPr="003E44AB">
        <w:lastRenderedPageBreak/>
        <w:t xml:space="preserve">Figure </w:t>
      </w:r>
      <w:fldSimple w:instr=" SEQ Figure \* ARABIC \* MERGEFORMAT ">
        <w:r w:rsidR="00362FCF" w:rsidRPr="003E44AB">
          <w:t>1</w:t>
        </w:r>
      </w:fldSimple>
      <w:bookmarkEnd w:id="3"/>
      <w:r w:rsidRPr="003E44AB">
        <w:t xml:space="preserve">: </w:t>
      </w:r>
      <w:r w:rsidRPr="003E44AB">
        <w:rPr>
          <w:b w:val="0"/>
          <w:bCs/>
        </w:rPr>
        <w:t>Energy consumed by Victorians</w:t>
      </w:r>
      <w:r w:rsidRPr="003E44AB">
        <w:rPr>
          <w:rStyle w:val="FootnoteReference"/>
        </w:rPr>
        <w:footnoteReference w:id="1"/>
      </w:r>
      <w:r w:rsidR="00CF06E1" w:rsidRPr="003E44AB">
        <w:rPr>
          <w:vertAlign w:val="superscript"/>
        </w:rPr>
        <w:t>,</w:t>
      </w:r>
      <w:r w:rsidRPr="003E44AB">
        <w:rPr>
          <w:rStyle w:val="FootnoteReference"/>
        </w:rPr>
        <w:footnoteReference w:id="2"/>
      </w:r>
    </w:p>
    <w:p w14:paraId="45A03E7B" w14:textId="0F6C5E2D" w:rsidR="004D1B77" w:rsidRPr="003E44AB" w:rsidRDefault="008D5811">
      <w:pPr>
        <w:pStyle w:val="BodyText"/>
        <w:rPr>
          <w:highlight w:val="yellow"/>
        </w:rPr>
      </w:pPr>
      <w:r w:rsidRPr="003E44AB">
        <w:rPr>
          <w:noProof/>
        </w:rPr>
        <w:drawing>
          <wp:inline distT="0" distB="0" distL="0" distR="0" wp14:anchorId="4B658F22" wp14:editId="28D4CA67">
            <wp:extent cx="6120130" cy="1986574"/>
            <wp:effectExtent l="0" t="0" r="1270" b="0"/>
            <wp:docPr id="732216524" name="Picture 14" descr="Stacked diagram shows Victorian energy consumption by liquid fuels, electricity, natural gas and other energy, with major end uses and emissions reduction targets to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216524" name="Picture 14" descr="Stacked diagram shows Victorian energy consumption by liquid fuels, electricity, natural gas and other energy, with major end uses and emissions reduction targets to 2045."/>
                    <pic:cNvPicPr/>
                  </pic:nvPicPr>
                  <pic:blipFill>
                    <a:blip r:embed="rId15"/>
                    <a:stretch>
                      <a:fillRect/>
                    </a:stretch>
                  </pic:blipFill>
                  <pic:spPr>
                    <a:xfrm>
                      <a:off x="0" y="0"/>
                      <a:ext cx="6120130" cy="1986574"/>
                    </a:xfrm>
                    <a:prstGeom prst="rect">
                      <a:avLst/>
                    </a:prstGeom>
                  </pic:spPr>
                </pic:pic>
              </a:graphicData>
            </a:graphic>
          </wp:inline>
        </w:drawing>
      </w:r>
    </w:p>
    <w:p w14:paraId="5C40917E" w14:textId="76D61A66" w:rsidR="00910420" w:rsidRPr="003E44AB" w:rsidRDefault="008D5811">
      <w:pPr>
        <w:pStyle w:val="Normalbeforebullets"/>
      </w:pPr>
      <w:r w:rsidRPr="003E44AB">
        <w:fldChar w:fldCharType="begin"/>
      </w:r>
      <w:r w:rsidRPr="003E44AB">
        <w:instrText xml:space="preserve"> REF _Ref243564463 \h </w:instrText>
      </w:r>
      <w:r w:rsidRPr="003E44AB">
        <w:fldChar w:fldCharType="separate"/>
      </w:r>
      <w:r w:rsidR="00362FCF" w:rsidRPr="003E44AB">
        <w:t>Figure 1</w:t>
      </w:r>
      <w:r w:rsidRPr="003E44AB">
        <w:fldChar w:fldCharType="end"/>
      </w:r>
      <w:r w:rsidR="00910420" w:rsidRPr="003E44AB">
        <w:t xml:space="preserve"> shows the energy consumed by Victorians each year, measured in petajoules (PJ). Liquid fuels make up more than half of all energy consumed:</w:t>
      </w:r>
    </w:p>
    <w:p w14:paraId="341A6FBB" w14:textId="77777777" w:rsidR="00910420" w:rsidRPr="003E44AB" w:rsidRDefault="00910420">
      <w:pPr>
        <w:pStyle w:val="ListBullet"/>
      </w:pPr>
      <w:r w:rsidRPr="003E44AB">
        <w:t>Liquid fuels: 513 PJ, used mainly for road and rail transport and residential use; agricultural, resources, commercial and industry use; aviation; and shipping</w:t>
      </w:r>
    </w:p>
    <w:p w14:paraId="753D346B" w14:textId="77777777" w:rsidR="00910420" w:rsidRPr="003E44AB" w:rsidRDefault="00910420">
      <w:pPr>
        <w:pStyle w:val="ListBullet"/>
      </w:pPr>
      <w:r w:rsidRPr="003E44AB">
        <w:t>Electricity: 183 PJ</w:t>
      </w:r>
    </w:p>
    <w:p w14:paraId="4810E4C2" w14:textId="77777777" w:rsidR="00910420" w:rsidRPr="003E44AB" w:rsidRDefault="00910420">
      <w:pPr>
        <w:pStyle w:val="ListBullet"/>
      </w:pPr>
      <w:r w:rsidRPr="003E44AB">
        <w:t>Natural gas: 173 PJ, including use for high-heat industrial processes and gas-powered generation (GPG)</w:t>
      </w:r>
    </w:p>
    <w:p w14:paraId="4B24B1EE" w14:textId="77777777" w:rsidR="00910420" w:rsidRPr="003E44AB" w:rsidRDefault="00910420">
      <w:pPr>
        <w:pStyle w:val="LastBulletinList"/>
      </w:pPr>
      <w:r w:rsidRPr="003E44AB">
        <w:t>Other: 32 PJ, including residential solar energy and bioenergy.</w:t>
      </w:r>
    </w:p>
    <w:p w14:paraId="59CACDED" w14:textId="76370E8F" w:rsidR="00910420" w:rsidRPr="003E44AB" w:rsidRDefault="00910420">
      <w:pPr>
        <w:pStyle w:val="Caption"/>
        <w:keepNext/>
      </w:pPr>
      <w:r w:rsidRPr="003E44AB">
        <w:lastRenderedPageBreak/>
        <w:t xml:space="preserve">Table </w:t>
      </w:r>
      <w:fldSimple w:instr=" SEQ Table \* ARABIC \* MERGEFORMAT ">
        <w:r w:rsidR="00362FCF" w:rsidRPr="003E44AB">
          <w:t>1</w:t>
        </w:r>
      </w:fldSimple>
      <w:r w:rsidRPr="003E44AB">
        <w:t xml:space="preserve">: </w:t>
      </w:r>
      <w:r w:rsidRPr="003E44AB">
        <w:rPr>
          <w:b w:val="0"/>
          <w:bCs/>
        </w:rPr>
        <w:t>The Victorian Government’s legislated emissions reduction targets</w:t>
      </w:r>
    </w:p>
    <w:tbl>
      <w:tblPr>
        <w:tblStyle w:val="Style2"/>
        <w:tblW w:w="0" w:type="auto"/>
        <w:tblLook w:val="04A0" w:firstRow="1" w:lastRow="0" w:firstColumn="1" w:lastColumn="0" w:noHBand="0" w:noVBand="1"/>
        <w:tblCaption w:val="The Victorian Government’s legislated emissions reduction targets"/>
        <w:tblDescription w:val="Table with 2 columns, Year and Target, listing Victoria’s legislated emissions reduction targets: target exceeded in 2025, 45 to 50% reduction by 2030, 75 to 80% reduction by 2035 and net-zero emissions by 2045."/>
      </w:tblPr>
      <w:tblGrid>
        <w:gridCol w:w="2684"/>
        <w:gridCol w:w="6934"/>
      </w:tblGrid>
      <w:tr w:rsidR="003E7236" w:rsidRPr="003E44AB" w14:paraId="1A66F123" w14:textId="77777777" w:rsidTr="00223B10">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2D5F065A" w14:textId="77777777" w:rsidR="003E7236" w:rsidRPr="003E44AB" w:rsidRDefault="003E7236" w:rsidP="005D3890">
            <w:pPr>
              <w:pStyle w:val="Tabletext"/>
              <w:spacing w:line="240" w:lineRule="auto"/>
              <w:jc w:val="center"/>
            </w:pPr>
            <w:bookmarkStart w:id="4" w:name="_Toc243485845"/>
            <w:r w:rsidRPr="003E44AB">
              <w:t>Year</w:t>
            </w:r>
          </w:p>
        </w:tc>
        <w:tc>
          <w:tcPr>
            <w:tcW w:w="6934" w:type="dxa"/>
          </w:tcPr>
          <w:p w14:paraId="31836FDB" w14:textId="77777777" w:rsidR="003E7236" w:rsidRPr="003E44AB" w:rsidRDefault="003E7236" w:rsidP="005D3890">
            <w:pPr>
              <w:pStyle w:val="Tabletext"/>
              <w:spacing w:line="240" w:lineRule="auto"/>
            </w:pPr>
            <w:r w:rsidRPr="003E44AB">
              <w:t>Target</w:t>
            </w:r>
          </w:p>
        </w:tc>
      </w:tr>
      <w:tr w:rsidR="003E7236" w:rsidRPr="003E44AB" w14:paraId="7F3E6FB3" w14:textId="77777777" w:rsidTr="00223B10">
        <w:trPr>
          <w:cantSplit/>
        </w:trPr>
        <w:tc>
          <w:tcPr>
            <w:tcW w:w="2684" w:type="dxa"/>
          </w:tcPr>
          <w:p w14:paraId="7A3D979D" w14:textId="77777777" w:rsidR="003E7236" w:rsidRPr="003E44AB" w:rsidRDefault="003E7236" w:rsidP="00223B10">
            <w:pPr>
              <w:pStyle w:val="Tabletext"/>
              <w:jc w:val="center"/>
              <w:rPr>
                <w:b/>
                <w:bCs/>
              </w:rPr>
            </w:pPr>
            <w:r w:rsidRPr="003E44AB">
              <w:rPr>
                <w:b/>
                <w:bCs/>
              </w:rPr>
              <w:t>2025</w:t>
            </w:r>
          </w:p>
        </w:tc>
        <w:tc>
          <w:tcPr>
            <w:tcW w:w="6934" w:type="dxa"/>
          </w:tcPr>
          <w:p w14:paraId="27EE6250" w14:textId="77777777" w:rsidR="003E7236" w:rsidRPr="003E44AB" w:rsidRDefault="003E7236">
            <w:pPr>
              <w:pStyle w:val="Tabletext"/>
            </w:pPr>
            <w:r w:rsidRPr="003E44AB">
              <w:t>Exceeded target</w:t>
            </w:r>
          </w:p>
        </w:tc>
      </w:tr>
      <w:tr w:rsidR="003E7236" w:rsidRPr="003E44AB" w14:paraId="4839E4DE" w14:textId="77777777" w:rsidTr="00223B10">
        <w:trPr>
          <w:cantSplit/>
        </w:trPr>
        <w:tc>
          <w:tcPr>
            <w:tcW w:w="2684" w:type="dxa"/>
          </w:tcPr>
          <w:p w14:paraId="195021A9" w14:textId="77777777" w:rsidR="003E7236" w:rsidRPr="003E44AB" w:rsidRDefault="003E7236" w:rsidP="00223B10">
            <w:pPr>
              <w:pStyle w:val="Tabletext"/>
              <w:jc w:val="center"/>
              <w:rPr>
                <w:b/>
                <w:bCs/>
              </w:rPr>
            </w:pPr>
            <w:r w:rsidRPr="003E44AB">
              <w:rPr>
                <w:b/>
                <w:bCs/>
              </w:rPr>
              <w:t>2030</w:t>
            </w:r>
          </w:p>
        </w:tc>
        <w:tc>
          <w:tcPr>
            <w:tcW w:w="6934" w:type="dxa"/>
          </w:tcPr>
          <w:p w14:paraId="32281EFF" w14:textId="77777777" w:rsidR="003E7236" w:rsidRPr="003E44AB" w:rsidRDefault="003E7236">
            <w:pPr>
              <w:pStyle w:val="Tabletext"/>
            </w:pPr>
            <w:r w:rsidRPr="003E44AB">
              <w:t>45–50% emissions reduction</w:t>
            </w:r>
          </w:p>
        </w:tc>
      </w:tr>
      <w:tr w:rsidR="003E7236" w:rsidRPr="003E44AB" w14:paraId="5F5EBC55" w14:textId="77777777" w:rsidTr="00223B10">
        <w:trPr>
          <w:cantSplit/>
        </w:trPr>
        <w:tc>
          <w:tcPr>
            <w:tcW w:w="2684" w:type="dxa"/>
          </w:tcPr>
          <w:p w14:paraId="700DF662" w14:textId="77777777" w:rsidR="003E7236" w:rsidRPr="003E44AB" w:rsidRDefault="003E7236" w:rsidP="00223B10">
            <w:pPr>
              <w:pStyle w:val="Tabletext"/>
              <w:jc w:val="center"/>
              <w:rPr>
                <w:b/>
                <w:bCs/>
              </w:rPr>
            </w:pPr>
            <w:r w:rsidRPr="003E44AB">
              <w:rPr>
                <w:b/>
                <w:bCs/>
              </w:rPr>
              <w:t>2035</w:t>
            </w:r>
          </w:p>
        </w:tc>
        <w:tc>
          <w:tcPr>
            <w:tcW w:w="6934" w:type="dxa"/>
          </w:tcPr>
          <w:p w14:paraId="62B1F05B" w14:textId="77777777" w:rsidR="003E7236" w:rsidRPr="003E44AB" w:rsidRDefault="003E7236">
            <w:pPr>
              <w:pStyle w:val="Tabletext"/>
            </w:pPr>
            <w:r w:rsidRPr="003E44AB">
              <w:t>75–80% emissions reduction</w:t>
            </w:r>
          </w:p>
        </w:tc>
      </w:tr>
      <w:tr w:rsidR="003E7236" w:rsidRPr="003E44AB" w14:paraId="1B14D5DD" w14:textId="77777777" w:rsidTr="00223B10">
        <w:trPr>
          <w:cantSplit/>
        </w:trPr>
        <w:tc>
          <w:tcPr>
            <w:tcW w:w="2684" w:type="dxa"/>
          </w:tcPr>
          <w:p w14:paraId="506BEA96" w14:textId="77777777" w:rsidR="003E7236" w:rsidRPr="003E44AB" w:rsidRDefault="003E7236" w:rsidP="00223B10">
            <w:pPr>
              <w:pStyle w:val="Tabletext"/>
              <w:jc w:val="center"/>
              <w:rPr>
                <w:b/>
                <w:bCs/>
              </w:rPr>
            </w:pPr>
            <w:r w:rsidRPr="003E44AB">
              <w:rPr>
                <w:b/>
                <w:bCs/>
              </w:rPr>
              <w:t>2045</w:t>
            </w:r>
          </w:p>
        </w:tc>
        <w:tc>
          <w:tcPr>
            <w:tcW w:w="6934" w:type="dxa"/>
          </w:tcPr>
          <w:p w14:paraId="571350EF" w14:textId="77777777" w:rsidR="003E7236" w:rsidRPr="003E44AB" w:rsidRDefault="003E7236">
            <w:pPr>
              <w:pStyle w:val="Tabletext"/>
            </w:pPr>
            <w:r w:rsidRPr="003E44AB">
              <w:t>Net-zero emissions</w:t>
            </w:r>
          </w:p>
        </w:tc>
      </w:tr>
    </w:tbl>
    <w:p w14:paraId="36216028" w14:textId="77777777" w:rsidR="00CF06E1" w:rsidRPr="003E44AB" w:rsidRDefault="00CF06E1">
      <w:pPr>
        <w:pStyle w:val="Heading1"/>
        <w:pageBreakBefore/>
      </w:pPr>
      <w:r w:rsidRPr="003E44AB">
        <w:lastRenderedPageBreak/>
        <w:t>Invest in Victoria’s renewable fuels sector</w:t>
      </w:r>
      <w:bookmarkEnd w:id="4"/>
    </w:p>
    <w:p w14:paraId="6B2E8AEB" w14:textId="77777777" w:rsidR="00910420" w:rsidRPr="003E44AB" w:rsidRDefault="00910420">
      <w:pPr>
        <w:pStyle w:val="Heading2"/>
      </w:pPr>
      <w:r w:rsidRPr="003E44AB">
        <w:t>A developing sector</w:t>
      </w:r>
    </w:p>
    <w:p w14:paraId="7394535A" w14:textId="77777777" w:rsidR="00910420" w:rsidRPr="003E44AB" w:rsidRDefault="00910420">
      <w:pPr>
        <w:pStyle w:val="BodyText"/>
      </w:pPr>
      <w:r w:rsidRPr="003E44AB">
        <w:t>Victoria continues to explore how to best support the development of a competitive and sustainable Victorian renewable fuels sector.</w:t>
      </w:r>
    </w:p>
    <w:p w14:paraId="1C4E98D0" w14:textId="77777777" w:rsidR="00910420" w:rsidRPr="003E44AB" w:rsidRDefault="00910420">
      <w:pPr>
        <w:pStyle w:val="Heading2"/>
      </w:pPr>
      <w:r w:rsidRPr="003E44AB">
        <w:t>Committed targets</w:t>
      </w:r>
    </w:p>
    <w:p w14:paraId="0E491372" w14:textId="77777777" w:rsidR="00910420" w:rsidRPr="003E44AB" w:rsidRDefault="00910420">
      <w:pPr>
        <w:pStyle w:val="BodyText"/>
      </w:pPr>
      <w:r w:rsidRPr="003E44AB">
        <w:t>Victoria’s legislated decarbonisation target to reach net zero by 2045 will drive renewable fuels uptake in hard-to-abate sectors.</w:t>
      </w:r>
    </w:p>
    <w:p w14:paraId="247BB284" w14:textId="77777777" w:rsidR="00910420" w:rsidRPr="003E44AB" w:rsidRDefault="00910420">
      <w:pPr>
        <w:pStyle w:val="Heading2"/>
      </w:pPr>
      <w:r w:rsidRPr="003E44AB">
        <w:t>Strong demand</w:t>
      </w:r>
    </w:p>
    <w:p w14:paraId="387C2AF9" w14:textId="77777777" w:rsidR="00910420" w:rsidRPr="003E44AB" w:rsidRDefault="00910420">
      <w:pPr>
        <w:pStyle w:val="BodyText"/>
      </w:pPr>
      <w:r w:rsidRPr="003E44AB">
        <w:t>Aviation, shipping, industry and heavy transport create strong demand for renewable liquid and gaseous fuels.</w:t>
      </w:r>
    </w:p>
    <w:p w14:paraId="0E897511" w14:textId="77777777" w:rsidR="00910420" w:rsidRPr="003E44AB" w:rsidRDefault="00910420">
      <w:pPr>
        <w:pStyle w:val="Heading2"/>
      </w:pPr>
      <w:r w:rsidRPr="003E44AB">
        <w:t>Sustainable feedstocks</w:t>
      </w:r>
    </w:p>
    <w:p w14:paraId="4A5CC226" w14:textId="77777777" w:rsidR="00910420" w:rsidRPr="003E44AB" w:rsidRDefault="00910420">
      <w:pPr>
        <w:pStyle w:val="BodyText"/>
      </w:pPr>
      <w:r w:rsidRPr="003E44AB">
        <w:t>Victoria’s agricultural, forestry, municipal, waste and industrial sectors supply diverse, renewable carbon and waste streams.</w:t>
      </w:r>
    </w:p>
    <w:p w14:paraId="639115C0" w14:textId="77777777" w:rsidR="00910420" w:rsidRPr="003E44AB" w:rsidRDefault="00910420">
      <w:pPr>
        <w:pStyle w:val="Heading2"/>
      </w:pPr>
      <w:r w:rsidRPr="003E44AB">
        <w:t>Established infrastructure</w:t>
      </w:r>
    </w:p>
    <w:p w14:paraId="4FFC60CF" w14:textId="77777777" w:rsidR="00910420" w:rsidRPr="003E44AB" w:rsidRDefault="00910420">
      <w:pPr>
        <w:pStyle w:val="BodyText"/>
      </w:pPr>
      <w:r w:rsidRPr="003E44AB">
        <w:t>Access one of Australia’s 2 refineries, 4 deepwater ports, oilseed crushing facilities and fuel infrastructure.</w:t>
      </w:r>
    </w:p>
    <w:p w14:paraId="201ABAEB" w14:textId="77777777" w:rsidR="00910420" w:rsidRPr="003E44AB" w:rsidRDefault="00910420">
      <w:pPr>
        <w:pStyle w:val="Heading2"/>
      </w:pPr>
      <w:r w:rsidRPr="003E44AB">
        <w:t>Research excellence</w:t>
      </w:r>
    </w:p>
    <w:p w14:paraId="3C819B6B" w14:textId="77777777" w:rsidR="00910420" w:rsidRPr="003E44AB" w:rsidRDefault="00910420">
      <w:pPr>
        <w:pStyle w:val="BodyText"/>
      </w:pPr>
      <w:proofErr w:type="gramStart"/>
      <w:r w:rsidRPr="003E44AB">
        <w:t>World-class universities,</w:t>
      </w:r>
      <w:proofErr w:type="gramEnd"/>
      <w:r w:rsidRPr="003E44AB">
        <w:t xml:space="preserve"> applied research </w:t>
      </w:r>
      <w:proofErr w:type="gramStart"/>
      <w:r w:rsidRPr="003E44AB">
        <w:t>institutes</w:t>
      </w:r>
      <w:proofErr w:type="gramEnd"/>
      <w:r w:rsidRPr="003E44AB">
        <w:t xml:space="preserve"> and a skilled workforce accelerate commercialisation and reduce technology risk.</w:t>
      </w:r>
    </w:p>
    <w:p w14:paraId="53342DBD" w14:textId="77777777" w:rsidR="00910420" w:rsidRPr="003E44AB" w:rsidRDefault="00910420">
      <w:pPr>
        <w:pStyle w:val="Heading2"/>
      </w:pPr>
      <w:r w:rsidRPr="003E44AB">
        <w:lastRenderedPageBreak/>
        <w:t xml:space="preserve">Victoria </w:t>
      </w:r>
      <w:proofErr w:type="gramStart"/>
      <w:r w:rsidRPr="003E44AB">
        <w:t>at a glance</w:t>
      </w:r>
      <w:proofErr w:type="gramEnd"/>
    </w:p>
    <w:p w14:paraId="13CB8BA5" w14:textId="77777777" w:rsidR="00910420" w:rsidRPr="003E44AB" w:rsidRDefault="00910420">
      <w:pPr>
        <w:pStyle w:val="ListBullet"/>
      </w:pPr>
      <w:r w:rsidRPr="003E44AB">
        <w:t>Victoria is the fastest-growing state in the country with the population expected to reach 10.3 million by 2051.</w:t>
      </w:r>
      <w:r w:rsidRPr="003E44AB">
        <w:rPr>
          <w:rStyle w:val="FootnoteReference"/>
        </w:rPr>
        <w:footnoteReference w:id="3"/>
      </w:r>
    </w:p>
    <w:p w14:paraId="02B90692" w14:textId="77777777" w:rsidR="00910420" w:rsidRPr="003E44AB" w:rsidRDefault="00910420">
      <w:pPr>
        <w:pStyle w:val="ListBullet"/>
      </w:pPr>
      <w:r w:rsidRPr="003E44AB">
        <w:t>Victoria contributes nearly a quarter of Australia’s economic activity.</w:t>
      </w:r>
      <w:r w:rsidRPr="003E44AB">
        <w:rPr>
          <w:rStyle w:val="FootnoteReference"/>
        </w:rPr>
        <w:footnoteReference w:id="4"/>
      </w:r>
    </w:p>
    <w:p w14:paraId="0F3DC969" w14:textId="77777777" w:rsidR="00910420" w:rsidRPr="003E44AB" w:rsidRDefault="00910420">
      <w:pPr>
        <w:pStyle w:val="LastBulletinList"/>
      </w:pPr>
      <w:r w:rsidRPr="003E44AB">
        <w:t>Melbourne is ranked the world’s 3rd most liveable city and Australia’s most liveable city.</w:t>
      </w:r>
      <w:r w:rsidRPr="003E44AB">
        <w:rPr>
          <w:rStyle w:val="FootnoteReference"/>
        </w:rPr>
        <w:footnoteReference w:id="5"/>
      </w:r>
    </w:p>
    <w:p w14:paraId="68FA8152" w14:textId="3141C589" w:rsidR="00CF06E1" w:rsidRPr="003E44AB" w:rsidRDefault="00CF06E1">
      <w:pPr>
        <w:pStyle w:val="Heading1"/>
        <w:pageBreakBefore/>
      </w:pPr>
      <w:bookmarkStart w:id="5" w:name="_Toc243485846"/>
      <w:r w:rsidRPr="003E44AB">
        <w:lastRenderedPageBreak/>
        <w:t>Investment opportunities in low carbon liquid</w:t>
      </w:r>
      <w:r w:rsidR="001C5ACC" w:rsidRPr="003E44AB">
        <w:t> </w:t>
      </w:r>
      <w:r w:rsidRPr="003E44AB">
        <w:t>fuels</w:t>
      </w:r>
      <w:bookmarkEnd w:id="5"/>
    </w:p>
    <w:p w14:paraId="3BB7DF76" w14:textId="77777777" w:rsidR="00910420" w:rsidRPr="003E44AB" w:rsidRDefault="00910420" w:rsidP="001C5ACC">
      <w:pPr>
        <w:pStyle w:val="Introductoryparagraph"/>
        <w:spacing w:after="120"/>
      </w:pPr>
      <w:r w:rsidRPr="003E44AB">
        <w:t>While electrification and renewable electricity generation continues to expand across Victoria’s energy system, a material share of demand will remain reliant on liquid fuels.</w:t>
      </w:r>
    </w:p>
    <w:p w14:paraId="18047322" w14:textId="77777777" w:rsidR="00910420" w:rsidRPr="003E44AB" w:rsidRDefault="00910420">
      <w:pPr>
        <w:pStyle w:val="BodyText"/>
      </w:pPr>
      <w:r w:rsidRPr="003E44AB">
        <w:t>In sectors such as aviation, heavy transport, agriculture and high-temperature industries where electrification is not yet viable or cost-effective, there is a clear and growing investment opportunity. As these sectors seek to reduce emissions and strengthen fuel security, demand is emerging for scalable renewable fuel alternatives to complement the electrification transition. With more than half of Victoria’s current energy demand met by liquid fuels, the shift toward low-carbon liquid fuels represents a substantial and enduring market. This makes Victoria an ideal destination for investment in renewable fuels.</w:t>
      </w:r>
    </w:p>
    <w:p w14:paraId="7DC19AD7" w14:textId="5059410B" w:rsidR="00910420" w:rsidRPr="003E44AB" w:rsidRDefault="00910420" w:rsidP="001C5ACC">
      <w:pPr>
        <w:pStyle w:val="Caption"/>
        <w:keepNext/>
        <w:spacing w:after="240"/>
      </w:pPr>
      <w:r w:rsidRPr="003E44AB">
        <w:lastRenderedPageBreak/>
        <w:t xml:space="preserve">Figure </w:t>
      </w:r>
      <w:fldSimple w:instr=" SEQ Figure \* ARABIC \* MERGEFORMAT ">
        <w:r w:rsidR="00362FCF" w:rsidRPr="003E44AB">
          <w:t>2</w:t>
        </w:r>
      </w:fldSimple>
      <w:r w:rsidRPr="003E44AB">
        <w:t xml:space="preserve">: </w:t>
      </w:r>
      <w:r w:rsidRPr="003E44AB">
        <w:rPr>
          <w:b w:val="0"/>
          <w:bCs/>
        </w:rPr>
        <w:t>Victorian liquid fuel consumption and end use</w:t>
      </w:r>
      <w:r w:rsidRPr="003E44AB">
        <w:rPr>
          <w:rStyle w:val="FootnoteReference"/>
        </w:rPr>
        <w:footnoteReference w:id="6"/>
      </w:r>
    </w:p>
    <w:p w14:paraId="588A9F78" w14:textId="095EC703" w:rsidR="00206D65" w:rsidRPr="003E44AB" w:rsidRDefault="00206D65">
      <w:pPr>
        <w:pStyle w:val="BodyText"/>
        <w:rPr>
          <w:highlight w:val="yellow"/>
        </w:rPr>
      </w:pPr>
      <w:r w:rsidRPr="003E44AB">
        <w:rPr>
          <w:noProof/>
        </w:rPr>
        <w:drawing>
          <wp:inline distT="0" distB="0" distL="0" distR="0" wp14:anchorId="14057BC2" wp14:editId="3171FF1D">
            <wp:extent cx="6108192" cy="3756303"/>
            <wp:effectExtent l="0" t="0" r="635" b="3175"/>
            <wp:docPr id="1632192360" name="Picture 2" descr="Diagram shows Victorian liquid fuel types and end uses arranged from simplest to hardest to electr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2360" name="Picture 2" descr="Diagram shows Victorian liquid fuel types and end uses arranged from simplest to hardest to electrify."/>
                    <pic:cNvPicPr/>
                  </pic:nvPicPr>
                  <pic:blipFill>
                    <a:blip r:embed="rId16"/>
                    <a:stretch>
                      <a:fillRect/>
                    </a:stretch>
                  </pic:blipFill>
                  <pic:spPr>
                    <a:xfrm>
                      <a:off x="0" y="0"/>
                      <a:ext cx="6190563" cy="3806958"/>
                    </a:xfrm>
                    <a:prstGeom prst="rect">
                      <a:avLst/>
                    </a:prstGeom>
                  </pic:spPr>
                </pic:pic>
              </a:graphicData>
            </a:graphic>
          </wp:inline>
        </w:drawing>
      </w:r>
    </w:p>
    <w:p w14:paraId="43D19BB4" w14:textId="77777777" w:rsidR="00910420" w:rsidRPr="003E44AB" w:rsidRDefault="00910420">
      <w:pPr>
        <w:pStyle w:val="Normalbeforebullets"/>
      </w:pPr>
      <w:r w:rsidRPr="003E44AB">
        <w:t>Figure 2 shows how Victoria’s fossil liquid fuel demand flows from each fuel type to its end use. The fuel types are aviation fuel, fuel oil, other petroleum products, diesel, liquefied petroleum gas (LPG) and petrol, with diesel and petrol the largest. End uses are ranked from hardest to simplest to electrify:</w:t>
      </w:r>
    </w:p>
    <w:p w14:paraId="5B4F1F4E" w14:textId="77777777" w:rsidR="00910420" w:rsidRPr="003E44AB" w:rsidRDefault="00910420">
      <w:pPr>
        <w:pStyle w:val="ListBullet"/>
      </w:pPr>
      <w:r w:rsidRPr="003E44AB">
        <w:t>Aviation (hardest to electrify): supplied by aviation fuel</w:t>
      </w:r>
    </w:p>
    <w:p w14:paraId="0570E827" w14:textId="77777777" w:rsidR="00910420" w:rsidRPr="003E44AB" w:rsidRDefault="00910420">
      <w:pPr>
        <w:pStyle w:val="ListBullet"/>
      </w:pPr>
      <w:r w:rsidRPr="003E44AB">
        <w:t>Shipping: supplied mainly by fuel oil, with small amounts of diesel, LPG and petrol</w:t>
      </w:r>
    </w:p>
    <w:p w14:paraId="5786DA76" w14:textId="77777777" w:rsidR="00910420" w:rsidRPr="003E44AB" w:rsidRDefault="00910420">
      <w:pPr>
        <w:pStyle w:val="ListBullet"/>
      </w:pPr>
      <w:r w:rsidRPr="003E44AB">
        <w:t>Heavy road and rail transport: supplied mainly by diesel and other petroleum products</w:t>
      </w:r>
    </w:p>
    <w:p w14:paraId="6B77C6D8" w14:textId="77777777" w:rsidR="00910420" w:rsidRPr="003E44AB" w:rsidRDefault="00910420">
      <w:pPr>
        <w:pStyle w:val="ListBullet"/>
      </w:pPr>
      <w:r w:rsidRPr="003E44AB">
        <w:t>Agricultural, resources, manufacturing and construction fuel use: supplied by diesel, other petroleum products, fuel oil, LPG and petrol</w:t>
      </w:r>
    </w:p>
    <w:p w14:paraId="6D142E79" w14:textId="77777777" w:rsidR="00910420" w:rsidRPr="003E44AB" w:rsidRDefault="00910420">
      <w:pPr>
        <w:pStyle w:val="ListBullet"/>
      </w:pPr>
      <w:r w:rsidRPr="003E44AB">
        <w:lastRenderedPageBreak/>
        <w:t>Other uses: supplied by small amounts of diesel and LPG</w:t>
      </w:r>
    </w:p>
    <w:p w14:paraId="3A47C846" w14:textId="77777777" w:rsidR="00910420" w:rsidRPr="003E44AB" w:rsidRDefault="00910420">
      <w:pPr>
        <w:pStyle w:val="LastBulletinList"/>
      </w:pPr>
      <w:r w:rsidRPr="003E44AB">
        <w:t>Passenger and light commercial transport (simplest to electrify): supplied mainly by petrol, with some diesel and LPG.</w:t>
      </w:r>
    </w:p>
    <w:p w14:paraId="6EDB0A0E" w14:textId="77777777" w:rsidR="00910420" w:rsidRPr="003E44AB" w:rsidRDefault="00910420">
      <w:pPr>
        <w:pStyle w:val="BodyText"/>
      </w:pPr>
      <w:r w:rsidRPr="003E44AB">
        <w:t>Aviation, shipping and heavy transport, which are hardest to electrify, are where low carbon liquid fuels offer the greatest opportunity.</w:t>
      </w:r>
    </w:p>
    <w:p w14:paraId="1363C4E4" w14:textId="77777777" w:rsidR="00CF06E1" w:rsidRPr="003E44AB" w:rsidRDefault="00CF06E1">
      <w:pPr>
        <w:pStyle w:val="Heading1"/>
        <w:pageBreakBefore/>
      </w:pPr>
      <w:bookmarkStart w:id="6" w:name="_Toc243485847"/>
      <w:r w:rsidRPr="003E44AB">
        <w:lastRenderedPageBreak/>
        <w:t>Drivers of low carbon liquid fuel (LCLF) uptake</w:t>
      </w:r>
      <w:bookmarkEnd w:id="6"/>
    </w:p>
    <w:p w14:paraId="6F594852" w14:textId="77777777" w:rsidR="00910420" w:rsidRPr="003E44AB" w:rsidRDefault="00910420">
      <w:pPr>
        <w:pStyle w:val="Heading2"/>
      </w:pPr>
      <w:r w:rsidRPr="003E44AB">
        <w:t>Emissions policies</w:t>
      </w:r>
    </w:p>
    <w:p w14:paraId="4F385478" w14:textId="77777777" w:rsidR="00910420" w:rsidRPr="003E44AB" w:rsidRDefault="00910420">
      <w:pPr>
        <w:pStyle w:val="BodyText"/>
      </w:pPr>
      <w:r w:rsidRPr="003E44AB">
        <w:t>Australia’s Safeguard Mechanism puts declining emissions limits on large emitters. The mechanism will continue to evolve and drive the uptake of low carbon liquid fuels.</w:t>
      </w:r>
    </w:p>
    <w:p w14:paraId="3F0D61FA" w14:textId="77777777" w:rsidR="00910420" w:rsidRPr="003E44AB" w:rsidRDefault="00910420">
      <w:pPr>
        <w:pStyle w:val="Heading2"/>
      </w:pPr>
      <w:r w:rsidRPr="003E44AB">
        <w:t>Demand side measures</w:t>
      </w:r>
    </w:p>
    <w:p w14:paraId="7F747A40" w14:textId="77777777" w:rsidR="00910420" w:rsidRPr="003E44AB" w:rsidRDefault="00910420">
      <w:pPr>
        <w:pStyle w:val="BodyText"/>
      </w:pPr>
      <w:r w:rsidRPr="003E44AB">
        <w:t xml:space="preserve">Alongside the $1.1 billion Cleaner Fuels Program announced in 2025, the </w:t>
      </w:r>
      <w:r w:rsidRPr="003E44AB">
        <w:rPr>
          <w:i/>
        </w:rPr>
        <w:t>2026–27 Australian Federal Budget</w:t>
      </w:r>
      <w:r w:rsidRPr="003E44AB">
        <w:t xml:space="preserve"> outlined the introduction of a demand measure for new Australian low carbon liquid fuel production.</w:t>
      </w:r>
    </w:p>
    <w:p w14:paraId="3282DF90" w14:textId="1172E2DF" w:rsidR="00910420" w:rsidRPr="003E44AB" w:rsidRDefault="00910420" w:rsidP="00DE11C9">
      <w:pPr>
        <w:pStyle w:val="BodyText"/>
        <w:ind w:right="-143"/>
      </w:pPr>
      <w:r w:rsidRPr="003E44AB">
        <w:t xml:space="preserve">For more information, visit the </w:t>
      </w:r>
      <w:hyperlink r:id="rId17" w:tooltip="Opens the Department of Climate Change, Energy, the Environment and Water consultation page about securing Australia’s cleaner fuels industry" w:history="1">
        <w:r w:rsidRPr="003E44AB">
          <w:rPr>
            <w:rStyle w:val="Hyperlink"/>
          </w:rPr>
          <w:t>Securing Australia’s cleaner fuels industry consultation page</w:t>
        </w:r>
      </w:hyperlink>
      <w:r w:rsidRPr="003E44AB">
        <w:t>.</w:t>
      </w:r>
    </w:p>
    <w:p w14:paraId="61C769F5" w14:textId="77777777" w:rsidR="00910420" w:rsidRPr="003E44AB" w:rsidRDefault="00910420">
      <w:pPr>
        <w:pStyle w:val="Heading2"/>
      </w:pPr>
      <w:r w:rsidRPr="003E44AB">
        <w:t>Growing demand</w:t>
      </w:r>
    </w:p>
    <w:p w14:paraId="3A38C341" w14:textId="77777777" w:rsidR="00910420" w:rsidRPr="003E44AB" w:rsidRDefault="00910420">
      <w:pPr>
        <w:pStyle w:val="BodyText"/>
      </w:pPr>
      <w:r w:rsidRPr="003E44AB">
        <w:t>Melbourne is projected to become Australia’s most populous city by the early 2030s, increasing demand for energy and fuels in hard-to-electrify use cases.</w:t>
      </w:r>
    </w:p>
    <w:p w14:paraId="2EA779FE" w14:textId="77777777" w:rsidR="00910420" w:rsidRPr="003E44AB" w:rsidRDefault="00910420">
      <w:pPr>
        <w:pStyle w:val="Heading2"/>
      </w:pPr>
      <w:r w:rsidRPr="003E44AB">
        <w:t>Existing infrastructure</w:t>
      </w:r>
    </w:p>
    <w:p w14:paraId="69FFD5E5" w14:textId="77777777" w:rsidR="00910420" w:rsidRPr="003E44AB" w:rsidRDefault="00910420">
      <w:pPr>
        <w:pStyle w:val="BodyText"/>
      </w:pPr>
      <w:r w:rsidRPr="003E44AB">
        <w:t>Many LCLFs can use existing fuel storage and distribution infrastructure for faster adoption with lower implementation risk.</w:t>
      </w:r>
    </w:p>
    <w:p w14:paraId="16BD9D1E" w14:textId="77777777" w:rsidR="00910420" w:rsidRPr="003E44AB" w:rsidRDefault="00910420">
      <w:pPr>
        <w:pStyle w:val="Heading2"/>
      </w:pPr>
      <w:r w:rsidRPr="003E44AB">
        <w:lastRenderedPageBreak/>
        <w:t xml:space="preserve">Case study: Just </w:t>
      </w:r>
      <w:proofErr w:type="spellStart"/>
      <w:r w:rsidRPr="003E44AB">
        <w:t>BioChem</w:t>
      </w:r>
      <w:proofErr w:type="spellEnd"/>
    </w:p>
    <w:p w14:paraId="03414319" w14:textId="77777777" w:rsidR="00910420" w:rsidRPr="003E44AB" w:rsidRDefault="00910420">
      <w:pPr>
        <w:pStyle w:val="Heading3"/>
      </w:pPr>
      <w:r w:rsidRPr="003E44AB">
        <w:t>Low carbon liquid fuel</w:t>
      </w:r>
    </w:p>
    <w:p w14:paraId="79B7B639" w14:textId="77777777" w:rsidR="00910420" w:rsidRPr="003E44AB" w:rsidRDefault="00910420">
      <w:pPr>
        <w:pStyle w:val="BodyText"/>
      </w:pPr>
      <w:r w:rsidRPr="003E44AB">
        <w:t xml:space="preserve">Just </w:t>
      </w:r>
      <w:proofErr w:type="spellStart"/>
      <w:r w:rsidRPr="003E44AB">
        <w:t>BioChem</w:t>
      </w:r>
      <w:proofErr w:type="spellEnd"/>
      <w:r w:rsidRPr="003E44AB">
        <w:t xml:space="preserve"> is a key contributor to Victoria’s existing renewable fuel capacity and supply, specialising in biodiesel production. The company operates a state-of-the-art biodiesel manufacturing facility located in Barnawartha, Victoria.</w:t>
      </w:r>
    </w:p>
    <w:p w14:paraId="17D6A5FE" w14:textId="77777777" w:rsidR="00910420" w:rsidRPr="003E44AB" w:rsidRDefault="00910420">
      <w:pPr>
        <w:pStyle w:val="BodyText"/>
      </w:pPr>
      <w:r w:rsidRPr="003E44AB">
        <w:t>This facility was constructed in 2006 for $70 million. The feedstock for making biodiesel is a combination of canola, tallow and used cooking oil (UCO). The canola oil and tallows are sourced from regional processing facilities, and the UCO is collected from restaurants across the country.</w:t>
      </w:r>
    </w:p>
    <w:p w14:paraId="20AAC04A" w14:textId="77777777" w:rsidR="00910420" w:rsidRPr="003E44AB" w:rsidRDefault="00910420">
      <w:pPr>
        <w:pStyle w:val="BodyText"/>
      </w:pPr>
      <w:r w:rsidRPr="003E44AB">
        <w:t>Just Biodiesel supplies biofuel to Viva Energy and Refuelling Solutions that is blended with mineral diesel at a ratio of around 5%. This blend is currently used in various sectors, showcasing the practical application of biodiesel in reducing carbon emissions.</w:t>
      </w:r>
    </w:p>
    <w:p w14:paraId="2F83A2BC" w14:textId="77777777" w:rsidR="00CF06E1" w:rsidRPr="003E44AB" w:rsidRDefault="00CF06E1">
      <w:pPr>
        <w:pStyle w:val="Heading1"/>
        <w:pageBreakBefore/>
      </w:pPr>
      <w:bookmarkStart w:id="7" w:name="_Toc243485848"/>
      <w:r w:rsidRPr="003E44AB">
        <w:lastRenderedPageBreak/>
        <w:t>Investment focus on Sustainable Aviation Fuels</w:t>
      </w:r>
      <w:bookmarkEnd w:id="7"/>
    </w:p>
    <w:p w14:paraId="74E9EAC8" w14:textId="77777777" w:rsidR="00910420" w:rsidRPr="003E44AB" w:rsidRDefault="00910420">
      <w:pPr>
        <w:pStyle w:val="Introductoryparagraph"/>
      </w:pPr>
      <w:r w:rsidRPr="003E44AB">
        <w:t>Melbourne is a globally connected city, with forecast growth in air travel providing an increasing, domestic market opportunity for Sustainable Aviation Fuel (SAF).</w:t>
      </w:r>
    </w:p>
    <w:p w14:paraId="4CE10293" w14:textId="77777777" w:rsidR="00910420" w:rsidRPr="003E44AB" w:rsidRDefault="00910420">
      <w:pPr>
        <w:pStyle w:val="BodyText"/>
      </w:pPr>
      <w:r w:rsidRPr="003E44AB">
        <w:t>Victoria is home to 2 international airports, including Australia’s largest 24-hour airport. Demand for both domestic and international flights is projected to grow to 75 million passengers by 2045. Most domestic and international routes from Victoria’s airports are subject to increasing emissions mandates. This represents a clear demand signal for SAF in Victoria.</w:t>
      </w:r>
    </w:p>
    <w:p w14:paraId="6F2CAE45" w14:textId="7BF9C042" w:rsidR="00910420" w:rsidRPr="003E44AB" w:rsidRDefault="00910420">
      <w:pPr>
        <w:pStyle w:val="Caption"/>
        <w:keepNext/>
      </w:pPr>
      <w:bookmarkStart w:id="8" w:name="_Ref243561411"/>
      <w:r w:rsidRPr="003E44AB">
        <w:t xml:space="preserve">Figure </w:t>
      </w:r>
      <w:fldSimple w:instr=" SEQ Figure \* ARABIC \* MERGEFORMAT ">
        <w:r w:rsidR="00362FCF" w:rsidRPr="003E44AB">
          <w:t>3</w:t>
        </w:r>
      </w:fldSimple>
      <w:bookmarkEnd w:id="8"/>
      <w:r w:rsidRPr="003E44AB">
        <w:t xml:space="preserve">: </w:t>
      </w:r>
      <w:r w:rsidRPr="003E44AB">
        <w:rPr>
          <w:b w:val="0"/>
          <w:bCs/>
        </w:rPr>
        <w:t xml:space="preserve">Aviation </w:t>
      </w:r>
      <w:r w:rsidR="002D4337">
        <w:rPr>
          <w:b w:val="0"/>
          <w:bCs/>
        </w:rPr>
        <w:t xml:space="preserve">passenger </w:t>
      </w:r>
      <w:r w:rsidRPr="003E44AB">
        <w:rPr>
          <w:b w:val="0"/>
          <w:bCs/>
        </w:rPr>
        <w:t>growth in Victoria</w:t>
      </w:r>
      <w:r w:rsidRPr="003E44AB">
        <w:rPr>
          <w:rStyle w:val="FootnoteReference"/>
        </w:rPr>
        <w:footnoteReference w:id="7"/>
      </w:r>
    </w:p>
    <w:p w14:paraId="0FDCD592" w14:textId="0C348876" w:rsidR="00024974" w:rsidRPr="003E44AB" w:rsidRDefault="00132C71">
      <w:pPr>
        <w:pStyle w:val="BodyText"/>
        <w:rPr>
          <w:highlight w:val="yellow"/>
        </w:rPr>
      </w:pPr>
      <w:r w:rsidRPr="003E44AB">
        <w:rPr>
          <w:noProof/>
        </w:rPr>
        <w:drawing>
          <wp:inline distT="0" distB="0" distL="0" distR="0" wp14:anchorId="5663BB5B" wp14:editId="095AC7C4">
            <wp:extent cx="6120130" cy="2894330"/>
            <wp:effectExtent l="0" t="0" r="1270" b="1270"/>
            <wp:docPr id="839375662" name="Picture 6" descr="Chart shows historical and forecast domestic and international passenger numbers in Victoria from 1990 to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662" name="Picture 6" descr="Chart shows historical and forecast domestic and international passenger numbers in Victoria from 1990 to 2050."/>
                    <pic:cNvPicPr/>
                  </pic:nvPicPr>
                  <pic:blipFill>
                    <a:blip r:embed="rId18"/>
                    <a:stretch>
                      <a:fillRect/>
                    </a:stretch>
                  </pic:blipFill>
                  <pic:spPr>
                    <a:xfrm>
                      <a:off x="0" y="0"/>
                      <a:ext cx="6120130" cy="2894330"/>
                    </a:xfrm>
                    <a:prstGeom prst="rect">
                      <a:avLst/>
                    </a:prstGeom>
                  </pic:spPr>
                </pic:pic>
              </a:graphicData>
            </a:graphic>
          </wp:inline>
        </w:drawing>
      </w:r>
    </w:p>
    <w:p w14:paraId="019646C9" w14:textId="457EFD22" w:rsidR="00910420" w:rsidRPr="003E44AB" w:rsidRDefault="00CE3316">
      <w:pPr>
        <w:pStyle w:val="Normalbeforebullets"/>
      </w:pPr>
      <w:r w:rsidRPr="003E44AB">
        <w:lastRenderedPageBreak/>
        <w:fldChar w:fldCharType="begin"/>
      </w:r>
      <w:r w:rsidRPr="003E44AB">
        <w:instrText xml:space="preserve"> REF _Ref243561411 \h </w:instrText>
      </w:r>
      <w:r w:rsidRPr="003E44AB">
        <w:fldChar w:fldCharType="separate"/>
      </w:r>
      <w:r w:rsidR="00362FCF" w:rsidRPr="003E44AB">
        <w:t>Figure 3</w:t>
      </w:r>
      <w:r w:rsidRPr="003E44AB">
        <w:fldChar w:fldCharType="end"/>
      </w:r>
      <w:r w:rsidR="00910420" w:rsidRPr="003E44AB">
        <w:t xml:space="preserve"> is a stacked area chart of total air passengers in Victoria in millions of passengers per annum (p.a.), split into domestic and international, from 1990 to 2050. It shows:</w:t>
      </w:r>
    </w:p>
    <w:p w14:paraId="7D26474F" w14:textId="77777777" w:rsidR="00910420" w:rsidRPr="003E44AB" w:rsidRDefault="00910420">
      <w:pPr>
        <w:pStyle w:val="ListBullet"/>
      </w:pPr>
      <w:r w:rsidRPr="003E44AB">
        <w:t>steady growth from about 7 million passengers in 1990 to about 37 million in 2019, of which about 25 million were domestic</w:t>
      </w:r>
    </w:p>
    <w:p w14:paraId="408AAE0B" w14:textId="77777777" w:rsidR="00910420" w:rsidRPr="003E44AB" w:rsidRDefault="00910420">
      <w:pPr>
        <w:pStyle w:val="ListBullet"/>
      </w:pPr>
      <w:r w:rsidRPr="003E44AB">
        <w:t>a sharp fall to about 7 million passengers in 2020 and 2021, during the COVID-19 pandemic</w:t>
      </w:r>
    </w:p>
    <w:p w14:paraId="2343A31B" w14:textId="77777777" w:rsidR="00910420" w:rsidRPr="003E44AB" w:rsidRDefault="00910420">
      <w:pPr>
        <w:pStyle w:val="ListBullet"/>
      </w:pPr>
      <w:r w:rsidRPr="003E44AB">
        <w:t>a rapid recovery from 2022, with forecast growth to almost 50 million passengers by 2030</w:t>
      </w:r>
    </w:p>
    <w:p w14:paraId="74D504BE" w14:textId="17C6099B" w:rsidR="00910420" w:rsidRPr="003E44AB" w:rsidRDefault="00910420">
      <w:pPr>
        <w:pStyle w:val="LastBulletinList"/>
      </w:pPr>
      <w:r w:rsidRPr="003E44AB">
        <w:t>continued forecast growth to more than 75 million passengers by 2045 and about 80</w:t>
      </w:r>
      <w:r w:rsidR="005D3890" w:rsidRPr="003E44AB">
        <w:t> </w:t>
      </w:r>
      <w:r w:rsidRPr="003E44AB">
        <w:t>million by 2050, of which about 54 million are domestic.</w:t>
      </w:r>
    </w:p>
    <w:p w14:paraId="2B23E73C" w14:textId="0041BF6A" w:rsidR="00910420" w:rsidRPr="003E44AB" w:rsidRDefault="00910420">
      <w:pPr>
        <w:pStyle w:val="Caption"/>
        <w:keepNext/>
      </w:pPr>
      <w:r w:rsidRPr="003E44AB">
        <w:t xml:space="preserve">Table </w:t>
      </w:r>
      <w:fldSimple w:instr=" SEQ Table \* ARABIC \* MERGEFORMAT ">
        <w:r w:rsidR="00362FCF" w:rsidRPr="003E44AB">
          <w:t>2</w:t>
        </w:r>
      </w:fldSimple>
      <w:r w:rsidRPr="003E44AB">
        <w:t xml:space="preserve">: </w:t>
      </w:r>
      <w:r w:rsidRPr="003E44AB">
        <w:rPr>
          <w:b w:val="0"/>
          <w:bCs/>
        </w:rPr>
        <w:t xml:space="preserve">Victoria’s aviation market </w:t>
      </w:r>
      <w:proofErr w:type="gramStart"/>
      <w:r w:rsidRPr="003E44AB">
        <w:rPr>
          <w:b w:val="0"/>
          <w:bCs/>
        </w:rPr>
        <w:t>at a glance</w:t>
      </w:r>
      <w:proofErr w:type="gramEnd"/>
    </w:p>
    <w:tbl>
      <w:tblPr>
        <w:tblStyle w:val="Style2"/>
        <w:tblW w:w="0" w:type="auto"/>
        <w:tblLook w:val="04A0" w:firstRow="1" w:lastRow="0" w:firstColumn="1" w:lastColumn="0" w:noHBand="0" w:noVBand="1"/>
        <w:tblCaption w:val="Victoria’s aviation market at a glance"/>
        <w:tblDescription w:val="Table with 2 columns, Value and Measure, listing 4 key aviation facts: more than 75 million passengers by 2045; more than 70 non-stop destinations from Melbourne today; 100% of domestic Qantas Group and Virgin Australia flight emissions covered by the Safeguard Mechanism; and more than 96% of international flights from Melbourne expected to operate on CORSIA-covered routes from 2027."/>
      </w:tblPr>
      <w:tblGrid>
        <w:gridCol w:w="2117"/>
        <w:gridCol w:w="7501"/>
      </w:tblGrid>
      <w:tr w:rsidR="003E7236" w:rsidRPr="003E44AB" w14:paraId="1D8E9FBC" w14:textId="77777777" w:rsidTr="001C5ACC">
        <w:trPr>
          <w:cnfStyle w:val="100000000000" w:firstRow="1" w:lastRow="0" w:firstColumn="0" w:lastColumn="0" w:oddVBand="0" w:evenVBand="0" w:oddHBand="0" w:evenHBand="0" w:firstRowFirstColumn="0" w:firstRowLastColumn="0" w:lastRowFirstColumn="0" w:lastRowLastColumn="0"/>
          <w:cantSplit/>
          <w:tblHeader/>
        </w:trPr>
        <w:tc>
          <w:tcPr>
            <w:tcW w:w="2117" w:type="dxa"/>
          </w:tcPr>
          <w:p w14:paraId="372ED28F" w14:textId="77777777" w:rsidR="003E7236" w:rsidRPr="003E44AB" w:rsidRDefault="003E7236" w:rsidP="00C64563">
            <w:pPr>
              <w:pStyle w:val="Tabletext"/>
              <w:spacing w:line="240" w:lineRule="auto"/>
              <w:jc w:val="center"/>
            </w:pPr>
            <w:bookmarkStart w:id="9" w:name="_Toc243485849"/>
            <w:r w:rsidRPr="003E44AB">
              <w:t>Value</w:t>
            </w:r>
          </w:p>
        </w:tc>
        <w:tc>
          <w:tcPr>
            <w:tcW w:w="7501" w:type="dxa"/>
          </w:tcPr>
          <w:p w14:paraId="1A5081C2" w14:textId="77777777" w:rsidR="003E7236" w:rsidRPr="003E44AB" w:rsidRDefault="003E7236" w:rsidP="00C64563">
            <w:pPr>
              <w:pStyle w:val="Tabletext"/>
              <w:spacing w:line="240" w:lineRule="auto"/>
            </w:pPr>
            <w:r w:rsidRPr="003E44AB">
              <w:t>Measure</w:t>
            </w:r>
          </w:p>
        </w:tc>
      </w:tr>
      <w:tr w:rsidR="003E7236" w:rsidRPr="003E44AB" w14:paraId="0A8F91A7" w14:textId="77777777" w:rsidTr="001C5ACC">
        <w:trPr>
          <w:cantSplit/>
        </w:trPr>
        <w:tc>
          <w:tcPr>
            <w:tcW w:w="2117" w:type="dxa"/>
          </w:tcPr>
          <w:p w14:paraId="0392A1E1" w14:textId="77777777" w:rsidR="003E7236" w:rsidRPr="003E44AB" w:rsidRDefault="003E7236" w:rsidP="00C64563">
            <w:pPr>
              <w:pStyle w:val="Tabletext"/>
              <w:jc w:val="center"/>
              <w:rPr>
                <w:b/>
                <w:bCs/>
              </w:rPr>
            </w:pPr>
            <w:r w:rsidRPr="003E44AB">
              <w:rPr>
                <w:b/>
                <w:bCs/>
              </w:rPr>
              <w:t>75 million+</w:t>
            </w:r>
          </w:p>
        </w:tc>
        <w:tc>
          <w:tcPr>
            <w:tcW w:w="7501" w:type="dxa"/>
          </w:tcPr>
          <w:p w14:paraId="2B58D928" w14:textId="77777777" w:rsidR="003E7236" w:rsidRPr="003E44AB" w:rsidRDefault="003E7236">
            <w:pPr>
              <w:pStyle w:val="Tabletext"/>
            </w:pPr>
            <w:r w:rsidRPr="003E44AB">
              <w:t>Passengers by 2045</w:t>
            </w:r>
          </w:p>
        </w:tc>
      </w:tr>
      <w:tr w:rsidR="003E7236" w:rsidRPr="003E44AB" w14:paraId="5F6EEB6E" w14:textId="77777777" w:rsidTr="001C5ACC">
        <w:trPr>
          <w:cantSplit/>
        </w:trPr>
        <w:tc>
          <w:tcPr>
            <w:tcW w:w="2117" w:type="dxa"/>
          </w:tcPr>
          <w:p w14:paraId="40D35709" w14:textId="77777777" w:rsidR="003E7236" w:rsidRPr="003E44AB" w:rsidRDefault="003E7236" w:rsidP="00C64563">
            <w:pPr>
              <w:pStyle w:val="Tabletext"/>
              <w:jc w:val="center"/>
              <w:rPr>
                <w:b/>
                <w:bCs/>
              </w:rPr>
            </w:pPr>
            <w:r w:rsidRPr="003E44AB">
              <w:rPr>
                <w:b/>
                <w:bCs/>
              </w:rPr>
              <w:t>70+</w:t>
            </w:r>
          </w:p>
        </w:tc>
        <w:tc>
          <w:tcPr>
            <w:tcW w:w="7501" w:type="dxa"/>
          </w:tcPr>
          <w:p w14:paraId="06BEC3EC" w14:textId="77777777" w:rsidR="003E7236" w:rsidRPr="003E44AB" w:rsidRDefault="003E7236">
            <w:pPr>
              <w:pStyle w:val="Tabletext"/>
            </w:pPr>
            <w:r w:rsidRPr="003E44AB">
              <w:t>Non-stop destinations from Melbourne today</w:t>
            </w:r>
          </w:p>
        </w:tc>
      </w:tr>
      <w:tr w:rsidR="003E7236" w:rsidRPr="003E44AB" w14:paraId="53156D5F" w14:textId="77777777" w:rsidTr="001C5ACC">
        <w:trPr>
          <w:cantSplit/>
        </w:trPr>
        <w:tc>
          <w:tcPr>
            <w:tcW w:w="2117" w:type="dxa"/>
          </w:tcPr>
          <w:p w14:paraId="3D4ACBBA" w14:textId="77777777" w:rsidR="003E7236" w:rsidRPr="003E44AB" w:rsidRDefault="003E7236" w:rsidP="00C64563">
            <w:pPr>
              <w:pStyle w:val="Tabletext"/>
              <w:jc w:val="center"/>
              <w:rPr>
                <w:b/>
                <w:bCs/>
              </w:rPr>
            </w:pPr>
            <w:r w:rsidRPr="003E44AB">
              <w:rPr>
                <w:b/>
                <w:bCs/>
              </w:rPr>
              <w:t>100%</w:t>
            </w:r>
          </w:p>
        </w:tc>
        <w:tc>
          <w:tcPr>
            <w:tcW w:w="7501" w:type="dxa"/>
          </w:tcPr>
          <w:p w14:paraId="79768691" w14:textId="77777777" w:rsidR="003E7236" w:rsidRPr="003E44AB" w:rsidRDefault="003E7236">
            <w:pPr>
              <w:pStyle w:val="Tabletext"/>
            </w:pPr>
            <w:r w:rsidRPr="003E44AB">
              <w:t>Domestic Qantas Group and Virgin Australia flight emissions captured under the Safeguard Mechanism</w:t>
            </w:r>
          </w:p>
        </w:tc>
      </w:tr>
      <w:tr w:rsidR="003E7236" w:rsidRPr="003E44AB" w14:paraId="6124460D" w14:textId="77777777" w:rsidTr="001C5ACC">
        <w:trPr>
          <w:cantSplit/>
        </w:trPr>
        <w:tc>
          <w:tcPr>
            <w:tcW w:w="2117" w:type="dxa"/>
          </w:tcPr>
          <w:p w14:paraId="7811C9B9" w14:textId="77777777" w:rsidR="003E7236" w:rsidRPr="003E44AB" w:rsidRDefault="003E7236" w:rsidP="00C64563">
            <w:pPr>
              <w:pStyle w:val="Tabletext"/>
              <w:jc w:val="center"/>
              <w:rPr>
                <w:b/>
                <w:bCs/>
              </w:rPr>
            </w:pPr>
            <w:r w:rsidRPr="003E44AB">
              <w:rPr>
                <w:b/>
                <w:bCs/>
              </w:rPr>
              <w:t>&gt;96%</w:t>
            </w:r>
          </w:p>
        </w:tc>
        <w:tc>
          <w:tcPr>
            <w:tcW w:w="7501" w:type="dxa"/>
          </w:tcPr>
          <w:p w14:paraId="5D74B3D8" w14:textId="77777777" w:rsidR="003E7236" w:rsidRPr="003E44AB" w:rsidRDefault="003E7236">
            <w:pPr>
              <w:pStyle w:val="Tabletext"/>
            </w:pPr>
            <w:r w:rsidRPr="003E44AB">
              <w:t>International flights from Melbourne expected to operate on Carbon Offsetting and Reduction Scheme for International Aviation (CORSIA)-covered routes from 2027, increasing pressure on airlines to reduce or offset emissions and increase SAF uptake</w:t>
            </w:r>
          </w:p>
        </w:tc>
      </w:tr>
    </w:tbl>
    <w:p w14:paraId="736F510C" w14:textId="77777777" w:rsidR="00CF06E1" w:rsidRPr="003E44AB" w:rsidRDefault="00CF06E1">
      <w:pPr>
        <w:pStyle w:val="Heading1"/>
        <w:pageBreakBefore/>
      </w:pPr>
      <w:r w:rsidRPr="003E44AB">
        <w:lastRenderedPageBreak/>
        <w:t>Emissions rules and airline targets are strengthening SAF demand</w:t>
      </w:r>
      <w:bookmarkEnd w:id="9"/>
    </w:p>
    <w:p w14:paraId="5440101A" w14:textId="77777777" w:rsidR="00910420" w:rsidRPr="003E44AB" w:rsidRDefault="00910420">
      <w:pPr>
        <w:pStyle w:val="Heading2"/>
      </w:pPr>
      <w:r w:rsidRPr="003E44AB">
        <w:t>Domestic aviation</w:t>
      </w:r>
    </w:p>
    <w:p w14:paraId="38B6A444" w14:textId="77777777" w:rsidR="00910420" w:rsidRPr="003E44AB" w:rsidRDefault="00910420" w:rsidP="00CE3316">
      <w:pPr>
        <w:pStyle w:val="BodyText"/>
        <w:spacing w:after="120"/>
      </w:pPr>
      <w:r w:rsidRPr="003E44AB">
        <w:t>The Safeguard Mechanism sets declining emissions limits for Australia’s largest emitters, strengthening the incentive to decarbonise through options such as SAF. Australia’s largest airlines, Qantas Group and Virgin Australia, are subject to the Safeguard Mechanism for their domestic operations.</w:t>
      </w:r>
    </w:p>
    <w:p w14:paraId="51C890FB" w14:textId="77777777" w:rsidR="00910420" w:rsidRPr="003E44AB" w:rsidRDefault="00910420">
      <w:pPr>
        <w:pStyle w:val="Heading2"/>
      </w:pPr>
      <w:r w:rsidRPr="003E44AB">
        <w:t>Global aviation</w:t>
      </w:r>
    </w:p>
    <w:p w14:paraId="200313A2" w14:textId="77777777" w:rsidR="00CE3316" w:rsidRPr="003E44AB" w:rsidRDefault="00910420" w:rsidP="00CE3316">
      <w:pPr>
        <w:pStyle w:val="BodyText"/>
        <w:spacing w:after="120"/>
      </w:pPr>
      <w:r w:rsidRPr="003E44AB">
        <w:t>CORSIA</w:t>
      </w:r>
      <w:r w:rsidRPr="003E44AB">
        <w:rPr>
          <w:rStyle w:val="FootnoteReference"/>
        </w:rPr>
        <w:footnoteReference w:id="8"/>
      </w:r>
      <w:r w:rsidRPr="003E44AB">
        <w:t xml:space="preserve"> is a global scheme that requires airlines to offset growth in international aviation emissions above agreed baseline levels, helping limit the climate impact of international flights. CORSIA obligations apply to an increasing number of international routes from Melbourne.</w:t>
      </w:r>
    </w:p>
    <w:p w14:paraId="3251C8CD" w14:textId="2FA9CBFA" w:rsidR="00910420" w:rsidRPr="003E44AB" w:rsidRDefault="00910420" w:rsidP="00CE3316">
      <w:pPr>
        <w:pStyle w:val="Heading2"/>
      </w:pPr>
      <w:r w:rsidRPr="003E44AB">
        <w:t>Airline commitments</w:t>
      </w:r>
    </w:p>
    <w:p w14:paraId="0691379E" w14:textId="77777777" w:rsidR="00910420" w:rsidRPr="003E44AB" w:rsidRDefault="00910420" w:rsidP="00D7012C">
      <w:pPr>
        <w:pStyle w:val="BodyText"/>
        <w:spacing w:after="0"/>
      </w:pPr>
      <w:r w:rsidRPr="003E44AB">
        <w:t>Major airlines serving Melbourne already have voluntary SAF uptake targets, including Qantas (10% by 2030</w:t>
      </w:r>
      <w:r w:rsidRPr="003E44AB">
        <w:rPr>
          <w:rStyle w:val="FootnoteReference"/>
        </w:rPr>
        <w:footnoteReference w:id="9"/>
      </w:r>
      <w:r w:rsidRPr="003E44AB">
        <w:t>), Air New Zealand (10% by 2030</w:t>
      </w:r>
      <w:r w:rsidRPr="003E44AB">
        <w:rPr>
          <w:rStyle w:val="FootnoteReference"/>
        </w:rPr>
        <w:footnoteReference w:id="10"/>
      </w:r>
      <w:r w:rsidRPr="003E44AB">
        <w:t>) and Singapore Airlines (5% by 2030</w:t>
      </w:r>
      <w:r w:rsidRPr="003E44AB">
        <w:rPr>
          <w:rStyle w:val="FootnoteReference"/>
        </w:rPr>
        <w:footnoteReference w:id="11"/>
      </w:r>
      <w:r w:rsidRPr="003E44AB">
        <w:t>).</w:t>
      </w:r>
    </w:p>
    <w:p w14:paraId="0C0F6565" w14:textId="77777777" w:rsidR="00910420" w:rsidRPr="003E44AB" w:rsidRDefault="00910420">
      <w:pPr>
        <w:pStyle w:val="Heading2"/>
      </w:pPr>
      <w:r w:rsidRPr="003E44AB">
        <w:lastRenderedPageBreak/>
        <w:t>Airport infrastructure</w:t>
      </w:r>
    </w:p>
    <w:p w14:paraId="45B1819F" w14:textId="77777777" w:rsidR="00910420" w:rsidRPr="003E44AB" w:rsidRDefault="00910420" w:rsidP="00D7012C">
      <w:pPr>
        <w:pStyle w:val="BodyText"/>
        <w:spacing w:after="0"/>
      </w:pPr>
      <w:r w:rsidRPr="003E44AB">
        <w:t>SAF can use existing airport fuel infrastructure, meaning it can be adopted faster and with lower implementation risk.</w:t>
      </w:r>
    </w:p>
    <w:p w14:paraId="5208BD13" w14:textId="017AE49C" w:rsidR="00C64563" w:rsidRPr="003E44AB" w:rsidRDefault="00910420" w:rsidP="00411AE6">
      <w:pPr>
        <w:pStyle w:val="Heading2"/>
      </w:pPr>
      <w:r w:rsidRPr="003E44AB">
        <w:t>Melbourne’s direct flight routes</w:t>
      </w:r>
    </w:p>
    <w:p w14:paraId="0C07B480" w14:textId="77777777" w:rsidR="00910420" w:rsidRPr="003E44AB" w:rsidRDefault="00910420">
      <w:pPr>
        <w:pStyle w:val="Normalbeforebullets"/>
      </w:pPr>
      <w:r w:rsidRPr="003E44AB">
        <w:t>Figure 4 is a world map of direct international flight routes from Melbourne. Countries are shaded to show whether they are current CORSIA states, will join CORSIA from 2027, or are exempt from CORSIA but can voluntarily participate. Australian domestic flights are covered by the Safeguard Mechanism. Direct routes from Melbourne connect to:</w:t>
      </w:r>
    </w:p>
    <w:p w14:paraId="1EA454BD" w14:textId="77777777" w:rsidR="00910420" w:rsidRPr="003E44AB" w:rsidRDefault="00910420">
      <w:pPr>
        <w:pStyle w:val="ListBullet"/>
      </w:pPr>
      <w:r w:rsidRPr="003E44AB">
        <w:t>New Zealand and Fiji in the Pacific</w:t>
      </w:r>
    </w:p>
    <w:p w14:paraId="2153A004" w14:textId="77777777" w:rsidR="00910420" w:rsidRPr="003E44AB" w:rsidRDefault="00910420">
      <w:pPr>
        <w:pStyle w:val="ListBullet"/>
      </w:pPr>
      <w:r w:rsidRPr="003E44AB">
        <w:t>Japan, the People’s Republic of China, Taiwan, Vietnam, the Philippines, Thailand, Malaysia, Singapore and Indonesia in East and South-East Asia</w:t>
      </w:r>
    </w:p>
    <w:p w14:paraId="202E8CA0" w14:textId="77777777" w:rsidR="00910420" w:rsidRPr="003E44AB" w:rsidRDefault="00910420">
      <w:pPr>
        <w:pStyle w:val="ListBullet"/>
      </w:pPr>
      <w:r w:rsidRPr="003E44AB">
        <w:t>India, Sri Lanka and the Maldives in South Asia</w:t>
      </w:r>
    </w:p>
    <w:p w14:paraId="34D5A16E" w14:textId="77777777" w:rsidR="00910420" w:rsidRPr="003E44AB" w:rsidRDefault="00910420">
      <w:pPr>
        <w:pStyle w:val="ListBullet"/>
      </w:pPr>
      <w:r w:rsidRPr="003E44AB">
        <w:t>the United Arab Emirates in the Middle East</w:t>
      </w:r>
    </w:p>
    <w:p w14:paraId="2A181E95" w14:textId="77777777" w:rsidR="008B1C50" w:rsidRPr="003E44AB" w:rsidRDefault="00910420">
      <w:pPr>
        <w:pStyle w:val="LastBulletinList"/>
        <w:sectPr w:rsidR="008B1C50" w:rsidRPr="003E44AB" w:rsidSect="00EB277B">
          <w:footerReference w:type="default" r:id="rId19"/>
          <w:pgSz w:w="11906" w:h="16838"/>
          <w:pgMar w:top="1134" w:right="1134" w:bottom="1134" w:left="1134" w:header="720" w:footer="454" w:gutter="0"/>
          <w:cols w:space="720"/>
          <w:noEndnote/>
          <w:docGrid w:linePitch="326"/>
        </w:sectPr>
      </w:pPr>
      <w:r w:rsidRPr="003E44AB">
        <w:t>the United States of America and Chile in the Americas.</w:t>
      </w:r>
    </w:p>
    <w:p w14:paraId="42F55697" w14:textId="714A2456" w:rsidR="00411AE6" w:rsidRPr="003E44AB" w:rsidRDefault="00411AE6" w:rsidP="00411AE6">
      <w:pPr>
        <w:pStyle w:val="Caption"/>
        <w:keepNext/>
        <w:spacing w:before="0"/>
      </w:pPr>
      <w:r w:rsidRPr="003E44AB">
        <w:lastRenderedPageBreak/>
        <w:t xml:space="preserve">Figure </w:t>
      </w:r>
      <w:fldSimple w:instr=" SEQ Figure \* ARABIC ">
        <w:r w:rsidR="00362FCF" w:rsidRPr="003E44AB">
          <w:t>4</w:t>
        </w:r>
      </w:fldSimple>
      <w:r w:rsidRPr="003E44AB">
        <w:t xml:space="preserve">: </w:t>
      </w:r>
      <w:r w:rsidRPr="003E44AB">
        <w:rPr>
          <w:b w:val="0"/>
          <w:bCs/>
        </w:rPr>
        <w:t>Melbourne’s direct flight routes</w:t>
      </w:r>
    </w:p>
    <w:p w14:paraId="4584A8CF" w14:textId="1B0C58D4" w:rsidR="008B1C50" w:rsidRPr="003E44AB" w:rsidRDefault="00411AE6" w:rsidP="00411AE6">
      <w:pPr>
        <w:pStyle w:val="BodyText"/>
        <w:spacing w:after="0"/>
        <w:sectPr w:rsidR="008B1C50" w:rsidRPr="003E44AB" w:rsidSect="00411AE6">
          <w:pgSz w:w="16838" w:h="11906" w:orient="landscape"/>
          <w:pgMar w:top="964" w:right="1134" w:bottom="1134" w:left="1134" w:header="720" w:footer="454" w:gutter="0"/>
          <w:cols w:space="720"/>
          <w:noEndnote/>
          <w:docGrid w:linePitch="326"/>
        </w:sectPr>
      </w:pPr>
      <w:r w:rsidRPr="003E44AB">
        <w:rPr>
          <w:noProof/>
        </w:rPr>
        <w:drawing>
          <wp:inline distT="0" distB="0" distL="0" distR="0" wp14:anchorId="6447F0B8" wp14:editId="76BC812B">
            <wp:extent cx="9182100" cy="5765800"/>
            <wp:effectExtent l="12700" t="12700" r="12700" b="12700"/>
            <wp:docPr id="1695085296" name="Picture 9" descr="Map shows domestic and international routes from Melbourne and identifies routes covered by CORSIA or the domestic Safeguard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85296" name="Picture 9" descr="Map shows domestic and international routes from Melbourne and identifies routes covered by CORSIA or the domestic Safeguard Mechanism."/>
                    <pic:cNvPicPr/>
                  </pic:nvPicPr>
                  <pic:blipFill>
                    <a:blip r:embed="rId20"/>
                    <a:stretch>
                      <a:fillRect/>
                    </a:stretch>
                  </pic:blipFill>
                  <pic:spPr>
                    <a:xfrm>
                      <a:off x="0" y="0"/>
                      <a:ext cx="9182100" cy="5765800"/>
                    </a:xfrm>
                    <a:prstGeom prst="rect">
                      <a:avLst/>
                    </a:prstGeom>
                    <a:ln>
                      <a:solidFill>
                        <a:schemeClr val="tx1"/>
                      </a:solidFill>
                    </a:ln>
                  </pic:spPr>
                </pic:pic>
              </a:graphicData>
            </a:graphic>
          </wp:inline>
        </w:drawing>
      </w:r>
    </w:p>
    <w:p w14:paraId="1F71D205" w14:textId="77777777" w:rsidR="00910420" w:rsidRPr="003E44AB" w:rsidRDefault="00910420">
      <w:pPr>
        <w:pStyle w:val="Heading2"/>
      </w:pPr>
      <w:r w:rsidRPr="003E44AB">
        <w:lastRenderedPageBreak/>
        <w:t>Case study: HAMR Energy</w:t>
      </w:r>
    </w:p>
    <w:p w14:paraId="6C92DC16" w14:textId="77777777" w:rsidR="00910420" w:rsidRPr="003E44AB" w:rsidRDefault="00910420">
      <w:pPr>
        <w:pStyle w:val="Heading3"/>
      </w:pPr>
      <w:r w:rsidRPr="003E44AB">
        <w:t>Sustainable Aviation Fuel</w:t>
      </w:r>
    </w:p>
    <w:p w14:paraId="591239C4" w14:textId="77777777" w:rsidR="00910420" w:rsidRPr="003E44AB" w:rsidRDefault="00910420">
      <w:pPr>
        <w:pStyle w:val="BodyText"/>
      </w:pPr>
      <w:r w:rsidRPr="003E44AB">
        <w:t xml:space="preserve">HAMR’s flagship development, the Portland Renewable Fuels project, is a world-scale renewable methanol development in Portland, Victoria, with a target capacity of 300 </w:t>
      </w:r>
      <w:proofErr w:type="spellStart"/>
      <w:r w:rsidRPr="003E44AB">
        <w:t>kilotonnes</w:t>
      </w:r>
      <w:proofErr w:type="spellEnd"/>
      <w:r w:rsidRPr="003E44AB">
        <w:t xml:space="preserve"> per annum (</w:t>
      </w:r>
      <w:proofErr w:type="spellStart"/>
      <w:r w:rsidRPr="003E44AB">
        <w:t>ktpa</w:t>
      </w:r>
      <w:proofErr w:type="spellEnd"/>
      <w:r w:rsidRPr="003E44AB">
        <w:t>).</w:t>
      </w:r>
    </w:p>
    <w:p w14:paraId="2B3F051F" w14:textId="77777777" w:rsidR="00910420" w:rsidRPr="003E44AB" w:rsidRDefault="00910420">
      <w:pPr>
        <w:pStyle w:val="BodyText"/>
      </w:pPr>
      <w:proofErr w:type="gramStart"/>
      <w:r w:rsidRPr="003E44AB">
        <w:t>This innovative renewable fuels</w:t>
      </w:r>
      <w:proofErr w:type="gramEnd"/>
      <w:r w:rsidRPr="003E44AB">
        <w:t xml:space="preserve"> project utilises biomass and renewable hydrogen to produce low carbon methanol. Leveraging locally sourced biomass and nearby onshore wind resources, the project aims to create a sustainable, low-carbon methanol that can be transported to local and international customers via the Port of Portland or road and rail. The methanol will be used to support the decarbonisation of hard-to-abate sectors and is a key building block for many SAF pathways.</w:t>
      </w:r>
    </w:p>
    <w:p w14:paraId="2BB445D6" w14:textId="77777777" w:rsidR="00910420" w:rsidRPr="003E44AB" w:rsidRDefault="00910420">
      <w:pPr>
        <w:pStyle w:val="BodyText"/>
      </w:pPr>
      <w:r w:rsidRPr="003E44AB">
        <w:t>The Victorian Government is supporting the Portland Renewable Fuels Project with $500,000 for a feasibility study through its Portland Diversification Fund.</w:t>
      </w:r>
    </w:p>
    <w:p w14:paraId="3DE7F8D6" w14:textId="544CE141" w:rsidR="00910420" w:rsidRPr="003E44AB" w:rsidRDefault="00910420">
      <w:pPr>
        <w:pStyle w:val="BodyText"/>
      </w:pPr>
      <w:r w:rsidRPr="003E44AB">
        <w:t xml:space="preserve">For more information, visit the </w:t>
      </w:r>
      <w:hyperlink r:id="rId21" w:tooltip="Opens the HAMR Energy web page about the Portland Renewable Fuels project" w:history="1">
        <w:r w:rsidRPr="003E44AB">
          <w:rPr>
            <w:rStyle w:val="Hyperlink"/>
          </w:rPr>
          <w:t>HAMR Energy Portland Renewable Fuels project page</w:t>
        </w:r>
      </w:hyperlink>
      <w:r w:rsidRPr="003E44AB">
        <w:t>.</w:t>
      </w:r>
    </w:p>
    <w:p w14:paraId="74DDDF24" w14:textId="77777777" w:rsidR="00CF06E1" w:rsidRPr="003E44AB" w:rsidRDefault="00CF06E1">
      <w:pPr>
        <w:pStyle w:val="Heading1"/>
        <w:pageBreakBefore/>
      </w:pPr>
      <w:bookmarkStart w:id="10" w:name="_Toc243485850"/>
      <w:r w:rsidRPr="003E44AB">
        <w:lastRenderedPageBreak/>
        <w:t>Investment opportunities in renewable gas</w:t>
      </w:r>
      <w:bookmarkEnd w:id="10"/>
    </w:p>
    <w:p w14:paraId="08DE3055" w14:textId="77777777" w:rsidR="00910420" w:rsidRPr="003E44AB" w:rsidRDefault="00910420">
      <w:pPr>
        <w:pStyle w:val="Introductoryparagraph"/>
      </w:pPr>
      <w:r w:rsidRPr="003E44AB">
        <w:t>Scaling up a thriving Victorian renewable gas sector presents a significant investment opportunity, while also being essential for Victoria to achieve its legislated target of net-zero emissions by 2045.</w:t>
      </w:r>
    </w:p>
    <w:p w14:paraId="4EF0E85F" w14:textId="77777777" w:rsidR="00910420" w:rsidRPr="003E44AB" w:rsidRDefault="00910420">
      <w:pPr>
        <w:pStyle w:val="Heading2"/>
      </w:pPr>
      <w:r w:rsidRPr="003E44AB">
        <w:t>Complements electrification</w:t>
      </w:r>
    </w:p>
    <w:p w14:paraId="0B0F66E5" w14:textId="77777777" w:rsidR="00910420" w:rsidRPr="003E44AB" w:rsidRDefault="00910420">
      <w:pPr>
        <w:pStyle w:val="BodyText"/>
      </w:pPr>
      <w:r w:rsidRPr="003E44AB">
        <w:t xml:space="preserve">Electrification is expected to be the primary decarbonisation pathway for many </w:t>
      </w:r>
      <w:proofErr w:type="gramStart"/>
      <w:r w:rsidRPr="003E44AB">
        <w:t>energy</w:t>
      </w:r>
      <w:proofErr w:type="gramEnd"/>
      <w:r w:rsidRPr="003E44AB">
        <w:t xml:space="preserve"> uses. However, renewable gas has an important role in sectors where alternatives remain limited, including high-heat industry, some transport, chemical feedstocks and </w:t>
      </w:r>
      <w:proofErr w:type="gramStart"/>
      <w:r w:rsidRPr="003E44AB">
        <w:t>gas powered</w:t>
      </w:r>
      <w:proofErr w:type="gramEnd"/>
      <w:r w:rsidRPr="003E44AB">
        <w:t xml:space="preserve"> generation.</w:t>
      </w:r>
    </w:p>
    <w:p w14:paraId="68EB259F" w14:textId="77777777" w:rsidR="00910420" w:rsidRPr="003E44AB" w:rsidRDefault="00910420">
      <w:pPr>
        <w:pStyle w:val="Heading2"/>
      </w:pPr>
      <w:r w:rsidRPr="003E44AB">
        <w:t>Supports net-zero targets</w:t>
      </w:r>
    </w:p>
    <w:p w14:paraId="200F3B13" w14:textId="77777777" w:rsidR="00910420" w:rsidRPr="003E44AB" w:rsidRDefault="00910420">
      <w:pPr>
        <w:pStyle w:val="BodyText"/>
      </w:pPr>
      <w:r w:rsidRPr="003E44AB">
        <w:t>Victoria’s legislated emissions reduction targets, including net-zero by 2045, are expected to drive demand for low-emissions alternatives across the economy. Renewable gas can help reduce emissions in sectors where gaseous fuels continue to play a role.</w:t>
      </w:r>
    </w:p>
    <w:p w14:paraId="035A1A7A" w14:textId="77777777" w:rsidR="00910420" w:rsidRPr="003E44AB" w:rsidRDefault="00910420">
      <w:pPr>
        <w:pStyle w:val="Heading2"/>
      </w:pPr>
      <w:r w:rsidRPr="003E44AB">
        <w:t>Supports the energy transition</w:t>
      </w:r>
    </w:p>
    <w:p w14:paraId="32B6743E" w14:textId="77777777" w:rsidR="00910420" w:rsidRPr="003E44AB" w:rsidRDefault="00910420">
      <w:pPr>
        <w:pStyle w:val="BodyText"/>
      </w:pPr>
      <w:r w:rsidRPr="003E44AB">
        <w:t>AEMO’s 2024 forecasts indicate growing risks of gas supply shortfalls across south-eastern Australia as conventional gas production declines. While renewable gas is not expected to fully offset these shortfalls, it represents an important long-term opportunity to diversify fuel supply and support emissions reduction in sectors that continue to require gaseous fuels.</w:t>
      </w:r>
    </w:p>
    <w:p w14:paraId="1C9631A9" w14:textId="77777777" w:rsidR="00910420" w:rsidRPr="003E44AB" w:rsidRDefault="00910420">
      <w:pPr>
        <w:pStyle w:val="Heading2"/>
      </w:pPr>
      <w:r w:rsidRPr="003E44AB">
        <w:lastRenderedPageBreak/>
        <w:t>Strong feedstock potential</w:t>
      </w:r>
    </w:p>
    <w:p w14:paraId="48FBF0A4" w14:textId="77777777" w:rsidR="00910420" w:rsidRPr="003E44AB" w:rsidRDefault="00910420">
      <w:pPr>
        <w:pStyle w:val="BodyText"/>
      </w:pPr>
      <w:r w:rsidRPr="003E44AB">
        <w:t>Victoria’s agricultural, forestry, municipal and industrial sectors generate diverse biomass resources that can support the production of renewable gas and other renewable fuels. The Victorian Government has published detailed biomass and biomethane assessments to help inform investment and project development.</w:t>
      </w:r>
    </w:p>
    <w:p w14:paraId="5B63CC5D" w14:textId="77777777" w:rsidR="00CF06E1" w:rsidRPr="003E44AB" w:rsidRDefault="00CF06E1">
      <w:pPr>
        <w:pStyle w:val="Heading1"/>
        <w:pageBreakBefore/>
      </w:pPr>
      <w:bookmarkStart w:id="11" w:name="_Toc243485851"/>
      <w:r w:rsidRPr="003E44AB">
        <w:lastRenderedPageBreak/>
        <w:t>Drivers for renewable gas</w:t>
      </w:r>
      <w:bookmarkEnd w:id="11"/>
    </w:p>
    <w:p w14:paraId="4FC3E902" w14:textId="77777777" w:rsidR="00CF06E1" w:rsidRPr="003E44AB" w:rsidRDefault="00CF06E1">
      <w:pPr>
        <w:pStyle w:val="Introductoryparagraph"/>
      </w:pPr>
      <w:r w:rsidRPr="003E44AB">
        <w:t>Victoria offers strong fundamentals for renewable gas investment, including abundant feedstocks, policy support and growing demand for low-emissions fuels.</w:t>
      </w:r>
    </w:p>
    <w:p w14:paraId="29CECF0D" w14:textId="77777777" w:rsidR="00CF06E1" w:rsidRPr="003E44AB" w:rsidRDefault="00CF06E1">
      <w:pPr>
        <w:pStyle w:val="BodyText"/>
      </w:pPr>
      <w:r w:rsidRPr="003E44AB">
        <w:t>Growing risks of gas supply shortfalls across Australia’s southern states highlight the need for alternative low-emissions gaseous fuels. Victoria’s biomass and waste resources create a significant opportunity to develop renewable gas projects that can contribute to future low-emissions fuel supply.</w:t>
      </w:r>
      <w:r w:rsidRPr="003E44AB">
        <w:rPr>
          <w:rStyle w:val="FootnoteReference"/>
        </w:rPr>
        <w:footnoteReference w:id="12"/>
      </w:r>
    </w:p>
    <w:p w14:paraId="7DE9F55E" w14:textId="5A0FC517" w:rsidR="00CF06E1" w:rsidRPr="003E44AB" w:rsidRDefault="00CF06E1">
      <w:pPr>
        <w:pStyle w:val="Caption"/>
        <w:keepNext/>
        <w:rPr>
          <w:b w:val="0"/>
          <w:bCs/>
        </w:rPr>
      </w:pPr>
      <w:bookmarkStart w:id="12" w:name="_Ref243561373"/>
      <w:r w:rsidRPr="003E44AB">
        <w:t xml:space="preserve">Figure </w:t>
      </w:r>
      <w:fldSimple w:instr=" SEQ Figure \* ARABIC \* MERGEFORMAT ">
        <w:r w:rsidR="00362FCF" w:rsidRPr="003E44AB">
          <w:t>5</w:t>
        </w:r>
      </w:fldSimple>
      <w:bookmarkEnd w:id="12"/>
      <w:r w:rsidRPr="003E44AB">
        <w:t xml:space="preserve">: </w:t>
      </w:r>
      <w:r w:rsidRPr="003E44AB">
        <w:rPr>
          <w:b w:val="0"/>
          <w:bCs/>
        </w:rPr>
        <w:t>Forecast of Victorian gas supply and demand</w:t>
      </w:r>
      <w:r w:rsidRPr="003E44AB">
        <w:rPr>
          <w:rStyle w:val="FootnoteReference"/>
        </w:rPr>
        <w:footnoteReference w:id="13"/>
      </w:r>
    </w:p>
    <w:p w14:paraId="3DA3639F" w14:textId="4C678F66" w:rsidR="00CE3316" w:rsidRPr="003E44AB" w:rsidRDefault="00CE3316" w:rsidP="00CE3316">
      <w:pPr>
        <w:pStyle w:val="BodyText"/>
        <w:ind w:right="227"/>
        <w:jc w:val="center"/>
      </w:pPr>
      <w:r w:rsidRPr="003E44AB">
        <w:rPr>
          <w:noProof/>
        </w:rPr>
        <w:drawing>
          <wp:inline distT="0" distB="0" distL="0" distR="0" wp14:anchorId="3BF52927" wp14:editId="3AB447BD">
            <wp:extent cx="4797875" cy="3328416"/>
            <wp:effectExtent l="0" t="0" r="3175" b="0"/>
            <wp:docPr id="1325107677" name="Picture 10" descr="Chart compares forecast gas demand with committed and anticipated supply from 2026 to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107677" name="Picture 10" descr="Chart compares forecast gas demand with committed and anticipated supply from 2026 to 2035."/>
                    <pic:cNvPicPr/>
                  </pic:nvPicPr>
                  <pic:blipFill>
                    <a:blip r:embed="rId22"/>
                    <a:stretch>
                      <a:fillRect/>
                    </a:stretch>
                  </pic:blipFill>
                  <pic:spPr>
                    <a:xfrm>
                      <a:off x="0" y="0"/>
                      <a:ext cx="4852612" cy="3366388"/>
                    </a:xfrm>
                    <a:prstGeom prst="rect">
                      <a:avLst/>
                    </a:prstGeom>
                  </pic:spPr>
                </pic:pic>
              </a:graphicData>
            </a:graphic>
          </wp:inline>
        </w:drawing>
      </w:r>
    </w:p>
    <w:p w14:paraId="5B4343CE" w14:textId="11131F5E" w:rsidR="00CF06E1" w:rsidRPr="003E44AB" w:rsidRDefault="00CE3316">
      <w:pPr>
        <w:pStyle w:val="Normalbeforebullets"/>
      </w:pPr>
      <w:r w:rsidRPr="003E44AB">
        <w:lastRenderedPageBreak/>
        <w:fldChar w:fldCharType="begin"/>
      </w:r>
      <w:r w:rsidRPr="003E44AB">
        <w:instrText xml:space="preserve"> REF _Ref243561373 \h </w:instrText>
      </w:r>
      <w:r w:rsidRPr="003E44AB">
        <w:fldChar w:fldCharType="separate"/>
      </w:r>
      <w:r w:rsidR="00362FCF" w:rsidRPr="003E44AB">
        <w:t>Figure 5</w:t>
      </w:r>
      <w:r w:rsidRPr="003E44AB">
        <w:fldChar w:fldCharType="end"/>
      </w:r>
      <w:r w:rsidR="00CF06E1" w:rsidRPr="003E44AB">
        <w:t xml:space="preserve"> compares forecast Victorian gas supply with forecast demand, in petajoules (PJ), from 2026 to 2035:</w:t>
      </w:r>
    </w:p>
    <w:p w14:paraId="3E8D1DD6" w14:textId="77777777" w:rsidR="00CF06E1" w:rsidRPr="003E44AB" w:rsidRDefault="00CF06E1">
      <w:pPr>
        <w:pStyle w:val="ListBullet"/>
      </w:pPr>
      <w:r w:rsidRPr="003E44AB">
        <w:t>Committed supply falls from about 240 PJ in 2026 to about 125 PJ in 2029, about 100 PJ in 2030 and about 10 PJ by 2034–35.</w:t>
      </w:r>
    </w:p>
    <w:p w14:paraId="46BE7914" w14:textId="77777777" w:rsidR="00CF06E1" w:rsidRPr="003E44AB" w:rsidRDefault="00CF06E1">
      <w:pPr>
        <w:pStyle w:val="ListBullet"/>
      </w:pPr>
      <w:r w:rsidRPr="003E44AB">
        <w:t>Anticipated supply adds only a small amount on top of committed supply each year.</w:t>
      </w:r>
    </w:p>
    <w:p w14:paraId="1437C20B" w14:textId="77777777" w:rsidR="00CF06E1" w:rsidRPr="003E44AB" w:rsidRDefault="00CF06E1">
      <w:pPr>
        <w:pStyle w:val="ListBullet"/>
      </w:pPr>
      <w:r w:rsidRPr="003E44AB">
        <w:t>Forecast demand declines gradually from about 170 PJ in 2026 to about 125 PJ in 2035.</w:t>
      </w:r>
    </w:p>
    <w:p w14:paraId="3A1BE84D" w14:textId="77777777" w:rsidR="00CF06E1" w:rsidRPr="003E44AB" w:rsidRDefault="00CF06E1">
      <w:pPr>
        <w:pStyle w:val="LastBulletinList"/>
      </w:pPr>
      <w:r w:rsidRPr="003E44AB">
        <w:t>Supply falls below forecast demand from around 2029, and the gap widens each year after that.</w:t>
      </w:r>
    </w:p>
    <w:p w14:paraId="5BABB6AD" w14:textId="77777777" w:rsidR="00CF06E1" w:rsidRPr="003E44AB" w:rsidRDefault="00CF06E1">
      <w:pPr>
        <w:pStyle w:val="Heading2"/>
      </w:pPr>
      <w:r w:rsidRPr="003E44AB">
        <w:t>Renewable gas for industrial use</w:t>
      </w:r>
    </w:p>
    <w:p w14:paraId="658BE97B" w14:textId="77777777" w:rsidR="00CF06E1" w:rsidRPr="003E44AB" w:rsidRDefault="00CF06E1">
      <w:pPr>
        <w:pStyle w:val="BodyText"/>
      </w:pPr>
      <w:r w:rsidRPr="003E44AB">
        <w:t>The Gas Substitution Roadmap outlines the Victorian Government’s approach to reducing reliance on fossil gas use across the Victorian economy. While electrification is the most cost-effective way to reduce fossil gas use in buildings and low temperature industrial processes, it is not yet technically or commercially viable for many high heat (above 200 degrees Celsius) industrial applications, chemical feedstocks, and gas-powered electricity generation.</w:t>
      </w:r>
    </w:p>
    <w:p w14:paraId="4388FD55" w14:textId="77777777" w:rsidR="00CF06E1" w:rsidRPr="003E44AB" w:rsidRDefault="00CF06E1">
      <w:pPr>
        <w:pStyle w:val="BodyText"/>
      </w:pPr>
      <w:r w:rsidRPr="003E44AB">
        <w:t>Industrial sectors with high temperature requirements account for around three quarters of Victoria’s industrial gas use. For these sectors renewable gases such as biomethane and renewable hydrogen offer long-term decarbonisation opportunities.</w:t>
      </w:r>
    </w:p>
    <w:p w14:paraId="796B8410" w14:textId="77777777" w:rsidR="00CF06E1" w:rsidRPr="003E44AB" w:rsidRDefault="00CF06E1">
      <w:pPr>
        <w:pStyle w:val="BodyText"/>
      </w:pPr>
      <w:r w:rsidRPr="003E44AB">
        <w:t xml:space="preserve">The Victorian Government has previously sought feedback on a potential model for a Victorian renewable gas scheme through the Renewable Gas Directions Paper and Government will continue to consider development of this scheme in the context of the broader </w:t>
      </w:r>
      <w:r w:rsidRPr="003E44AB">
        <w:rPr>
          <w:i/>
        </w:rPr>
        <w:t>Victoria’s Renewable Fuels and Feedstocks Future: Industry Development Plan</w:t>
      </w:r>
      <w:r w:rsidRPr="003E44AB">
        <w:t>.</w:t>
      </w:r>
    </w:p>
    <w:p w14:paraId="2CB64004" w14:textId="77777777" w:rsidR="00CF06E1" w:rsidRPr="003E44AB" w:rsidRDefault="00CF06E1">
      <w:pPr>
        <w:pStyle w:val="BodyText"/>
      </w:pPr>
      <w:r w:rsidRPr="003E44AB">
        <w:lastRenderedPageBreak/>
        <w:t>The Victorian Government also continues to advocate for the establishment of a national renewable gas scheme.</w:t>
      </w:r>
    </w:p>
    <w:p w14:paraId="66C2AA00" w14:textId="17FA8100" w:rsidR="00CF06E1" w:rsidRPr="003E44AB" w:rsidRDefault="00CF06E1">
      <w:pPr>
        <w:pStyle w:val="BodyText"/>
      </w:pPr>
      <w:r w:rsidRPr="003E44AB">
        <w:t xml:space="preserve">For more information, visit the </w:t>
      </w:r>
      <w:hyperlink r:id="rId23" w:tooltip="Opens the Victorian Government energy website page about Victoria’s Gas Substitution Roadmap" w:history="1">
        <w:r w:rsidRPr="003E44AB">
          <w:rPr>
            <w:rStyle w:val="Hyperlink"/>
          </w:rPr>
          <w:t>Victoria’s Gas Substitution Roadmap page</w:t>
        </w:r>
      </w:hyperlink>
      <w:r w:rsidRPr="003E44AB">
        <w:t>.</w:t>
      </w:r>
    </w:p>
    <w:p w14:paraId="5500A5F4" w14:textId="77777777" w:rsidR="00CF06E1" w:rsidRPr="003E44AB" w:rsidRDefault="00CF06E1">
      <w:pPr>
        <w:pStyle w:val="Heading2"/>
      </w:pPr>
      <w:r w:rsidRPr="003E44AB">
        <w:t>Case study: Melton bioenergy facility</w:t>
      </w:r>
    </w:p>
    <w:p w14:paraId="14EB6752" w14:textId="77777777" w:rsidR="00CF06E1" w:rsidRPr="003E44AB" w:rsidRDefault="00CF06E1">
      <w:pPr>
        <w:pStyle w:val="BodyText"/>
      </w:pPr>
      <w:r w:rsidRPr="003E44AB">
        <w:t>Greater Western Water (one of Victoria’s 18 water corporations) has built a waste to energy facility at its Melton Recycled Water Plant. The first facility of its type in the region, the $3.3 million co-digestion project was made possible by securing more than $800,000 through Sustainability Victoria’s original $2.3 million Waste to Energy Infrastructure Fund.</w:t>
      </w:r>
    </w:p>
    <w:p w14:paraId="25E77AED" w14:textId="77777777" w:rsidR="00CF06E1" w:rsidRPr="003E44AB" w:rsidRDefault="00CF06E1">
      <w:pPr>
        <w:pStyle w:val="BodyText"/>
      </w:pPr>
      <w:r w:rsidRPr="003E44AB">
        <w:t>The facility will receive up to 5,000 kilolitres of liquid organic waste each year from local businesses and support the Victorian Government’s goal to halve the amount of organic material going to landfill by 2030. This waste is then treated through an anaerobic digester where it is converted into biogas.</w:t>
      </w:r>
    </w:p>
    <w:p w14:paraId="3C638A2C" w14:textId="77777777" w:rsidR="00CF06E1" w:rsidRPr="003E44AB" w:rsidRDefault="00CF06E1">
      <w:pPr>
        <w:pStyle w:val="BodyText"/>
      </w:pPr>
      <w:r w:rsidRPr="003E44AB">
        <w:t>Renewable energy produced from the biogas and existing on-site solar array will provide up to 100% of the plant’s energy needs during the day and is expected to reduce Greater Western Water’s greenhouse gas emissions by 900 tonnes per year.</w:t>
      </w:r>
    </w:p>
    <w:p w14:paraId="51B89D0A" w14:textId="599B778E" w:rsidR="00CF06E1" w:rsidRPr="003E44AB" w:rsidRDefault="00CF06E1">
      <w:pPr>
        <w:pStyle w:val="BodyText"/>
      </w:pPr>
      <w:r w:rsidRPr="003E44AB">
        <w:t xml:space="preserve">For more information, visit the </w:t>
      </w:r>
      <w:hyperlink r:id="rId24" w:tooltip="Opens the Sustainability Victoria news article Harnessing the power of organic waste, about the Melton bioenergy facility" w:history="1">
        <w:r w:rsidRPr="003E44AB">
          <w:rPr>
            <w:rStyle w:val="Hyperlink"/>
          </w:rPr>
          <w:t>Sustainability Victoria news article about harnessing the power of organic waste</w:t>
        </w:r>
      </w:hyperlink>
      <w:r w:rsidRPr="003E44AB">
        <w:t>.</w:t>
      </w:r>
    </w:p>
    <w:p w14:paraId="326D676B" w14:textId="77777777" w:rsidR="00CF06E1" w:rsidRPr="003E44AB" w:rsidRDefault="00CF06E1">
      <w:pPr>
        <w:pStyle w:val="Heading2"/>
      </w:pPr>
      <w:r w:rsidRPr="003E44AB">
        <w:t>Case study: Pavilion Farms</w:t>
      </w:r>
    </w:p>
    <w:p w14:paraId="2A254518" w14:textId="77777777" w:rsidR="00CF06E1" w:rsidRPr="003E44AB" w:rsidRDefault="00CF06E1">
      <w:pPr>
        <w:pStyle w:val="BodyText"/>
      </w:pPr>
      <w:r w:rsidRPr="003E44AB">
        <w:t>Pavilion Farms, a large broiler chicken growing operation in Victoria, is working towards 100% sustainable circular farming, with organic fertiliser production, responsible re-use of 100% of its waste, renewable energy generation, bird welfare, lowering greenhouse gas emissions and providing local jobs part of its operational and growth strategy.</w:t>
      </w:r>
    </w:p>
    <w:p w14:paraId="72D87FA9" w14:textId="77777777" w:rsidR="00CF06E1" w:rsidRPr="003E44AB" w:rsidRDefault="00CF06E1">
      <w:pPr>
        <w:pStyle w:val="BodyText"/>
      </w:pPr>
      <w:r w:rsidRPr="003E44AB">
        <w:lastRenderedPageBreak/>
        <w:t>Awarded $9.31 million through Round 2 of the Energy Innovation Fund, Pavilion Farms is installing an anaerobic digestion plant which will use chicken litter as its primary feedstock to produce biogas and granulated organic, pathogen free and sustainable fertiliser.</w:t>
      </w:r>
    </w:p>
    <w:p w14:paraId="76A65D58" w14:textId="77777777" w:rsidR="00CF06E1" w:rsidRPr="003E44AB" w:rsidRDefault="00CF06E1">
      <w:pPr>
        <w:pStyle w:val="BodyText"/>
      </w:pPr>
      <w:r w:rsidRPr="003E44AB">
        <w:t>The power generated will be used to run the chicken farms and anaerobic digestion plant, with approximately 18 GWh per annum being sold to local Victorian food producers as baseload renewable power.</w:t>
      </w:r>
    </w:p>
    <w:p w14:paraId="6757E8D6" w14:textId="77777777" w:rsidR="00CF06E1" w:rsidRPr="003E44AB" w:rsidRDefault="00CF06E1">
      <w:pPr>
        <w:pStyle w:val="BodyText"/>
      </w:pPr>
      <w:r w:rsidRPr="003E44AB">
        <w:t>Projects like Pavilion Farms are helping us support the commercialisation of innovative, emerging renewable energy technologies in Victoria.</w:t>
      </w:r>
    </w:p>
    <w:p w14:paraId="328C3AED" w14:textId="72DE9B72" w:rsidR="00CF06E1" w:rsidRPr="003E44AB" w:rsidRDefault="00CF06E1">
      <w:pPr>
        <w:pStyle w:val="BodyText"/>
      </w:pPr>
      <w:r w:rsidRPr="003E44AB">
        <w:t xml:space="preserve">For more information, visit the </w:t>
      </w:r>
      <w:hyperlink r:id="rId25" w:tooltip="Opens the Pavilion Biogas website" w:history="1">
        <w:r w:rsidRPr="003E44AB">
          <w:rPr>
            <w:rStyle w:val="Hyperlink"/>
          </w:rPr>
          <w:t>Pavilion Biogas website</w:t>
        </w:r>
      </w:hyperlink>
      <w:r w:rsidRPr="003E44AB">
        <w:t>.</w:t>
      </w:r>
    </w:p>
    <w:p w14:paraId="701B035B" w14:textId="77777777" w:rsidR="00CF06E1" w:rsidRPr="003E44AB" w:rsidRDefault="00CF06E1">
      <w:pPr>
        <w:pStyle w:val="Heading1"/>
        <w:pageBreakBefore/>
      </w:pPr>
      <w:bookmarkStart w:id="13" w:name="_Toc243485852"/>
      <w:r w:rsidRPr="003E44AB">
        <w:lastRenderedPageBreak/>
        <w:t>Biomass for renewable fuels production</w:t>
      </w:r>
      <w:bookmarkEnd w:id="13"/>
    </w:p>
    <w:p w14:paraId="241D9726" w14:textId="77777777" w:rsidR="00CF06E1" w:rsidRPr="003E44AB" w:rsidRDefault="00CF06E1">
      <w:pPr>
        <w:pStyle w:val="Introductoryparagraph"/>
      </w:pPr>
      <w:r w:rsidRPr="003E44AB">
        <w:t>Victoria’s regions offer strong opportunities to convert agricultural residues, organic waste streams and other sustainable biomass into renewable fuels and biogenic carbon products, supporting emissions reduction and new regional industries.</w:t>
      </w:r>
    </w:p>
    <w:p w14:paraId="1E3C5962" w14:textId="77777777" w:rsidR="00CF06E1" w:rsidRPr="003E44AB" w:rsidRDefault="00CF06E1">
      <w:pPr>
        <w:pStyle w:val="Heading2"/>
      </w:pPr>
      <w:r w:rsidRPr="003E44AB">
        <w:t>Large, diverse biomass base</w:t>
      </w:r>
    </w:p>
    <w:p w14:paraId="0C3DD082" w14:textId="77777777" w:rsidR="00CF06E1" w:rsidRPr="003E44AB" w:rsidRDefault="00CF06E1">
      <w:pPr>
        <w:pStyle w:val="BodyText"/>
      </w:pPr>
      <w:r w:rsidRPr="003E44AB">
        <w:t>Victoria produces substantial biogenic residues and waste streams across agriculture, food processing, forestry, municipal solid waste and wastewater. These existing streams can provide near term feedstock options and support circular economy outcomes.</w:t>
      </w:r>
    </w:p>
    <w:p w14:paraId="3A74BEC7" w14:textId="77777777" w:rsidR="00CF06E1" w:rsidRPr="003E44AB" w:rsidRDefault="00CF06E1">
      <w:pPr>
        <w:pStyle w:val="Heading2"/>
      </w:pPr>
      <w:r w:rsidRPr="003E44AB">
        <w:t>Strong R&amp;D to unlock new feedstocks</w:t>
      </w:r>
    </w:p>
    <w:p w14:paraId="2BC7B0EF" w14:textId="77777777" w:rsidR="00CF06E1" w:rsidRPr="003E44AB" w:rsidRDefault="00CF06E1">
      <w:pPr>
        <w:pStyle w:val="BodyText"/>
      </w:pPr>
      <w:r w:rsidRPr="003E44AB">
        <w:t>Victorian research institutions and industry partners can support innovation across feedstock supply chains and conversion pathways, helping to validate new feedstocks, improve yields and reduce technical and commercial risk.</w:t>
      </w:r>
    </w:p>
    <w:p w14:paraId="26DB9618" w14:textId="77777777" w:rsidR="00CF06E1" w:rsidRPr="003E44AB" w:rsidRDefault="00CF06E1">
      <w:pPr>
        <w:pStyle w:val="Heading2"/>
      </w:pPr>
      <w:r w:rsidRPr="003E44AB">
        <w:t>Guidance on Victorian project development</w:t>
      </w:r>
    </w:p>
    <w:p w14:paraId="5119E551" w14:textId="77777777" w:rsidR="00CF06E1" w:rsidRPr="003E44AB" w:rsidRDefault="00CF06E1">
      <w:pPr>
        <w:pStyle w:val="BodyText"/>
      </w:pPr>
      <w:r w:rsidRPr="003E44AB">
        <w:t>The Victorian Government is investigating the most suitable feedstock and fuel production pathways that assist industry to develop the best project for Victoria and connect them with state and federal funding opportunities.</w:t>
      </w:r>
    </w:p>
    <w:p w14:paraId="391CD437" w14:textId="77777777" w:rsidR="00CF06E1" w:rsidRPr="003E44AB" w:rsidRDefault="00CF06E1">
      <w:pPr>
        <w:pStyle w:val="Heading1"/>
        <w:pageBreakBefore/>
      </w:pPr>
      <w:bookmarkStart w:id="14" w:name="_Toc243485853"/>
      <w:r w:rsidRPr="003E44AB">
        <w:lastRenderedPageBreak/>
        <w:t>Bioenergy opportunities in Victoria</w:t>
      </w:r>
      <w:bookmarkEnd w:id="14"/>
    </w:p>
    <w:p w14:paraId="23BF329D" w14:textId="77777777" w:rsidR="00CF06E1" w:rsidRPr="003E44AB" w:rsidRDefault="00CF06E1">
      <w:pPr>
        <w:pStyle w:val="Introductoryparagraph"/>
      </w:pPr>
      <w:r w:rsidRPr="003E44AB">
        <w:t>Victoria is Australia’s largest food and fibre producing state and is well positioned for biofuels production.</w:t>
      </w:r>
    </w:p>
    <w:p w14:paraId="790573CB" w14:textId="77777777" w:rsidR="00CF06E1" w:rsidRPr="003E44AB" w:rsidRDefault="00CF06E1">
      <w:pPr>
        <w:pStyle w:val="BodyText"/>
      </w:pPr>
      <w:r w:rsidRPr="003E44AB">
        <w:t>Existing oilseeds, waste and residues alongside opportunities for emerging energy crops and farming techniques such as crop rotation, have the potential for bioenergy to support renewable fuels production and regional development.</w:t>
      </w:r>
    </w:p>
    <w:p w14:paraId="61382CE1" w14:textId="77777777" w:rsidR="00CF06E1" w:rsidRPr="003E44AB" w:rsidRDefault="00CF06E1">
      <w:pPr>
        <w:pStyle w:val="BodyText"/>
      </w:pPr>
      <w:r w:rsidRPr="003E44AB">
        <w:t>For example, Victoria’s practically available biogas potential from waste and residues alone is estimated at 47 PJ per year currently, rising to 69 PJ per year in 2045.</w:t>
      </w:r>
    </w:p>
    <w:p w14:paraId="44F85A6E" w14:textId="4F8A0E29" w:rsidR="00F72D3A" w:rsidRPr="003E44AB" w:rsidRDefault="00CF06E1" w:rsidP="00F72D3A">
      <w:pPr>
        <w:pStyle w:val="Caption"/>
        <w:keepNext/>
        <w:rPr>
          <w:b w:val="0"/>
          <w:bCs/>
        </w:rPr>
      </w:pPr>
      <w:bookmarkStart w:id="15" w:name="_Ref243562273"/>
      <w:r w:rsidRPr="003E44AB">
        <w:lastRenderedPageBreak/>
        <w:t xml:space="preserve">Figure </w:t>
      </w:r>
      <w:fldSimple w:instr=" SEQ Figure \* ARABIC \* MERGEFORMAT ">
        <w:r w:rsidR="00362FCF" w:rsidRPr="003E44AB">
          <w:t>6</w:t>
        </w:r>
      </w:fldSimple>
      <w:bookmarkEnd w:id="15"/>
      <w:r w:rsidRPr="003E44AB">
        <w:t xml:space="preserve">: </w:t>
      </w:r>
      <w:r w:rsidRPr="003E44AB">
        <w:rPr>
          <w:b w:val="0"/>
          <w:bCs/>
        </w:rPr>
        <w:t>Practically available biomass residues and key bioenergy facilities by Victorian region</w:t>
      </w:r>
    </w:p>
    <w:p w14:paraId="5CE25477" w14:textId="346890E7" w:rsidR="00F72D3A" w:rsidRPr="003E44AB" w:rsidRDefault="00F72D3A" w:rsidP="001C5ACC">
      <w:pPr>
        <w:spacing w:after="360"/>
      </w:pPr>
      <w:r w:rsidRPr="003E44AB">
        <w:rPr>
          <w:noProof/>
        </w:rPr>
        <w:drawing>
          <wp:inline distT="0" distB="0" distL="0" distR="0" wp14:anchorId="2A8BBCD2" wp14:editId="175B571B">
            <wp:extent cx="6120130" cy="5805632"/>
            <wp:effectExtent l="0" t="0" r="1270" b="0"/>
            <wp:docPr id="1809538326" name="Picture 11" descr="Map shows practically available biomass residues by Victorian region, feedstock categories and key processing and waste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38326" name="Picture 11" descr="Map shows practically available biomass residues by Victorian region, feedstock categories and key processing and waste facilities."/>
                    <pic:cNvPicPr/>
                  </pic:nvPicPr>
                  <pic:blipFill rotWithShape="1">
                    <a:blip r:embed="rId26"/>
                    <a:srcRect t="945"/>
                    <a:stretch>
                      <a:fillRect/>
                    </a:stretch>
                  </pic:blipFill>
                  <pic:spPr bwMode="auto">
                    <a:xfrm>
                      <a:off x="0" y="0"/>
                      <a:ext cx="6120130" cy="5805632"/>
                    </a:xfrm>
                    <a:prstGeom prst="rect">
                      <a:avLst/>
                    </a:prstGeom>
                    <a:ln>
                      <a:noFill/>
                    </a:ln>
                    <a:extLst>
                      <a:ext uri="{53640926-AAD7-44D8-BBD7-CCE9431645EC}">
                        <a14:shadowObscured xmlns:a14="http://schemas.microsoft.com/office/drawing/2010/main"/>
                      </a:ext>
                    </a:extLst>
                  </pic:spPr>
                </pic:pic>
              </a:graphicData>
            </a:graphic>
          </wp:inline>
        </w:drawing>
      </w:r>
    </w:p>
    <w:p w14:paraId="7B37B1EB" w14:textId="263CAC97" w:rsidR="00CF06E1" w:rsidRPr="003E44AB" w:rsidRDefault="00F72D3A">
      <w:pPr>
        <w:pStyle w:val="BodyText"/>
      </w:pPr>
      <w:r w:rsidRPr="003E44AB">
        <w:fldChar w:fldCharType="begin"/>
      </w:r>
      <w:r w:rsidRPr="003E44AB">
        <w:instrText xml:space="preserve"> REF _Ref243562273 \h </w:instrText>
      </w:r>
      <w:r w:rsidRPr="003E44AB">
        <w:fldChar w:fldCharType="separate"/>
      </w:r>
      <w:r w:rsidR="00362FCF" w:rsidRPr="003E44AB">
        <w:t>Figure 6</w:t>
      </w:r>
      <w:r w:rsidRPr="003E44AB">
        <w:fldChar w:fldCharType="end"/>
      </w:r>
      <w:r w:rsidR="00CF06E1" w:rsidRPr="003E44AB">
        <w:t xml:space="preserve"> is a map of Victoria’s 6 regions, shaded by the volume of practically available biomass residues in </w:t>
      </w:r>
      <w:proofErr w:type="spellStart"/>
      <w:r w:rsidR="00CF06E1" w:rsidRPr="003E44AB">
        <w:t>kilotonnes</w:t>
      </w:r>
      <w:proofErr w:type="spellEnd"/>
      <w:r w:rsidR="00CF06E1" w:rsidRPr="003E44AB">
        <w:t xml:space="preserve"> per annum (</w:t>
      </w:r>
      <w:proofErr w:type="spellStart"/>
      <w:r w:rsidR="00CF06E1" w:rsidRPr="003E44AB">
        <w:t>ktpa</w:t>
      </w:r>
      <w:proofErr w:type="spellEnd"/>
      <w:r w:rsidR="00CF06E1" w:rsidRPr="003E44AB">
        <w:t xml:space="preserve">), in bands from less than 300 </w:t>
      </w:r>
      <w:proofErr w:type="spellStart"/>
      <w:r w:rsidR="00CF06E1" w:rsidRPr="003E44AB">
        <w:t>ktpa</w:t>
      </w:r>
      <w:proofErr w:type="spellEnd"/>
      <w:r w:rsidR="00CF06E1" w:rsidRPr="003E44AB">
        <w:t xml:space="preserve"> to 2,300–3,400 </w:t>
      </w:r>
      <w:proofErr w:type="spellStart"/>
      <w:r w:rsidR="00CF06E1" w:rsidRPr="003E44AB">
        <w:t>ktpa</w:t>
      </w:r>
      <w:proofErr w:type="spellEnd"/>
      <w:r w:rsidR="00CF06E1" w:rsidRPr="003E44AB">
        <w:t>. A doughnut chart for each region shows the mix of feedstock categories: broadacre waste and residues, horticulture waste and residues, livestock and meat processing waste and residues, plantation and wood processing waste and residues, waste sector, canola, tallow and used cooking oil (UCO). Table 3 summarises the data for each region.</w:t>
      </w:r>
    </w:p>
    <w:p w14:paraId="22B18733" w14:textId="77777777" w:rsidR="00CF06E1" w:rsidRPr="003E44AB" w:rsidRDefault="00CF06E1">
      <w:pPr>
        <w:pStyle w:val="BodyText"/>
      </w:pPr>
      <w:r w:rsidRPr="003E44AB">
        <w:lastRenderedPageBreak/>
        <w:t>The map also marks key facilities: oilseed crushing facilities, tallow renderers, landfills with high biogas potential, UCO collection and pretreatment sites, and major wastewater treatment plants (WWTP). Most landfills, UCO sites and wastewater treatment plants are clustered in and around Melbourne, while oilseed crushing facilities and tallow renderers are spread across northern, central and western Victoria.</w:t>
      </w:r>
    </w:p>
    <w:p w14:paraId="0F9C688D" w14:textId="637C2C8A" w:rsidR="00CF06E1" w:rsidRPr="003E44AB" w:rsidRDefault="00CF06E1">
      <w:pPr>
        <w:pStyle w:val="Caption"/>
        <w:keepNext/>
      </w:pPr>
      <w:r w:rsidRPr="003E44AB">
        <w:t xml:space="preserve">Table </w:t>
      </w:r>
      <w:fldSimple w:instr=" SEQ Table \* ARABIC \* MERGEFORMAT ">
        <w:r w:rsidR="00362FCF" w:rsidRPr="003E44AB">
          <w:t>3</w:t>
        </w:r>
      </w:fldSimple>
      <w:r w:rsidRPr="003E44AB">
        <w:t xml:space="preserve">: </w:t>
      </w:r>
      <w:r w:rsidRPr="003E44AB">
        <w:rPr>
          <w:b w:val="0"/>
          <w:bCs/>
        </w:rPr>
        <w:t>Practically available biomass residues by region</w:t>
      </w:r>
    </w:p>
    <w:tbl>
      <w:tblPr>
        <w:tblStyle w:val="Style2"/>
        <w:tblW w:w="0" w:type="auto"/>
        <w:tblLook w:val="04A0" w:firstRow="1" w:lastRow="0" w:firstColumn="1" w:lastColumn="0" w:noHBand="0" w:noVBand="1"/>
        <w:tblCaption w:val="Practically available biomass residues by region"/>
        <w:tblDescription w:val="Table with 3 columns, Region, Practically available biomass residues and Main feedstock categories, listing 6 Victorian regions. Port Phillip has the most at 2,774 ktpa, mainly waste sector, followed by Grampians at 1,737 ktpa and Loddon Mallee at 1,404 ktpa, mainly broadacre residues and canola. Hume has 794 ktpa, Barwon South West 761 ktpa and Gippsland 363 ktpa."/>
      </w:tblPr>
      <w:tblGrid>
        <w:gridCol w:w="2400"/>
        <w:gridCol w:w="2600"/>
        <w:gridCol w:w="4618"/>
      </w:tblGrid>
      <w:tr w:rsidR="003E7236" w:rsidRPr="003E44AB" w14:paraId="303CBC86" w14:textId="77777777" w:rsidTr="00194D50">
        <w:trPr>
          <w:cnfStyle w:val="100000000000" w:firstRow="1" w:lastRow="0" w:firstColumn="0" w:lastColumn="0" w:oddVBand="0" w:evenVBand="0" w:oddHBand="0" w:evenHBand="0" w:firstRowFirstColumn="0" w:firstRowLastColumn="0" w:lastRowFirstColumn="0" w:lastRowLastColumn="0"/>
          <w:cantSplit/>
          <w:tblHeader/>
        </w:trPr>
        <w:tc>
          <w:tcPr>
            <w:tcW w:w="2400" w:type="dxa"/>
          </w:tcPr>
          <w:p w14:paraId="58F96D26" w14:textId="77777777" w:rsidR="003E7236" w:rsidRPr="003E44AB" w:rsidRDefault="003E7236" w:rsidP="00194D50">
            <w:pPr>
              <w:pStyle w:val="Tabletext"/>
              <w:spacing w:line="240" w:lineRule="auto"/>
            </w:pPr>
            <w:bookmarkStart w:id="16" w:name="_Toc243485854"/>
            <w:r w:rsidRPr="003E44AB">
              <w:t>Region</w:t>
            </w:r>
          </w:p>
        </w:tc>
        <w:tc>
          <w:tcPr>
            <w:tcW w:w="2600" w:type="dxa"/>
          </w:tcPr>
          <w:p w14:paraId="73DD2158" w14:textId="77777777" w:rsidR="003E7236" w:rsidRPr="003E44AB" w:rsidRDefault="003E7236" w:rsidP="00194D50">
            <w:pPr>
              <w:pStyle w:val="Tabletext"/>
              <w:spacing w:line="240" w:lineRule="auto"/>
              <w:jc w:val="center"/>
            </w:pPr>
            <w:r w:rsidRPr="003E44AB">
              <w:t>Practically available biomass residues (</w:t>
            </w:r>
            <w:proofErr w:type="spellStart"/>
            <w:r w:rsidRPr="003E44AB">
              <w:t>ktpa</w:t>
            </w:r>
            <w:proofErr w:type="spellEnd"/>
            <w:r w:rsidRPr="003E44AB">
              <w:t>)</w:t>
            </w:r>
          </w:p>
        </w:tc>
        <w:tc>
          <w:tcPr>
            <w:tcW w:w="4618" w:type="dxa"/>
          </w:tcPr>
          <w:p w14:paraId="055530C6" w14:textId="77777777" w:rsidR="003E7236" w:rsidRPr="003E44AB" w:rsidRDefault="003E7236" w:rsidP="00194D50">
            <w:pPr>
              <w:pStyle w:val="Tabletext"/>
              <w:spacing w:line="240" w:lineRule="auto"/>
            </w:pPr>
            <w:r w:rsidRPr="003E44AB">
              <w:t>Main feedstock categories</w:t>
            </w:r>
          </w:p>
        </w:tc>
      </w:tr>
      <w:tr w:rsidR="003E7236" w:rsidRPr="003E44AB" w14:paraId="5418799E" w14:textId="77777777" w:rsidTr="00194D50">
        <w:trPr>
          <w:cantSplit/>
        </w:trPr>
        <w:tc>
          <w:tcPr>
            <w:tcW w:w="2400" w:type="dxa"/>
          </w:tcPr>
          <w:p w14:paraId="25193B0C" w14:textId="77777777" w:rsidR="003E7236" w:rsidRPr="003E44AB" w:rsidRDefault="003E7236">
            <w:pPr>
              <w:pStyle w:val="Tabletext"/>
            </w:pPr>
            <w:r w:rsidRPr="003E44AB">
              <w:t>Port Phillip</w:t>
            </w:r>
          </w:p>
        </w:tc>
        <w:tc>
          <w:tcPr>
            <w:tcW w:w="2600" w:type="dxa"/>
          </w:tcPr>
          <w:p w14:paraId="53FAF115" w14:textId="77777777" w:rsidR="003E7236" w:rsidRPr="003E44AB" w:rsidRDefault="003E7236" w:rsidP="00194D50">
            <w:pPr>
              <w:pStyle w:val="Tabletext"/>
              <w:jc w:val="center"/>
            </w:pPr>
            <w:r w:rsidRPr="003E44AB">
              <w:t>2,774</w:t>
            </w:r>
          </w:p>
        </w:tc>
        <w:tc>
          <w:tcPr>
            <w:tcW w:w="4618" w:type="dxa"/>
          </w:tcPr>
          <w:p w14:paraId="5CFF9588" w14:textId="77777777" w:rsidR="003E7236" w:rsidRPr="003E44AB" w:rsidRDefault="003E7236">
            <w:pPr>
              <w:pStyle w:val="Tabletext"/>
            </w:pPr>
            <w:r w:rsidRPr="003E44AB">
              <w:t>Almost entirely waste sector, with small amounts of tallow and livestock and meat processing waste</w:t>
            </w:r>
          </w:p>
        </w:tc>
      </w:tr>
      <w:tr w:rsidR="003E7236" w:rsidRPr="003E44AB" w14:paraId="4AFEBFC7" w14:textId="77777777" w:rsidTr="00194D50">
        <w:trPr>
          <w:cantSplit/>
        </w:trPr>
        <w:tc>
          <w:tcPr>
            <w:tcW w:w="2400" w:type="dxa"/>
          </w:tcPr>
          <w:p w14:paraId="49FE7BDD" w14:textId="77777777" w:rsidR="003E7236" w:rsidRPr="003E44AB" w:rsidRDefault="003E7236">
            <w:pPr>
              <w:pStyle w:val="Tabletext"/>
            </w:pPr>
            <w:r w:rsidRPr="003E44AB">
              <w:t>Grampians</w:t>
            </w:r>
          </w:p>
        </w:tc>
        <w:tc>
          <w:tcPr>
            <w:tcW w:w="2600" w:type="dxa"/>
          </w:tcPr>
          <w:p w14:paraId="42E2A27B" w14:textId="77777777" w:rsidR="003E7236" w:rsidRPr="003E44AB" w:rsidRDefault="003E7236" w:rsidP="00194D50">
            <w:pPr>
              <w:pStyle w:val="Tabletext"/>
              <w:jc w:val="center"/>
            </w:pPr>
            <w:r w:rsidRPr="003E44AB">
              <w:t>1,737</w:t>
            </w:r>
          </w:p>
        </w:tc>
        <w:tc>
          <w:tcPr>
            <w:tcW w:w="4618" w:type="dxa"/>
          </w:tcPr>
          <w:p w14:paraId="0B801052" w14:textId="77777777" w:rsidR="003E7236" w:rsidRPr="003E44AB" w:rsidRDefault="003E7236">
            <w:pPr>
              <w:pStyle w:val="Tabletext"/>
            </w:pPr>
            <w:r w:rsidRPr="003E44AB">
              <w:t>Mainly broadacre waste and residues and canola, with some waste sector</w:t>
            </w:r>
          </w:p>
        </w:tc>
      </w:tr>
      <w:tr w:rsidR="003E7236" w:rsidRPr="003E44AB" w14:paraId="6058D0CB" w14:textId="77777777" w:rsidTr="00194D50">
        <w:trPr>
          <w:cantSplit/>
        </w:trPr>
        <w:tc>
          <w:tcPr>
            <w:tcW w:w="2400" w:type="dxa"/>
          </w:tcPr>
          <w:p w14:paraId="2A1012A8" w14:textId="77777777" w:rsidR="003E7236" w:rsidRPr="003E44AB" w:rsidRDefault="003E7236">
            <w:pPr>
              <w:pStyle w:val="Tabletext"/>
            </w:pPr>
            <w:r w:rsidRPr="003E44AB">
              <w:t>Loddon Mallee</w:t>
            </w:r>
          </w:p>
        </w:tc>
        <w:tc>
          <w:tcPr>
            <w:tcW w:w="2600" w:type="dxa"/>
          </w:tcPr>
          <w:p w14:paraId="45A876F2" w14:textId="77777777" w:rsidR="003E7236" w:rsidRPr="003E44AB" w:rsidRDefault="003E7236" w:rsidP="00194D50">
            <w:pPr>
              <w:pStyle w:val="Tabletext"/>
              <w:jc w:val="center"/>
            </w:pPr>
            <w:r w:rsidRPr="003E44AB">
              <w:t>1,404</w:t>
            </w:r>
          </w:p>
        </w:tc>
        <w:tc>
          <w:tcPr>
            <w:tcW w:w="4618" w:type="dxa"/>
          </w:tcPr>
          <w:p w14:paraId="6AE7F96E" w14:textId="77777777" w:rsidR="003E7236" w:rsidRPr="003E44AB" w:rsidRDefault="003E7236">
            <w:pPr>
              <w:pStyle w:val="Tabletext"/>
            </w:pPr>
            <w:r w:rsidRPr="003E44AB">
              <w:t>Mainly broadacre waste and residues, with canola, waste sector and small amounts of livestock and horticulture waste</w:t>
            </w:r>
          </w:p>
        </w:tc>
      </w:tr>
      <w:tr w:rsidR="003E7236" w:rsidRPr="003E44AB" w14:paraId="1019F8C9" w14:textId="77777777" w:rsidTr="00194D50">
        <w:trPr>
          <w:cantSplit/>
        </w:trPr>
        <w:tc>
          <w:tcPr>
            <w:tcW w:w="2400" w:type="dxa"/>
          </w:tcPr>
          <w:p w14:paraId="4A4EE1E0" w14:textId="77777777" w:rsidR="003E7236" w:rsidRPr="003E44AB" w:rsidRDefault="003E7236">
            <w:pPr>
              <w:pStyle w:val="Tabletext"/>
            </w:pPr>
            <w:r w:rsidRPr="003E44AB">
              <w:t>Hume</w:t>
            </w:r>
          </w:p>
        </w:tc>
        <w:tc>
          <w:tcPr>
            <w:tcW w:w="2600" w:type="dxa"/>
          </w:tcPr>
          <w:p w14:paraId="4F3C17F4" w14:textId="77777777" w:rsidR="003E7236" w:rsidRPr="003E44AB" w:rsidRDefault="003E7236" w:rsidP="00194D50">
            <w:pPr>
              <w:pStyle w:val="Tabletext"/>
              <w:jc w:val="center"/>
            </w:pPr>
            <w:r w:rsidRPr="003E44AB">
              <w:t>794</w:t>
            </w:r>
          </w:p>
        </w:tc>
        <w:tc>
          <w:tcPr>
            <w:tcW w:w="4618" w:type="dxa"/>
          </w:tcPr>
          <w:p w14:paraId="4F6FD3B7" w14:textId="77777777" w:rsidR="003E7236" w:rsidRPr="003E44AB" w:rsidRDefault="003E7236">
            <w:pPr>
              <w:pStyle w:val="Tabletext"/>
            </w:pPr>
            <w:r w:rsidRPr="003E44AB">
              <w:t>Broadacre waste and residues, waste sector and canola, with small amounts of livestock and plantation waste</w:t>
            </w:r>
          </w:p>
        </w:tc>
      </w:tr>
      <w:tr w:rsidR="003E7236" w:rsidRPr="003E44AB" w14:paraId="2D5BC41A" w14:textId="77777777" w:rsidTr="00194D50">
        <w:trPr>
          <w:cantSplit/>
        </w:trPr>
        <w:tc>
          <w:tcPr>
            <w:tcW w:w="2400" w:type="dxa"/>
          </w:tcPr>
          <w:p w14:paraId="4F6A00AC" w14:textId="77777777" w:rsidR="003E7236" w:rsidRPr="003E44AB" w:rsidRDefault="003E7236">
            <w:pPr>
              <w:pStyle w:val="Tabletext"/>
            </w:pPr>
            <w:r w:rsidRPr="003E44AB">
              <w:t xml:space="preserve">Barwon </w:t>
            </w:r>
            <w:proofErr w:type="gramStart"/>
            <w:r w:rsidRPr="003E44AB">
              <w:t>South West</w:t>
            </w:r>
            <w:proofErr w:type="gramEnd"/>
          </w:p>
        </w:tc>
        <w:tc>
          <w:tcPr>
            <w:tcW w:w="2600" w:type="dxa"/>
          </w:tcPr>
          <w:p w14:paraId="30A8B588" w14:textId="77777777" w:rsidR="003E7236" w:rsidRPr="003E44AB" w:rsidRDefault="003E7236" w:rsidP="00194D50">
            <w:pPr>
              <w:pStyle w:val="Tabletext"/>
              <w:jc w:val="center"/>
            </w:pPr>
            <w:r w:rsidRPr="003E44AB">
              <w:t>761</w:t>
            </w:r>
          </w:p>
        </w:tc>
        <w:tc>
          <w:tcPr>
            <w:tcW w:w="4618" w:type="dxa"/>
          </w:tcPr>
          <w:p w14:paraId="5348DD39" w14:textId="77777777" w:rsidR="003E7236" w:rsidRPr="003E44AB" w:rsidRDefault="003E7236">
            <w:pPr>
              <w:pStyle w:val="Tabletext"/>
            </w:pPr>
            <w:r w:rsidRPr="003E44AB">
              <w:t>Mainly waste sector, with broadacre waste and residues, livestock and meat processing waste, canola and plantation waste</w:t>
            </w:r>
          </w:p>
        </w:tc>
      </w:tr>
      <w:tr w:rsidR="003E7236" w:rsidRPr="003E44AB" w14:paraId="6D9D8C10" w14:textId="77777777" w:rsidTr="00194D50">
        <w:trPr>
          <w:cantSplit/>
        </w:trPr>
        <w:tc>
          <w:tcPr>
            <w:tcW w:w="2400" w:type="dxa"/>
          </w:tcPr>
          <w:p w14:paraId="347EDE9B" w14:textId="77777777" w:rsidR="003E7236" w:rsidRPr="003E44AB" w:rsidRDefault="003E7236">
            <w:pPr>
              <w:pStyle w:val="Tabletext"/>
            </w:pPr>
            <w:r w:rsidRPr="003E44AB">
              <w:t>Gippsland</w:t>
            </w:r>
          </w:p>
        </w:tc>
        <w:tc>
          <w:tcPr>
            <w:tcW w:w="2600" w:type="dxa"/>
          </w:tcPr>
          <w:p w14:paraId="022EACE4" w14:textId="77777777" w:rsidR="003E7236" w:rsidRPr="003E44AB" w:rsidRDefault="003E7236" w:rsidP="00194D50">
            <w:pPr>
              <w:pStyle w:val="Tabletext"/>
              <w:jc w:val="center"/>
            </w:pPr>
            <w:r w:rsidRPr="003E44AB">
              <w:t>363</w:t>
            </w:r>
          </w:p>
        </w:tc>
        <w:tc>
          <w:tcPr>
            <w:tcW w:w="4618" w:type="dxa"/>
          </w:tcPr>
          <w:p w14:paraId="53AB4C5E" w14:textId="77777777" w:rsidR="003E7236" w:rsidRPr="003E44AB" w:rsidRDefault="003E7236">
            <w:pPr>
              <w:pStyle w:val="Tabletext"/>
            </w:pPr>
            <w:r w:rsidRPr="003E44AB">
              <w:t>Mainly waste sector, with livestock and meat processing waste and plantation and wood processing waste</w:t>
            </w:r>
          </w:p>
        </w:tc>
      </w:tr>
    </w:tbl>
    <w:p w14:paraId="63AFD542" w14:textId="77777777" w:rsidR="00CF06E1" w:rsidRPr="003E44AB" w:rsidRDefault="00CF06E1">
      <w:pPr>
        <w:pStyle w:val="Heading1"/>
        <w:pageBreakBefore/>
      </w:pPr>
      <w:r w:rsidRPr="003E44AB">
        <w:lastRenderedPageBreak/>
        <w:t>Leverage established energy infrastructure</w:t>
      </w:r>
      <w:bookmarkEnd w:id="16"/>
    </w:p>
    <w:p w14:paraId="41C46CF0" w14:textId="77777777" w:rsidR="00CF06E1" w:rsidRPr="003E44AB" w:rsidRDefault="00CF06E1" w:rsidP="00F72D3A">
      <w:pPr>
        <w:pStyle w:val="Introductoryparagraph"/>
        <w:spacing w:after="120"/>
      </w:pPr>
      <w:r w:rsidRPr="003E44AB">
        <w:t>Victoria sits at the intersection of major electricity, gas, fuel and logistics networks, with established refining, storage, terminal and distribution infrastructure already serving large domestic markets.</w:t>
      </w:r>
    </w:p>
    <w:p w14:paraId="279415B8" w14:textId="77777777" w:rsidR="00CF06E1" w:rsidRPr="003E44AB" w:rsidRDefault="00CF06E1" w:rsidP="00F72D3A">
      <w:pPr>
        <w:pStyle w:val="BodyText"/>
        <w:spacing w:after="120"/>
      </w:pPr>
      <w:r w:rsidRPr="003E44AB">
        <w:t>One of only 2 refineries remaining in Australia, the Geelong refinery anchors this system and supplies more than half of Victoria’s fuel. This existing infrastructure network can support the development, handling and distribution of low-carbon liquid fuels, helping to reduce delivery risk for future projects.</w:t>
      </w:r>
    </w:p>
    <w:p w14:paraId="77120836" w14:textId="40D57B27" w:rsidR="00CF06E1" w:rsidRPr="003E44AB" w:rsidRDefault="00CF06E1">
      <w:pPr>
        <w:pStyle w:val="Caption"/>
        <w:keepNext/>
      </w:pPr>
      <w:r w:rsidRPr="003E44AB">
        <w:lastRenderedPageBreak/>
        <w:t xml:space="preserve">Figure </w:t>
      </w:r>
      <w:fldSimple w:instr=" SEQ Figure \* ARABIC \* MERGEFORMAT ">
        <w:r w:rsidR="00362FCF" w:rsidRPr="003E44AB">
          <w:t>7</w:t>
        </w:r>
      </w:fldSimple>
      <w:r w:rsidRPr="003E44AB">
        <w:t xml:space="preserve">: </w:t>
      </w:r>
      <w:r w:rsidRPr="003E44AB">
        <w:rPr>
          <w:b w:val="0"/>
          <w:bCs/>
        </w:rPr>
        <w:t>Victoria’s energy and fuel infrastructure can support local renewable fuel production and distribution</w:t>
      </w:r>
    </w:p>
    <w:p w14:paraId="2A7DD322" w14:textId="45DDC397" w:rsidR="00F72D3A" w:rsidRPr="003E44AB" w:rsidRDefault="00F72D3A" w:rsidP="00D206AA">
      <w:pPr>
        <w:pStyle w:val="BodyText"/>
        <w:rPr>
          <w:highlight w:val="yellow"/>
        </w:rPr>
      </w:pPr>
      <w:r w:rsidRPr="003E44AB">
        <w:rPr>
          <w:noProof/>
        </w:rPr>
        <w:drawing>
          <wp:inline distT="0" distB="0" distL="0" distR="0" wp14:anchorId="67A54AB9" wp14:editId="5CC9AAD4">
            <wp:extent cx="6120471" cy="5947741"/>
            <wp:effectExtent l="12700" t="12700" r="13970" b="8890"/>
            <wp:docPr id="287415250" name="Picture 12" descr="Map shows Victorian electricity, gas, fuel, freight, airport, port, refinery and terminal infrastructure supporting renewable fuel production and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15250" name="Picture 12" descr="Map shows Victorian electricity, gas, fuel, freight, airport, port, refinery and terminal infrastructure supporting renewable fuel production and distribution."/>
                    <pic:cNvPicPr/>
                  </pic:nvPicPr>
                  <pic:blipFill>
                    <a:blip r:embed="rId27"/>
                    <a:stretch>
                      <a:fillRect/>
                    </a:stretch>
                  </pic:blipFill>
                  <pic:spPr>
                    <a:xfrm>
                      <a:off x="0" y="0"/>
                      <a:ext cx="6215768" cy="6040348"/>
                    </a:xfrm>
                    <a:prstGeom prst="rect">
                      <a:avLst/>
                    </a:prstGeom>
                    <a:ln>
                      <a:solidFill>
                        <a:schemeClr val="tx1"/>
                      </a:solidFill>
                    </a:ln>
                  </pic:spPr>
                </pic:pic>
              </a:graphicData>
            </a:graphic>
          </wp:inline>
        </w:drawing>
      </w:r>
    </w:p>
    <w:p w14:paraId="55984C55" w14:textId="77777777" w:rsidR="00CF06E1" w:rsidRPr="003E44AB" w:rsidRDefault="00CF06E1" w:rsidP="00D206AA">
      <w:pPr>
        <w:pStyle w:val="Normalbeforebullets"/>
        <w:spacing w:before="120" w:after="120"/>
      </w:pPr>
      <w:r w:rsidRPr="003E44AB">
        <w:t>Figure 7 is a map of Victoria’s energy and fuel infrastructure. It shows:</w:t>
      </w:r>
    </w:p>
    <w:p w14:paraId="4EB53916" w14:textId="77777777" w:rsidR="00CF06E1" w:rsidRPr="003E44AB" w:rsidRDefault="00CF06E1">
      <w:pPr>
        <w:pStyle w:val="ListBullet"/>
      </w:pPr>
      <w:r w:rsidRPr="003E44AB">
        <w:t>renewable energy zones (REZ) across western, northern and south-eastern Victoria</w:t>
      </w:r>
    </w:p>
    <w:p w14:paraId="195BE387" w14:textId="77777777" w:rsidR="00CF06E1" w:rsidRPr="003E44AB" w:rsidRDefault="00CF06E1">
      <w:pPr>
        <w:pStyle w:val="ListBullet"/>
      </w:pPr>
      <w:r w:rsidRPr="003E44AB">
        <w:t>existing electricity transmission lines (220–275 kV, 330 kV and 400–500 kV), transmission projects under development and the draft preferred route for offshore wind transmission</w:t>
      </w:r>
    </w:p>
    <w:p w14:paraId="7534600C" w14:textId="77777777" w:rsidR="00CF06E1" w:rsidRPr="003E44AB" w:rsidRDefault="00CF06E1">
      <w:pPr>
        <w:pStyle w:val="ListBullet"/>
      </w:pPr>
      <w:r w:rsidRPr="003E44AB">
        <w:lastRenderedPageBreak/>
        <w:t>interconnectors to other states: VIC-SA Interconnector (near Mildura) and VIC-SA (Heywood) to South Australia, VIC-NSW (</w:t>
      </w:r>
      <w:proofErr w:type="spellStart"/>
      <w:r w:rsidRPr="003E44AB">
        <w:t>Murraylink</w:t>
      </w:r>
      <w:proofErr w:type="spellEnd"/>
      <w:r w:rsidRPr="003E44AB">
        <w:t>) to New South Wales, and TAS-VIC (</w:t>
      </w:r>
      <w:proofErr w:type="spellStart"/>
      <w:r w:rsidRPr="003E44AB">
        <w:t>Basslink</w:t>
      </w:r>
      <w:proofErr w:type="spellEnd"/>
      <w:r w:rsidRPr="003E44AB">
        <w:t>) to Tasmania</w:t>
      </w:r>
    </w:p>
    <w:p w14:paraId="75559A6D" w14:textId="77777777" w:rsidR="00CF06E1" w:rsidRPr="003E44AB" w:rsidRDefault="00CF06E1">
      <w:pPr>
        <w:pStyle w:val="ListBullet"/>
      </w:pPr>
      <w:r w:rsidRPr="003E44AB">
        <w:t>the Gippsland and Southern Ocean declared offshore wind areas and an offshore wind transmission corridor</w:t>
      </w:r>
    </w:p>
    <w:p w14:paraId="7012415B" w14:textId="77777777" w:rsidR="00CF06E1" w:rsidRPr="003E44AB" w:rsidRDefault="00CF06E1">
      <w:pPr>
        <w:pStyle w:val="ListBullet"/>
      </w:pPr>
      <w:r w:rsidRPr="003E44AB">
        <w:t>gas pipelines, oil pipelines and the freight network connecting regional centres including Mildura, Swan Hill, Bendigo, Shepparton, Ballarat, Horsham, Warrnambool, Portland, Traralgon and Sale</w:t>
      </w:r>
    </w:p>
    <w:p w14:paraId="07622058" w14:textId="77777777" w:rsidR="00CF06E1" w:rsidRPr="003E44AB" w:rsidRDefault="00CF06E1">
      <w:pPr>
        <w:pStyle w:val="ListBullet"/>
      </w:pPr>
      <w:r w:rsidRPr="003E44AB">
        <w:t>the Geelong Refinery and fuel terminals at Newport, Altona, Yarraville and Hastings</w:t>
      </w:r>
    </w:p>
    <w:p w14:paraId="5A7F932E" w14:textId="77777777" w:rsidR="00CF06E1" w:rsidRPr="003E44AB" w:rsidRDefault="00CF06E1">
      <w:pPr>
        <w:pStyle w:val="ListBullet"/>
      </w:pPr>
      <w:r w:rsidRPr="003E44AB">
        <w:t>deepwater ports at Portland, Geelong, Melbourne and Hastings</w:t>
      </w:r>
    </w:p>
    <w:p w14:paraId="6B3E22ED" w14:textId="77777777" w:rsidR="00CF06E1" w:rsidRPr="003E44AB" w:rsidRDefault="00CF06E1">
      <w:pPr>
        <w:pStyle w:val="ListBullet"/>
      </w:pPr>
      <w:r w:rsidRPr="003E44AB">
        <w:t>international airports at Tullamarine and Avalon, Essendon and Moorabbin airports, and regional airports including Mildura and Bendigo</w:t>
      </w:r>
    </w:p>
    <w:p w14:paraId="49CEC86C" w14:textId="77777777" w:rsidR="00CF06E1" w:rsidRPr="003E44AB" w:rsidRDefault="00CF06E1">
      <w:pPr>
        <w:pStyle w:val="LastBulletinList"/>
      </w:pPr>
      <w:r w:rsidRPr="003E44AB">
        <w:t>a biofuels facility in north-eastern Victoria near Albury.</w:t>
      </w:r>
    </w:p>
    <w:p w14:paraId="1CEBA77C" w14:textId="77777777" w:rsidR="00CF06E1" w:rsidRPr="003E44AB" w:rsidRDefault="00CF06E1">
      <w:pPr>
        <w:pStyle w:val="Heading2"/>
      </w:pPr>
      <w:r w:rsidRPr="003E44AB">
        <w:t>Case study: Viva Energy</w:t>
      </w:r>
    </w:p>
    <w:p w14:paraId="17850821" w14:textId="77777777" w:rsidR="00CF06E1" w:rsidRPr="003E44AB" w:rsidRDefault="00CF06E1">
      <w:pPr>
        <w:pStyle w:val="BodyText"/>
      </w:pPr>
      <w:r w:rsidRPr="003E44AB">
        <w:t>Viva Energy’s co-processing trials at the Geelong Refinery are demonstrating how existing industrial infrastructure could support Victoria’s transition to a circular economy and the production of lower-carbon fuels and products. By trialling the use of alternative feedstocks such as used cooking oil, Viva Energy is showing how established refinery assets can contribute to creating new materials and support future pathways for renewable fuels and other circular products.</w:t>
      </w:r>
    </w:p>
    <w:p w14:paraId="6595A9C9" w14:textId="77777777" w:rsidR="00CF06E1" w:rsidRPr="003E44AB" w:rsidRDefault="00CF06E1">
      <w:pPr>
        <w:pStyle w:val="BodyText"/>
      </w:pPr>
      <w:r w:rsidRPr="003E44AB">
        <w:t xml:space="preserve">Viva Energy has undertaken a trial with </w:t>
      </w:r>
      <w:proofErr w:type="spellStart"/>
      <w:r w:rsidRPr="003E44AB">
        <w:t>Snackbrands</w:t>
      </w:r>
      <w:proofErr w:type="spellEnd"/>
      <w:r w:rsidRPr="003E44AB">
        <w:t xml:space="preserve"> Australia and Cleanaway, transforming used cooking oil into food-grade plastic packaging, highlighting the potential to extend material life and create higher-value uses for waste streams.</w:t>
      </w:r>
    </w:p>
    <w:p w14:paraId="465A6852" w14:textId="77777777" w:rsidR="00CF06E1" w:rsidRPr="003E44AB" w:rsidRDefault="00CF06E1">
      <w:pPr>
        <w:pStyle w:val="Heading1"/>
        <w:pageBreakBefore/>
      </w:pPr>
      <w:bookmarkStart w:id="17" w:name="_Toc243485855"/>
      <w:r w:rsidRPr="003E44AB">
        <w:lastRenderedPageBreak/>
        <w:t>Victorian Government policies driving renewable fuels investment</w:t>
      </w:r>
      <w:bookmarkEnd w:id="17"/>
    </w:p>
    <w:p w14:paraId="5703DE86" w14:textId="77777777" w:rsidR="00CF06E1" w:rsidRPr="003E44AB" w:rsidRDefault="00CF06E1">
      <w:pPr>
        <w:pStyle w:val="Introductoryparagraph"/>
      </w:pPr>
      <w:r w:rsidRPr="003E44AB">
        <w:t xml:space="preserve">Building on the </w:t>
      </w:r>
      <w:r w:rsidRPr="003E44AB">
        <w:rPr>
          <w:i/>
        </w:rPr>
        <w:t>Renewable Hydrogen Industry Development Plan (2021)</w:t>
      </w:r>
      <w:r w:rsidRPr="003E44AB">
        <w:t>, Victoria has expanded its focus to include multiple renewable fuels that can deliver earlier emissions reductions and faster deployment, while continuing to support hydrogen’s long-term role.</w:t>
      </w:r>
    </w:p>
    <w:p w14:paraId="4A7C9E8F" w14:textId="77777777" w:rsidR="00CF06E1" w:rsidRPr="003E44AB" w:rsidRDefault="00CF06E1">
      <w:pPr>
        <w:pStyle w:val="Heading2"/>
      </w:pPr>
      <w:r w:rsidRPr="003E44AB">
        <w:rPr>
          <w:i/>
        </w:rPr>
        <w:t>Climate Action Act 2017</w:t>
      </w:r>
      <w:r w:rsidRPr="003E44AB">
        <w:t xml:space="preserve"> and Climate Change Strategy 2026–30</w:t>
      </w:r>
    </w:p>
    <w:p w14:paraId="29DBB2A9" w14:textId="77777777" w:rsidR="00CF06E1" w:rsidRPr="003E44AB" w:rsidRDefault="00CF06E1">
      <w:pPr>
        <w:pStyle w:val="BodyText"/>
      </w:pPr>
      <w:r w:rsidRPr="003E44AB">
        <w:t>Victoria’s legislated emissions reduction targets create a clear long-term demand signal for renewable fuels.</w:t>
      </w:r>
    </w:p>
    <w:p w14:paraId="6C61C7A5" w14:textId="7CADFE0E" w:rsidR="00CF06E1" w:rsidRPr="003E44AB" w:rsidRDefault="00CF06E1">
      <w:pPr>
        <w:pStyle w:val="BodyText"/>
      </w:pPr>
      <w:r w:rsidRPr="003E44AB">
        <w:t xml:space="preserve">For more information, visit the </w:t>
      </w:r>
      <w:hyperlink r:id="rId28" w:tooltip="Opens the Victorian Government climate change website page about Victoria’s Climate Change Strategy" w:history="1">
        <w:r w:rsidRPr="003E44AB">
          <w:rPr>
            <w:rStyle w:val="Hyperlink"/>
          </w:rPr>
          <w:t>Victoria’s Climate Change Strategy page</w:t>
        </w:r>
      </w:hyperlink>
      <w:r w:rsidRPr="003E44AB">
        <w:t>.</w:t>
      </w:r>
    </w:p>
    <w:p w14:paraId="7E35055D" w14:textId="77777777" w:rsidR="00CF06E1" w:rsidRPr="003E44AB" w:rsidRDefault="00CF06E1">
      <w:pPr>
        <w:pStyle w:val="Heading2"/>
      </w:pPr>
      <w:r w:rsidRPr="003E44AB">
        <w:t>Victorian Economic Growth Statement</w:t>
      </w:r>
    </w:p>
    <w:p w14:paraId="531BCDB9" w14:textId="77777777" w:rsidR="00CF06E1" w:rsidRPr="003E44AB" w:rsidRDefault="00CF06E1">
      <w:pPr>
        <w:pStyle w:val="BodyText"/>
      </w:pPr>
      <w:r w:rsidRPr="003E44AB">
        <w:t>Victoria’s Economic Growth Statement targets opening the door to investment and innovation, cutting red tape, building new skills and reaching every corner of Victoria.</w:t>
      </w:r>
    </w:p>
    <w:p w14:paraId="6CB025AB" w14:textId="0724BA60" w:rsidR="00CF06E1" w:rsidRPr="003E44AB" w:rsidRDefault="00CF06E1">
      <w:pPr>
        <w:pStyle w:val="BodyText"/>
      </w:pPr>
      <w:r w:rsidRPr="003E44AB">
        <w:t xml:space="preserve">For more information, visit the </w:t>
      </w:r>
      <w:hyperlink r:id="rId29" w:tooltip="Opens the Victorian Government web page about the Victorian Economic Growth Statement" w:history="1">
        <w:r w:rsidRPr="003E44AB">
          <w:rPr>
            <w:rStyle w:val="Hyperlink"/>
          </w:rPr>
          <w:t>Economic Growth Statement page</w:t>
        </w:r>
      </w:hyperlink>
      <w:r w:rsidRPr="003E44AB">
        <w:t>.</w:t>
      </w:r>
    </w:p>
    <w:p w14:paraId="3CA20DCD" w14:textId="77777777" w:rsidR="00CF06E1" w:rsidRPr="003E44AB" w:rsidRDefault="00CF06E1">
      <w:pPr>
        <w:pStyle w:val="Heading2"/>
      </w:pPr>
      <w:r w:rsidRPr="003E44AB">
        <w:t>Victorian Industry Policy</w:t>
      </w:r>
    </w:p>
    <w:p w14:paraId="2FF854E7" w14:textId="77777777" w:rsidR="00CF06E1" w:rsidRPr="003E44AB" w:rsidRDefault="00CF06E1">
      <w:pPr>
        <w:pStyle w:val="BodyText"/>
      </w:pPr>
      <w:r w:rsidRPr="003E44AB">
        <w:t>Identifies renewable fuels as part of Victoria’s strategic industry growth agenda.</w:t>
      </w:r>
    </w:p>
    <w:p w14:paraId="64DDFD2E" w14:textId="7AC19AD1" w:rsidR="00CF06E1" w:rsidRPr="003E44AB" w:rsidRDefault="00CF06E1">
      <w:pPr>
        <w:pStyle w:val="BodyText"/>
      </w:pPr>
      <w:r w:rsidRPr="003E44AB">
        <w:t xml:space="preserve">For more information, visit the </w:t>
      </w:r>
      <w:hyperlink r:id="rId30" w:tooltip="Opens the Department of Jobs, Skills, Industry and Regions web page about the Victorian Industry Policy" w:history="1">
        <w:r w:rsidRPr="003E44AB">
          <w:rPr>
            <w:rStyle w:val="Hyperlink"/>
          </w:rPr>
          <w:t>Victorian Industry Policy page</w:t>
        </w:r>
      </w:hyperlink>
      <w:r w:rsidRPr="003E44AB">
        <w:t>.</w:t>
      </w:r>
    </w:p>
    <w:p w14:paraId="3346B0B1" w14:textId="77777777" w:rsidR="00CF06E1" w:rsidRPr="003E44AB" w:rsidRDefault="00CF06E1">
      <w:pPr>
        <w:pStyle w:val="Heading2"/>
      </w:pPr>
      <w:r w:rsidRPr="003E44AB">
        <w:lastRenderedPageBreak/>
        <w:t>Victorian Freight Plan</w:t>
      </w:r>
    </w:p>
    <w:p w14:paraId="39F54E1E" w14:textId="77777777" w:rsidR="00CF06E1" w:rsidRPr="003E44AB" w:rsidRDefault="00CF06E1">
      <w:pPr>
        <w:pStyle w:val="BodyText"/>
      </w:pPr>
      <w:r w:rsidRPr="003E44AB">
        <w:t>Highlights renewable fuels as a pathway to decarbonise heavy freight and supply chains.</w:t>
      </w:r>
    </w:p>
    <w:p w14:paraId="12C2AA3F" w14:textId="45A9908C" w:rsidR="00CF06E1" w:rsidRPr="003E44AB" w:rsidRDefault="00CF06E1">
      <w:pPr>
        <w:pStyle w:val="BodyText"/>
      </w:pPr>
      <w:r w:rsidRPr="003E44AB">
        <w:t xml:space="preserve">For more information, visit the </w:t>
      </w:r>
      <w:hyperlink r:id="rId31" w:tooltip="Opens the Victorian Government web page about freight in Victoria and the Victorian Freight Plan" w:history="1">
        <w:r w:rsidRPr="003E44AB">
          <w:rPr>
            <w:rStyle w:val="Hyperlink"/>
          </w:rPr>
          <w:t>Victorian Freight Plan page</w:t>
        </w:r>
      </w:hyperlink>
      <w:r w:rsidRPr="003E44AB">
        <w:t>.</w:t>
      </w:r>
    </w:p>
    <w:p w14:paraId="5109E217" w14:textId="77777777" w:rsidR="00CF06E1" w:rsidRPr="003E44AB" w:rsidRDefault="00CF06E1">
      <w:pPr>
        <w:pStyle w:val="Heading2"/>
      </w:pPr>
      <w:r w:rsidRPr="003E44AB">
        <w:t>Other intersecting policies</w:t>
      </w:r>
    </w:p>
    <w:p w14:paraId="033376D5" w14:textId="4DD47344" w:rsidR="00CF06E1" w:rsidRPr="003E44AB" w:rsidRDefault="00CF06E1">
      <w:pPr>
        <w:pStyle w:val="ListBullet"/>
      </w:pPr>
      <w:r w:rsidRPr="003E44AB">
        <w:t xml:space="preserve">Recycling Victoria: A new economy. For more information, visit the </w:t>
      </w:r>
      <w:hyperlink r:id="rId32" w:tooltip="Opens the Victorian Government web page about Recycling Victoria: A new economy, Victoria’s circular economy plan" w:history="1">
        <w:r w:rsidRPr="003E44AB">
          <w:rPr>
            <w:rStyle w:val="Hyperlink"/>
          </w:rPr>
          <w:t>Recycling Victoria: A new economy page</w:t>
        </w:r>
      </w:hyperlink>
      <w:r w:rsidRPr="003E44AB">
        <w:t>.</w:t>
      </w:r>
    </w:p>
    <w:p w14:paraId="68628120" w14:textId="226EF39D" w:rsidR="00CF06E1" w:rsidRPr="003E44AB" w:rsidRDefault="00CF06E1">
      <w:pPr>
        <w:pStyle w:val="ListBullet"/>
      </w:pPr>
      <w:r w:rsidRPr="003E44AB">
        <w:rPr>
          <w:i/>
        </w:rPr>
        <w:t>Clean Economy Workforce Development Strategy 2023 to 2033</w:t>
      </w:r>
      <w:r w:rsidRPr="003E44AB">
        <w:t xml:space="preserve">. For more information, visit the </w:t>
      </w:r>
      <w:hyperlink r:id="rId33" w:tooltip="Opens the Victorian Government web page about the Clean Economy Workforce Development Strategy 2023 to 2033" w:history="1">
        <w:r w:rsidRPr="003E44AB">
          <w:rPr>
            <w:rStyle w:val="Hyperlink"/>
          </w:rPr>
          <w:t>Clean Economy Workforce Development Strategy page</w:t>
        </w:r>
      </w:hyperlink>
      <w:r w:rsidRPr="003E44AB">
        <w:t>.</w:t>
      </w:r>
    </w:p>
    <w:p w14:paraId="260087DD" w14:textId="1BE15CCB" w:rsidR="00CF06E1" w:rsidRPr="003E44AB" w:rsidRDefault="00CF06E1" w:rsidP="00F72D3A">
      <w:pPr>
        <w:pStyle w:val="ListBullet"/>
        <w:ind w:right="-427"/>
      </w:pPr>
      <w:r w:rsidRPr="003E44AB">
        <w:rPr>
          <w:i/>
        </w:rPr>
        <w:t>Victorian Energy Jobs Plan</w:t>
      </w:r>
      <w:r w:rsidRPr="003E44AB">
        <w:t xml:space="preserve">. For more information, visit the </w:t>
      </w:r>
      <w:hyperlink r:id="rId34" w:tooltip="Opens the Victorian Government energy website page about the Victorian Energy Jobs Plan" w:history="1">
        <w:r w:rsidRPr="003E44AB">
          <w:rPr>
            <w:rStyle w:val="Hyperlink"/>
          </w:rPr>
          <w:t>Victorian Energy Jobs Plan page</w:t>
        </w:r>
      </w:hyperlink>
      <w:r w:rsidRPr="003E44AB">
        <w:t>.</w:t>
      </w:r>
    </w:p>
    <w:p w14:paraId="7D68EE97" w14:textId="4A8FCBDC" w:rsidR="00CF06E1" w:rsidRPr="003E44AB" w:rsidRDefault="00CF06E1" w:rsidP="00F72D3A">
      <w:pPr>
        <w:pStyle w:val="ListBullet"/>
        <w:ind w:right="-427"/>
      </w:pPr>
      <w:r w:rsidRPr="003E44AB">
        <w:rPr>
          <w:i/>
        </w:rPr>
        <w:t>Women in Energy Strategy</w:t>
      </w:r>
      <w:r w:rsidRPr="003E44AB">
        <w:t xml:space="preserve">. For more information, visit the </w:t>
      </w:r>
      <w:hyperlink r:id="rId35" w:tooltip="Opens the Victorian Government energy website page about Sparking Change: The Women in Energy Strategy" w:history="1">
        <w:r w:rsidRPr="003E44AB">
          <w:rPr>
            <w:rStyle w:val="Hyperlink"/>
          </w:rPr>
          <w:t>Women in Energy Strategy page</w:t>
        </w:r>
      </w:hyperlink>
      <w:r w:rsidRPr="003E44AB">
        <w:t>.</w:t>
      </w:r>
    </w:p>
    <w:p w14:paraId="3D9617BC" w14:textId="712A140B" w:rsidR="00CF06E1" w:rsidRPr="003E44AB" w:rsidRDefault="00CF06E1">
      <w:pPr>
        <w:pStyle w:val="ListBullet"/>
      </w:pPr>
      <w:r w:rsidRPr="003E44AB">
        <w:rPr>
          <w:i/>
        </w:rPr>
        <w:t>Water Sector Emissions Transition Plan</w:t>
      </w:r>
      <w:r w:rsidRPr="003E44AB">
        <w:t xml:space="preserve">. For more information, visit the </w:t>
      </w:r>
      <w:hyperlink r:id="rId36" w:tooltip="Opens the Victorian Government water website page about a net-zero emissions water sector" w:history="1">
        <w:r w:rsidRPr="003E44AB">
          <w:rPr>
            <w:rStyle w:val="Hyperlink"/>
          </w:rPr>
          <w:t>net-zero</w:t>
        </w:r>
        <w:r w:rsidR="00F72D3A" w:rsidRPr="003E44AB">
          <w:rPr>
            <w:rStyle w:val="Hyperlink"/>
          </w:rPr>
          <w:t> </w:t>
        </w:r>
        <w:r w:rsidRPr="003E44AB">
          <w:rPr>
            <w:rStyle w:val="Hyperlink"/>
          </w:rPr>
          <w:t>emissions water sector page</w:t>
        </w:r>
      </w:hyperlink>
      <w:r w:rsidRPr="003E44AB">
        <w:t>.</w:t>
      </w:r>
    </w:p>
    <w:p w14:paraId="42194AF5" w14:textId="70A5119F" w:rsidR="00CF06E1" w:rsidRPr="003E44AB" w:rsidRDefault="00CF06E1">
      <w:pPr>
        <w:pStyle w:val="LastBulletinList"/>
      </w:pPr>
      <w:r w:rsidRPr="003E44AB">
        <w:rPr>
          <w:i/>
        </w:rPr>
        <w:t>Water Security Plan</w:t>
      </w:r>
      <w:r w:rsidRPr="003E44AB">
        <w:t xml:space="preserve">. For more information, visit the </w:t>
      </w:r>
      <w:hyperlink r:id="rId37" w:tooltip="Opens the Victorian Government water website page about the Water Security Plan" w:history="1">
        <w:r w:rsidRPr="003E44AB">
          <w:rPr>
            <w:rStyle w:val="Hyperlink"/>
          </w:rPr>
          <w:t>Water Security Plan page</w:t>
        </w:r>
      </w:hyperlink>
      <w:r w:rsidRPr="003E44AB">
        <w:t>.</w:t>
      </w:r>
    </w:p>
    <w:p w14:paraId="4EA185F0" w14:textId="77777777" w:rsidR="00CF06E1" w:rsidRPr="003E44AB" w:rsidRDefault="00CF06E1">
      <w:pPr>
        <w:pStyle w:val="Heading1"/>
        <w:pageBreakBefore/>
      </w:pPr>
      <w:bookmarkStart w:id="18" w:name="_Toc243485856"/>
      <w:r w:rsidRPr="003E44AB">
        <w:lastRenderedPageBreak/>
        <w:t>Australian Government initiatives</w:t>
      </w:r>
      <w:bookmarkEnd w:id="18"/>
    </w:p>
    <w:p w14:paraId="1F2B38B8" w14:textId="77777777" w:rsidR="00CF06E1" w:rsidRPr="003E44AB" w:rsidRDefault="00CF06E1">
      <w:pPr>
        <w:pStyle w:val="Introductoryparagraph"/>
      </w:pPr>
      <w:r w:rsidRPr="003E44AB">
        <w:t>The Australian Government has outlined the crucial role of renewable fuels.</w:t>
      </w:r>
    </w:p>
    <w:p w14:paraId="582BBD44" w14:textId="77777777" w:rsidR="00CF06E1" w:rsidRPr="003E44AB" w:rsidRDefault="00CF06E1">
      <w:pPr>
        <w:pStyle w:val="BodyText"/>
      </w:pPr>
      <w:r w:rsidRPr="003E44AB">
        <w:t xml:space="preserve">Key federal policies include the Net Zero Plan and 6 sector emissions reduction plans, the 2024 </w:t>
      </w:r>
      <w:r w:rsidRPr="003E44AB">
        <w:rPr>
          <w:i/>
        </w:rPr>
        <w:t>National Hydrogen Strategy</w:t>
      </w:r>
      <w:r w:rsidRPr="003E44AB">
        <w:t xml:space="preserve"> and Future Made in Australia initiatives. Substantial Australian Government funding has been made available to bring online renewable fuels production.</w:t>
      </w:r>
    </w:p>
    <w:p w14:paraId="2108AC0D" w14:textId="40E79205" w:rsidR="00CF06E1" w:rsidRPr="003E44AB" w:rsidRDefault="00CF06E1">
      <w:pPr>
        <w:pStyle w:val="Caption"/>
        <w:keepNext/>
      </w:pPr>
      <w:r w:rsidRPr="003E44AB">
        <w:t xml:space="preserve">Table </w:t>
      </w:r>
      <w:fldSimple w:instr=" SEQ Table \* ARABIC \* MERGEFORMAT ">
        <w:r w:rsidR="00362FCF" w:rsidRPr="003E44AB">
          <w:t>4</w:t>
        </w:r>
      </w:fldSimple>
      <w:r w:rsidRPr="003E44AB">
        <w:t xml:space="preserve">: </w:t>
      </w:r>
      <w:r w:rsidRPr="003E44AB">
        <w:rPr>
          <w:b w:val="0"/>
          <w:bCs/>
        </w:rPr>
        <w:t>Key Australian Government funding for renewable fuels</w:t>
      </w:r>
    </w:p>
    <w:tbl>
      <w:tblPr>
        <w:tblStyle w:val="Style2"/>
        <w:tblW w:w="0" w:type="auto"/>
        <w:tblLook w:val="04A0" w:firstRow="1" w:lastRow="0" w:firstColumn="1" w:lastColumn="0" w:noHBand="0" w:noVBand="1"/>
        <w:tblCaption w:val="Key Australian Government funding for renewable fuels"/>
        <w:tblDescription w:val="Table with 2 columns, Funding and Program, listing 4 Australian Government funding measures: $1.1 billion Cleaner Fuels Program; $250 million made through the Future Made in Australia Innovation Fund; $4 billion through Hydrogen Headstart; and the Hydrogen production tax incentive, a $2 uncapped refundable tax offset for every kilogram of eligible hydrogen for up to 10 years."/>
      </w:tblPr>
      <w:tblGrid>
        <w:gridCol w:w="2684"/>
        <w:gridCol w:w="6934"/>
      </w:tblGrid>
      <w:tr w:rsidR="003E7236" w:rsidRPr="003E44AB" w14:paraId="6A382C4A" w14:textId="77777777">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00CF361F" w14:textId="77777777" w:rsidR="003E7236" w:rsidRPr="003E44AB" w:rsidRDefault="003E7236" w:rsidP="00F72D3A">
            <w:pPr>
              <w:pStyle w:val="Tabletext"/>
              <w:spacing w:line="240" w:lineRule="auto"/>
            </w:pPr>
            <w:r w:rsidRPr="003E44AB">
              <w:t>Funding</w:t>
            </w:r>
          </w:p>
        </w:tc>
        <w:tc>
          <w:tcPr>
            <w:tcW w:w="6934" w:type="dxa"/>
          </w:tcPr>
          <w:p w14:paraId="285BF0F8" w14:textId="77777777" w:rsidR="003E7236" w:rsidRPr="003E44AB" w:rsidRDefault="003E7236" w:rsidP="00F72D3A">
            <w:pPr>
              <w:pStyle w:val="Tabletext"/>
              <w:spacing w:line="240" w:lineRule="auto"/>
            </w:pPr>
            <w:r w:rsidRPr="003E44AB">
              <w:t>Program</w:t>
            </w:r>
          </w:p>
        </w:tc>
      </w:tr>
      <w:tr w:rsidR="003E7236" w:rsidRPr="003E44AB" w14:paraId="22A7F0BD" w14:textId="77777777">
        <w:trPr>
          <w:cantSplit/>
        </w:trPr>
        <w:tc>
          <w:tcPr>
            <w:tcW w:w="2684" w:type="dxa"/>
          </w:tcPr>
          <w:p w14:paraId="08080231" w14:textId="77777777" w:rsidR="003E7236" w:rsidRPr="003E44AB" w:rsidRDefault="003E7236">
            <w:pPr>
              <w:pStyle w:val="Tabletext"/>
              <w:rPr>
                <w:b/>
                <w:bCs/>
              </w:rPr>
            </w:pPr>
            <w:r w:rsidRPr="003E44AB">
              <w:rPr>
                <w:b/>
                <w:bCs/>
              </w:rPr>
              <w:t>$1.1 billion</w:t>
            </w:r>
          </w:p>
        </w:tc>
        <w:tc>
          <w:tcPr>
            <w:tcW w:w="6934" w:type="dxa"/>
          </w:tcPr>
          <w:p w14:paraId="3648D1DE" w14:textId="77777777" w:rsidR="003E7236" w:rsidRPr="003E44AB" w:rsidRDefault="003E7236">
            <w:pPr>
              <w:pStyle w:val="Tabletext"/>
            </w:pPr>
            <w:r w:rsidRPr="003E44AB">
              <w:t>Cleaner Fuels Program</w:t>
            </w:r>
          </w:p>
        </w:tc>
      </w:tr>
      <w:tr w:rsidR="003E7236" w:rsidRPr="003E44AB" w14:paraId="070A44A8" w14:textId="77777777">
        <w:trPr>
          <w:cantSplit/>
        </w:trPr>
        <w:tc>
          <w:tcPr>
            <w:tcW w:w="2684" w:type="dxa"/>
          </w:tcPr>
          <w:p w14:paraId="1FCB5A41" w14:textId="77777777" w:rsidR="003E7236" w:rsidRPr="003E44AB" w:rsidRDefault="003E7236">
            <w:pPr>
              <w:pStyle w:val="Tabletext"/>
              <w:rPr>
                <w:b/>
                <w:bCs/>
              </w:rPr>
            </w:pPr>
            <w:r w:rsidRPr="003E44AB">
              <w:rPr>
                <w:b/>
                <w:bCs/>
              </w:rPr>
              <w:t>$250 million</w:t>
            </w:r>
          </w:p>
        </w:tc>
        <w:tc>
          <w:tcPr>
            <w:tcW w:w="6934" w:type="dxa"/>
          </w:tcPr>
          <w:p w14:paraId="5752300D" w14:textId="77777777" w:rsidR="003E7236" w:rsidRPr="003E44AB" w:rsidRDefault="003E7236">
            <w:pPr>
              <w:pStyle w:val="Tabletext"/>
            </w:pPr>
            <w:r w:rsidRPr="003E44AB">
              <w:t>Made through the Future Made in Australia Innovation Fund</w:t>
            </w:r>
          </w:p>
        </w:tc>
      </w:tr>
      <w:tr w:rsidR="003E7236" w:rsidRPr="003E44AB" w14:paraId="0792C051" w14:textId="77777777">
        <w:trPr>
          <w:cantSplit/>
        </w:trPr>
        <w:tc>
          <w:tcPr>
            <w:tcW w:w="2684" w:type="dxa"/>
          </w:tcPr>
          <w:p w14:paraId="2FF8A405" w14:textId="77777777" w:rsidR="003E7236" w:rsidRPr="003E44AB" w:rsidRDefault="003E7236">
            <w:pPr>
              <w:pStyle w:val="Tabletext"/>
              <w:rPr>
                <w:b/>
                <w:bCs/>
              </w:rPr>
            </w:pPr>
            <w:r w:rsidRPr="003E44AB">
              <w:rPr>
                <w:b/>
                <w:bCs/>
              </w:rPr>
              <w:t>$4 billion</w:t>
            </w:r>
          </w:p>
        </w:tc>
        <w:tc>
          <w:tcPr>
            <w:tcW w:w="6934" w:type="dxa"/>
          </w:tcPr>
          <w:p w14:paraId="70B91620" w14:textId="77777777" w:rsidR="003E7236" w:rsidRPr="003E44AB" w:rsidRDefault="003E7236">
            <w:pPr>
              <w:pStyle w:val="Tabletext"/>
            </w:pPr>
            <w:r w:rsidRPr="003E44AB">
              <w:t>Through Hydrogen Headstart</w:t>
            </w:r>
          </w:p>
        </w:tc>
      </w:tr>
      <w:tr w:rsidR="003E7236" w:rsidRPr="003E44AB" w14:paraId="509902FD" w14:textId="77777777">
        <w:trPr>
          <w:cantSplit/>
        </w:trPr>
        <w:tc>
          <w:tcPr>
            <w:tcW w:w="2684" w:type="dxa"/>
          </w:tcPr>
          <w:p w14:paraId="23E88C1D" w14:textId="77777777" w:rsidR="003E7236" w:rsidRPr="003E44AB" w:rsidRDefault="003E7236">
            <w:pPr>
              <w:pStyle w:val="Tabletext"/>
              <w:rPr>
                <w:b/>
                <w:bCs/>
              </w:rPr>
            </w:pPr>
            <w:r w:rsidRPr="003E44AB">
              <w:rPr>
                <w:b/>
                <w:bCs/>
              </w:rPr>
              <w:t>$2 per kilogram</w:t>
            </w:r>
          </w:p>
        </w:tc>
        <w:tc>
          <w:tcPr>
            <w:tcW w:w="6934" w:type="dxa"/>
          </w:tcPr>
          <w:p w14:paraId="2B540037" w14:textId="77777777" w:rsidR="003E7236" w:rsidRPr="003E44AB" w:rsidRDefault="003E7236">
            <w:pPr>
              <w:pStyle w:val="Tabletext"/>
            </w:pPr>
            <w:r w:rsidRPr="003E44AB">
              <w:t>Hydrogen production tax incentive: an uncapped refundable tax offset for every kilogram of eligible hydrogen for up to 10 years</w:t>
            </w:r>
          </w:p>
        </w:tc>
      </w:tr>
    </w:tbl>
    <w:p w14:paraId="06F9138C" w14:textId="77777777" w:rsidR="00CF06E1" w:rsidRPr="003E44AB" w:rsidRDefault="00CF06E1" w:rsidP="000D245C">
      <w:pPr>
        <w:pStyle w:val="Heading2"/>
        <w:spacing w:before="480"/>
      </w:pPr>
      <w:r w:rsidRPr="003E44AB">
        <w:t>Funding opportunities for renewable fuel derivatives including fertiliser</w:t>
      </w:r>
    </w:p>
    <w:p w14:paraId="1C6F8767" w14:textId="77777777" w:rsidR="00CF06E1" w:rsidRPr="003E44AB" w:rsidRDefault="00CF06E1">
      <w:pPr>
        <w:pStyle w:val="Normalbeforebullets"/>
      </w:pPr>
      <w:r w:rsidRPr="003E44AB">
        <w:t>Funding opportunities include:</w:t>
      </w:r>
    </w:p>
    <w:p w14:paraId="7DAA2DF7" w14:textId="77777777" w:rsidR="00CF06E1" w:rsidRPr="003E44AB" w:rsidRDefault="00CF06E1">
      <w:pPr>
        <w:pStyle w:val="ListBullet"/>
      </w:pPr>
      <w:r w:rsidRPr="003E44AB">
        <w:t>The $1 billion Economic Resilience Program to be drawn from the $15 billion National Reconstruction Fund supporting businesses in areas such as freight, fuel, plastics and fertiliser who are materially impacted by market disruptions related to current conflicts and global price rises for key inputs.</w:t>
      </w:r>
    </w:p>
    <w:p w14:paraId="04B25BBD" w14:textId="77777777" w:rsidR="00CF06E1" w:rsidRPr="003E44AB" w:rsidRDefault="00CF06E1">
      <w:pPr>
        <w:pStyle w:val="ListBullet"/>
      </w:pPr>
      <w:r w:rsidRPr="003E44AB">
        <w:lastRenderedPageBreak/>
        <w:t>The $5 billion Net Zero Fund, announced as part of the Industry Sector Plan, is part of the Australian Government’s approach to driving decarbonisation, unlocking new manufacturing investment, and improving energy affordability in hard-to-abate sectors of the Australian economy.</w:t>
      </w:r>
    </w:p>
    <w:p w14:paraId="497610A4" w14:textId="77777777" w:rsidR="00CF06E1" w:rsidRPr="003E44AB" w:rsidRDefault="00CF06E1">
      <w:pPr>
        <w:pStyle w:val="LastBulletinList"/>
      </w:pPr>
      <w:r w:rsidRPr="003E44AB">
        <w:t>The $1.5 billion Future Made in Australia Innovation Fund will provide support for the development and commercialisation of new technologies in priority sectors, including clean energy, green metals and other emerging low-emissions industries that can support the renewable fuels value chain.</w:t>
      </w:r>
    </w:p>
    <w:p w14:paraId="3480A5E9" w14:textId="77777777" w:rsidR="00CF06E1" w:rsidRPr="003E44AB" w:rsidRDefault="00CF06E1">
      <w:pPr>
        <w:pStyle w:val="Heading1"/>
        <w:pageBreakBefore/>
      </w:pPr>
      <w:bookmarkStart w:id="19" w:name="_Toc243485857"/>
      <w:r w:rsidRPr="003E44AB">
        <w:lastRenderedPageBreak/>
        <w:t>Access to Victoria’s world-class renewable energy talent</w:t>
      </w:r>
      <w:bookmarkEnd w:id="19"/>
    </w:p>
    <w:p w14:paraId="1DC49B43" w14:textId="77777777" w:rsidR="00CF06E1" w:rsidRPr="003E44AB" w:rsidRDefault="00CF06E1">
      <w:pPr>
        <w:pStyle w:val="Introductoryparagraph"/>
      </w:pPr>
      <w:r w:rsidRPr="003E44AB">
        <w:t>Our growing, highly skilled workforce drives project delivery and fosters industry growth.</w:t>
      </w:r>
    </w:p>
    <w:p w14:paraId="1A852E29" w14:textId="77777777" w:rsidR="00CF06E1" w:rsidRPr="003E44AB" w:rsidRDefault="00CF06E1">
      <w:pPr>
        <w:pStyle w:val="Normalbeforebullets"/>
      </w:pPr>
      <w:r w:rsidRPr="003E44AB">
        <w:t>To meet the needs of the sector, our energy workforce is predicted to grow by 53% to 68,000 between 2026 and 2040. The Victorian Government has committed to significant new skills and workforce initiatives to ensure the workforce is available when and where it’s needed, including:</w:t>
      </w:r>
    </w:p>
    <w:p w14:paraId="0248A60D" w14:textId="77777777" w:rsidR="00CF06E1" w:rsidRPr="003E44AB" w:rsidRDefault="00CF06E1">
      <w:pPr>
        <w:pStyle w:val="ListBullet"/>
      </w:pPr>
      <w:r w:rsidRPr="003E44AB">
        <w:t>investing $5 million in Solar Victoria’s Electrification Skills Program</w:t>
      </w:r>
    </w:p>
    <w:p w14:paraId="3816FB51" w14:textId="77777777" w:rsidR="00CF06E1" w:rsidRPr="003E44AB" w:rsidRDefault="00CF06E1">
      <w:pPr>
        <w:pStyle w:val="ListBullet"/>
      </w:pPr>
      <w:r w:rsidRPr="003E44AB">
        <w:t>investing $25 million toward the $50 million Victorian Renewable Energy technical and further education (TAFE) Centre of Excellence</w:t>
      </w:r>
    </w:p>
    <w:p w14:paraId="64B42DEA" w14:textId="77777777" w:rsidR="00CF06E1" w:rsidRPr="003E44AB" w:rsidRDefault="00CF06E1">
      <w:pPr>
        <w:pStyle w:val="ListBullet"/>
      </w:pPr>
      <w:r w:rsidRPr="003E44AB">
        <w:t>releasing regular energy workforce data to support informed decision-making and boost investor confidence</w:t>
      </w:r>
    </w:p>
    <w:p w14:paraId="6F525288" w14:textId="77777777" w:rsidR="00CF06E1" w:rsidRPr="003E44AB" w:rsidRDefault="00CF06E1">
      <w:pPr>
        <w:pStyle w:val="ListBullet"/>
      </w:pPr>
      <w:r w:rsidRPr="003E44AB">
        <w:t>developing new energy training pathways through the $7 million for new vocational education and training (VET) certificates in renewable energy projects</w:t>
      </w:r>
    </w:p>
    <w:p w14:paraId="44351428" w14:textId="77777777" w:rsidR="00CF06E1" w:rsidRPr="003E44AB" w:rsidRDefault="00CF06E1">
      <w:pPr>
        <w:pStyle w:val="ListBullet"/>
      </w:pPr>
      <w:r w:rsidRPr="003E44AB">
        <w:t>simplifying pathways for skilled workers to move to Victoria through improved qualification recognition and Victoria’s Skilled Migration Visa Nomination Program</w:t>
      </w:r>
    </w:p>
    <w:p w14:paraId="435319D3" w14:textId="64E0DFA9" w:rsidR="00CF06E1" w:rsidRPr="003E44AB" w:rsidRDefault="00CF06E1">
      <w:pPr>
        <w:pStyle w:val="LastBulletinList"/>
      </w:pPr>
      <w:r w:rsidRPr="003E44AB">
        <w:t>investing $10 million toward the $40 million National Training Centre in New Energy</w:t>
      </w:r>
      <w:r w:rsidR="005D3890" w:rsidRPr="003E44AB">
        <w:t> </w:t>
      </w:r>
      <w:r w:rsidRPr="003E44AB">
        <w:t>Skills.</w:t>
      </w:r>
    </w:p>
    <w:p w14:paraId="66127E94" w14:textId="77777777" w:rsidR="00CF06E1" w:rsidRPr="003E44AB" w:rsidRDefault="00CF06E1">
      <w:pPr>
        <w:pStyle w:val="Heading2"/>
      </w:pPr>
      <w:r w:rsidRPr="003E44AB">
        <w:lastRenderedPageBreak/>
        <w:t>Victorian Energy Jobs Plan</w:t>
      </w:r>
    </w:p>
    <w:p w14:paraId="6E8EE62E" w14:textId="77777777" w:rsidR="00CF06E1" w:rsidRPr="003E44AB" w:rsidRDefault="00CF06E1">
      <w:pPr>
        <w:pStyle w:val="BodyText"/>
      </w:pPr>
      <w:r w:rsidRPr="003E44AB">
        <w:t>The Victorian Energy Jobs Plan provides a framework for developing the robust, future-ready energy workforce needed to deliver the transition and strengthen investment confidence.</w:t>
      </w:r>
    </w:p>
    <w:p w14:paraId="7B215A8F" w14:textId="4E5F9617" w:rsidR="00CF06E1" w:rsidRPr="003E44AB" w:rsidRDefault="00CF06E1">
      <w:pPr>
        <w:pStyle w:val="BodyText"/>
      </w:pPr>
      <w:r w:rsidRPr="003E44AB">
        <w:t xml:space="preserve">For more information, visit the </w:t>
      </w:r>
      <w:hyperlink r:id="rId38" w:tooltip="Opens the Victorian Government energy website page about the Victorian Energy Jobs Plan" w:history="1">
        <w:r w:rsidRPr="003E44AB">
          <w:rPr>
            <w:rStyle w:val="Hyperlink"/>
          </w:rPr>
          <w:t>Victorian Energy Jobs Plan page</w:t>
        </w:r>
      </w:hyperlink>
      <w:r w:rsidRPr="003E44AB">
        <w:t>.</w:t>
      </w:r>
    </w:p>
    <w:p w14:paraId="499C16B6" w14:textId="77777777" w:rsidR="00CF06E1" w:rsidRPr="003E44AB" w:rsidRDefault="00CF06E1">
      <w:pPr>
        <w:pStyle w:val="Heading2"/>
      </w:pPr>
      <w:r w:rsidRPr="003E44AB">
        <w:t>Sparking Change: The Women in Energy Strategy</w:t>
      </w:r>
    </w:p>
    <w:p w14:paraId="04201A37" w14:textId="77777777" w:rsidR="00CF06E1" w:rsidRPr="003E44AB" w:rsidRDefault="00CF06E1">
      <w:pPr>
        <w:pStyle w:val="BodyText"/>
      </w:pPr>
      <w:r w:rsidRPr="003E44AB">
        <w:t>The Women in Energy Strategy recognises that attracting and retaining more women in the renewable energy workforce provides significant benefit to this growing sector. It aims to drive significant change for women in energy through Victoria’s energy transition.</w:t>
      </w:r>
    </w:p>
    <w:p w14:paraId="5E9A5824" w14:textId="61DBBD45" w:rsidR="00CF06E1" w:rsidRPr="003E44AB" w:rsidRDefault="00CF06E1">
      <w:pPr>
        <w:pStyle w:val="BodyText"/>
      </w:pPr>
      <w:r w:rsidRPr="003E44AB">
        <w:t xml:space="preserve">For more information, visit the </w:t>
      </w:r>
      <w:hyperlink r:id="rId39" w:tooltip="Opens the Victorian Government energy website page about Sparking Change: The Women in Energy Strategy" w:history="1">
        <w:r w:rsidRPr="003E44AB">
          <w:rPr>
            <w:rStyle w:val="Hyperlink"/>
          </w:rPr>
          <w:t>Women in Energy Strategy page</w:t>
        </w:r>
      </w:hyperlink>
      <w:r w:rsidRPr="003E44AB">
        <w:t>.</w:t>
      </w:r>
    </w:p>
    <w:p w14:paraId="4204AB75" w14:textId="77777777" w:rsidR="00CF06E1" w:rsidRPr="003E44AB" w:rsidRDefault="00CF06E1">
      <w:pPr>
        <w:pStyle w:val="Heading1"/>
        <w:pageBreakBefore/>
      </w:pPr>
      <w:bookmarkStart w:id="20" w:name="_Toc243485858"/>
      <w:r w:rsidRPr="003E44AB">
        <w:lastRenderedPageBreak/>
        <w:t>A clear pathway to partner with First Peoples</w:t>
      </w:r>
      <w:bookmarkEnd w:id="20"/>
    </w:p>
    <w:p w14:paraId="0A3C8F40" w14:textId="77777777" w:rsidR="00CF06E1" w:rsidRPr="003E44AB" w:rsidRDefault="00CF06E1">
      <w:pPr>
        <w:pStyle w:val="Heading2"/>
      </w:pPr>
      <w:r w:rsidRPr="003E44AB">
        <w:t>Victorian Traditional Owners are actively involved in the energy transition</w:t>
      </w:r>
    </w:p>
    <w:p w14:paraId="50504644" w14:textId="77777777" w:rsidR="00CF06E1" w:rsidRPr="003E44AB" w:rsidRDefault="00CF06E1">
      <w:pPr>
        <w:pStyle w:val="BodyText"/>
      </w:pPr>
      <w:r w:rsidRPr="003E44AB">
        <w:t>Investments have been made in developing frameworks and localised plans for the energy transition to create clear pathways for development in Victoria.</w:t>
      </w:r>
    </w:p>
    <w:p w14:paraId="32A48B80" w14:textId="77777777" w:rsidR="00CF06E1" w:rsidRPr="003E44AB" w:rsidRDefault="00CF06E1">
      <w:pPr>
        <w:pStyle w:val="BodyText"/>
      </w:pPr>
      <w:r w:rsidRPr="003E44AB">
        <w:t>Traditional Owner Corporations have clearly defined strategies and processes for partnering to achieve best development outcomes in Victoria.</w:t>
      </w:r>
    </w:p>
    <w:p w14:paraId="6D887D72" w14:textId="77777777" w:rsidR="00CF06E1" w:rsidRPr="003E44AB" w:rsidRDefault="00CF06E1">
      <w:pPr>
        <w:pStyle w:val="Heading2"/>
      </w:pPr>
      <w:r w:rsidRPr="003E44AB">
        <w:t>Access to specialist support</w:t>
      </w:r>
    </w:p>
    <w:p w14:paraId="2841775A" w14:textId="77777777" w:rsidR="00CF06E1" w:rsidRPr="003E44AB" w:rsidRDefault="00CF06E1">
      <w:pPr>
        <w:pStyle w:val="Normalbeforebullets"/>
      </w:pPr>
      <w:r w:rsidRPr="003E44AB">
        <w:t>DEECA has invested in dedicated First Peoples energy specialists who can help developers and investors:</w:t>
      </w:r>
    </w:p>
    <w:p w14:paraId="728C719D" w14:textId="77777777" w:rsidR="00CF06E1" w:rsidRPr="003E44AB" w:rsidRDefault="00CF06E1">
      <w:pPr>
        <w:pStyle w:val="ListBullet"/>
      </w:pPr>
      <w:r w:rsidRPr="003E44AB">
        <w:t>understand Traditional Owner priorities and aspirations</w:t>
      </w:r>
    </w:p>
    <w:p w14:paraId="10EF7D8A" w14:textId="77777777" w:rsidR="00CF06E1" w:rsidRPr="003E44AB" w:rsidRDefault="00CF06E1">
      <w:pPr>
        <w:pStyle w:val="ListBullet"/>
      </w:pPr>
      <w:r w:rsidRPr="003E44AB">
        <w:t>navigate engagement and partnership processes</w:t>
      </w:r>
    </w:p>
    <w:p w14:paraId="4EAFC104" w14:textId="77777777" w:rsidR="00CF06E1" w:rsidRPr="003E44AB" w:rsidRDefault="00CF06E1">
      <w:pPr>
        <w:pStyle w:val="LastBulletinList"/>
      </w:pPr>
      <w:r w:rsidRPr="003E44AB">
        <w:t>build strong, long-term relationships that support project success.</w:t>
      </w:r>
    </w:p>
    <w:p w14:paraId="478CA4E6" w14:textId="7C050ED0" w:rsidR="00CF06E1" w:rsidRPr="003E44AB" w:rsidRDefault="00CF06E1">
      <w:pPr>
        <w:pStyle w:val="BodyText"/>
      </w:pPr>
      <w:r w:rsidRPr="003E44AB">
        <w:t xml:space="preserve">For more information, visit the </w:t>
      </w:r>
      <w:hyperlink r:id="rId40" w:tooltip="Opens the Victorian Government energy website page about First Peoples and energy" w:history="1">
        <w:r w:rsidRPr="003E44AB">
          <w:rPr>
            <w:rStyle w:val="Hyperlink"/>
          </w:rPr>
          <w:t>First Peoples energy page</w:t>
        </w:r>
      </w:hyperlink>
      <w:r w:rsidRPr="003E44AB">
        <w:t>.</w:t>
      </w:r>
    </w:p>
    <w:p w14:paraId="799EDB5A" w14:textId="77777777" w:rsidR="00CF06E1" w:rsidRPr="003E44AB" w:rsidRDefault="00CF06E1">
      <w:pPr>
        <w:pStyle w:val="Heading2"/>
      </w:pPr>
      <w:r w:rsidRPr="003E44AB">
        <w:t>Clear guidance from Traditional Owners</w:t>
      </w:r>
    </w:p>
    <w:p w14:paraId="5E51F6B1" w14:textId="77777777" w:rsidR="00CF06E1" w:rsidRPr="003E44AB" w:rsidRDefault="00CF06E1">
      <w:pPr>
        <w:pStyle w:val="Normalbeforebullets"/>
      </w:pPr>
      <w:r w:rsidRPr="003E44AB">
        <w:t>Many Traditional Owner Corporations have published guidance and planning documents that help proponents:</w:t>
      </w:r>
    </w:p>
    <w:p w14:paraId="0971CCD4" w14:textId="77777777" w:rsidR="00CF06E1" w:rsidRPr="003E44AB" w:rsidRDefault="00CF06E1">
      <w:pPr>
        <w:pStyle w:val="ListBullet"/>
      </w:pPr>
      <w:r w:rsidRPr="003E44AB">
        <w:t>identify community priorities and aspirations</w:t>
      </w:r>
    </w:p>
    <w:p w14:paraId="6DCBA366" w14:textId="77777777" w:rsidR="00CF06E1" w:rsidRPr="003E44AB" w:rsidRDefault="00CF06E1">
      <w:pPr>
        <w:pStyle w:val="ListBullet"/>
      </w:pPr>
      <w:r w:rsidRPr="003E44AB">
        <w:t>understand preferred engagement and partnership models</w:t>
      </w:r>
    </w:p>
    <w:p w14:paraId="38487DB6" w14:textId="77777777" w:rsidR="00CF06E1" w:rsidRPr="003E44AB" w:rsidRDefault="00CF06E1">
      <w:pPr>
        <w:pStyle w:val="LastBulletinList"/>
      </w:pPr>
      <w:r w:rsidRPr="003E44AB">
        <w:t>align projects with local economic, social and cultural outcomes.</w:t>
      </w:r>
    </w:p>
    <w:p w14:paraId="500B7A1F" w14:textId="77777777" w:rsidR="00CF06E1" w:rsidRPr="003E44AB" w:rsidRDefault="00CF06E1">
      <w:pPr>
        <w:pStyle w:val="Heading2"/>
      </w:pPr>
      <w:r w:rsidRPr="003E44AB">
        <w:lastRenderedPageBreak/>
        <w:t>Strong government policy and guidance</w:t>
      </w:r>
    </w:p>
    <w:p w14:paraId="6358CA48" w14:textId="77777777" w:rsidR="00CF06E1" w:rsidRPr="003E44AB" w:rsidRDefault="00CF06E1">
      <w:pPr>
        <w:pStyle w:val="BodyText"/>
      </w:pPr>
      <w:r w:rsidRPr="003E44AB">
        <w:t>Victoria has established strategic policies and guidance to support collaboration with First Peoples throughout the renewable energy development lifecycle, reducing uncertainty and creating stronger foundations for project development, investment confidence and long-term social value.</w:t>
      </w:r>
    </w:p>
    <w:p w14:paraId="60550FE2" w14:textId="77777777" w:rsidR="00CF06E1" w:rsidRPr="003E44AB" w:rsidRDefault="00CF06E1">
      <w:pPr>
        <w:pStyle w:val="Heading3"/>
      </w:pPr>
      <w:r w:rsidRPr="003E44AB">
        <w:t>First Peoples Renewable Energy Strategic Plan</w:t>
      </w:r>
    </w:p>
    <w:p w14:paraId="3A4F483D" w14:textId="77777777" w:rsidR="00CF06E1" w:rsidRPr="003E44AB" w:rsidRDefault="00CF06E1" w:rsidP="005D3890">
      <w:pPr>
        <w:pStyle w:val="BodyText"/>
        <w:ind w:right="-285"/>
      </w:pPr>
      <w:r w:rsidRPr="003E44AB">
        <w:t>Identifies First Peoples priorities and desired outcomes within Victoria’s renewable transition.</w:t>
      </w:r>
    </w:p>
    <w:p w14:paraId="0E931EA9" w14:textId="161C6B6C" w:rsidR="00CF06E1" w:rsidRPr="003E44AB" w:rsidRDefault="00CF06E1" w:rsidP="00F72D3A">
      <w:pPr>
        <w:pStyle w:val="BodyText"/>
        <w:spacing w:after="360"/>
      </w:pPr>
      <w:r w:rsidRPr="003E44AB">
        <w:t xml:space="preserve">For more information, visit the </w:t>
      </w:r>
      <w:hyperlink r:id="rId41" w:tooltip="Opens the Victorian Government energy website page with First Peoples energy resources, including the First Peoples Renewable Energy Strategic Plan" w:history="1">
        <w:r w:rsidRPr="003E44AB">
          <w:rPr>
            <w:rStyle w:val="Hyperlink"/>
          </w:rPr>
          <w:t>First Peoples resources page</w:t>
        </w:r>
      </w:hyperlink>
      <w:r w:rsidRPr="003E44AB">
        <w:t>.</w:t>
      </w:r>
    </w:p>
    <w:p w14:paraId="3D0BEC59" w14:textId="77777777" w:rsidR="00CF06E1" w:rsidRPr="003E44AB" w:rsidRDefault="00CF06E1">
      <w:pPr>
        <w:pStyle w:val="Heading3"/>
      </w:pPr>
      <w:r w:rsidRPr="003E44AB">
        <w:t>Community Engagement and Social Value Guidelines</w:t>
      </w:r>
    </w:p>
    <w:p w14:paraId="0D76D998" w14:textId="77777777" w:rsidR="00CF06E1" w:rsidRPr="003E44AB" w:rsidRDefault="00CF06E1">
      <w:pPr>
        <w:pStyle w:val="BodyText"/>
      </w:pPr>
      <w:r w:rsidRPr="003E44AB">
        <w:t>Clear guidance on engagement pathways and creating social value in renewable development.</w:t>
      </w:r>
    </w:p>
    <w:p w14:paraId="238645BB" w14:textId="6A339847" w:rsidR="00CF06E1" w:rsidRPr="003E44AB" w:rsidRDefault="00CF06E1">
      <w:pPr>
        <w:pStyle w:val="BodyText"/>
      </w:pPr>
      <w:r w:rsidRPr="003E44AB">
        <w:t xml:space="preserve">For more information, visit the </w:t>
      </w:r>
      <w:hyperlink r:id="rId42" w:tooltip="Opens the VicGrid news story about driving better community engagement and benefits from renewable energy projects" w:history="1">
        <w:r w:rsidRPr="003E44AB">
          <w:rPr>
            <w:rStyle w:val="Hyperlink"/>
          </w:rPr>
          <w:t>VicGrid news story about driving better community engagement and benefits from renewable energy projects</w:t>
        </w:r>
      </w:hyperlink>
      <w:r w:rsidRPr="003E44AB">
        <w:t>.</w:t>
      </w:r>
    </w:p>
    <w:p w14:paraId="2D5D4CF3" w14:textId="77777777" w:rsidR="00CF06E1" w:rsidRPr="003E44AB" w:rsidRDefault="00CF06E1">
      <w:pPr>
        <w:pStyle w:val="Heading1"/>
        <w:pageBreakBefore/>
      </w:pPr>
      <w:bookmarkStart w:id="21" w:name="_Toc243485859"/>
      <w:r w:rsidRPr="003E44AB">
        <w:lastRenderedPageBreak/>
        <w:t>Key Victorian Government entities</w:t>
      </w:r>
      <w:bookmarkEnd w:id="21"/>
    </w:p>
    <w:p w14:paraId="0858862D" w14:textId="77777777" w:rsidR="00CF06E1" w:rsidRPr="003E44AB" w:rsidRDefault="00CF06E1">
      <w:pPr>
        <w:pStyle w:val="Introductoryparagraph"/>
      </w:pPr>
      <w:r w:rsidRPr="003E44AB">
        <w:t>We can help facilitate connections with key Victorian Government entities and industry members across our renewable energy sector.</w:t>
      </w:r>
    </w:p>
    <w:p w14:paraId="47202F1C" w14:textId="77777777" w:rsidR="00CF06E1" w:rsidRPr="003E44AB" w:rsidRDefault="00CF06E1">
      <w:pPr>
        <w:pStyle w:val="Heading2"/>
      </w:pPr>
      <w:r w:rsidRPr="003E44AB">
        <w:t>Department of Energy, Environment and Climate Action (DEECA)</w:t>
      </w:r>
    </w:p>
    <w:p w14:paraId="38BC18F1" w14:textId="77777777" w:rsidR="00CF06E1" w:rsidRPr="003E44AB" w:rsidRDefault="00CF06E1">
      <w:pPr>
        <w:pStyle w:val="BodyText"/>
      </w:pPr>
      <w:r w:rsidRPr="003E44AB">
        <w:t>DEECA works with industry and the community to develop Victoria’s secure and sustainable energy future.</w:t>
      </w:r>
    </w:p>
    <w:p w14:paraId="2315B23D" w14:textId="5611BEAE" w:rsidR="00CF06E1" w:rsidRPr="003E44AB" w:rsidRDefault="00CF06E1">
      <w:pPr>
        <w:pStyle w:val="BodyText"/>
      </w:pPr>
      <w:r w:rsidRPr="003E44AB">
        <w:t xml:space="preserve">For information on Victoria’s energy policy landscape and facilitated connections across the Victorian Government and renewable energy sector, contact the Business and Industry Engagement team at: </w:t>
      </w:r>
      <w:hyperlink r:id="rId43" w:tooltip="Send an email to the DEECA Business and Industry Engagement team" w:history="1">
        <w:r w:rsidRPr="003E44AB">
          <w:rPr>
            <w:rStyle w:val="Hyperlink"/>
          </w:rPr>
          <w:t>BIE@deeca.vic.gov.au</w:t>
        </w:r>
      </w:hyperlink>
    </w:p>
    <w:p w14:paraId="12639C17" w14:textId="2F38E406" w:rsidR="00CF06E1" w:rsidRPr="003E44AB" w:rsidRDefault="00CF06E1">
      <w:pPr>
        <w:pStyle w:val="BodyText"/>
      </w:pPr>
      <w:r w:rsidRPr="003E44AB">
        <w:t xml:space="preserve">For more information, visit the </w:t>
      </w:r>
      <w:hyperlink r:id="rId44" w:tooltip="Opens the Victorian Government energy website page about renewable energy investment opportunities" w:history="1">
        <w:r w:rsidRPr="003E44AB">
          <w:rPr>
            <w:rStyle w:val="Hyperlink"/>
          </w:rPr>
          <w:t>renewable energy investment opportunities page</w:t>
        </w:r>
      </w:hyperlink>
      <w:r w:rsidRPr="003E44AB">
        <w:t>.</w:t>
      </w:r>
    </w:p>
    <w:p w14:paraId="1267CE3D" w14:textId="77777777" w:rsidR="00CF06E1" w:rsidRPr="003E44AB" w:rsidRDefault="00CF06E1">
      <w:pPr>
        <w:pStyle w:val="Heading2"/>
      </w:pPr>
      <w:r w:rsidRPr="003E44AB">
        <w:t>Offshore Wind Energy Victoria</w:t>
      </w:r>
    </w:p>
    <w:p w14:paraId="335FB042" w14:textId="77777777" w:rsidR="00CF06E1" w:rsidRPr="003E44AB" w:rsidRDefault="00CF06E1">
      <w:pPr>
        <w:pStyle w:val="BodyText"/>
      </w:pPr>
      <w:r w:rsidRPr="003E44AB">
        <w:t>Offshore Wind Energy Victoria (OWEV) has been established as the single point of entry for industry and community engagement on offshore wind.</w:t>
      </w:r>
    </w:p>
    <w:p w14:paraId="78F9B35B" w14:textId="28C5156B" w:rsidR="00CF06E1" w:rsidRPr="003E44AB" w:rsidRDefault="00CF06E1">
      <w:pPr>
        <w:pStyle w:val="BodyText"/>
      </w:pPr>
      <w:r w:rsidRPr="003E44AB">
        <w:t xml:space="preserve">For more information, visit the </w:t>
      </w:r>
      <w:hyperlink r:id="rId45" w:tooltip="Opens the Victorian Government energy website page for Offshore Wind Energy Victoria" w:history="1">
        <w:r w:rsidRPr="003E44AB">
          <w:rPr>
            <w:rStyle w:val="Hyperlink"/>
          </w:rPr>
          <w:t>Offshore Wind Energy Victoria page</w:t>
        </w:r>
      </w:hyperlink>
      <w:r w:rsidRPr="003E44AB">
        <w:t>.</w:t>
      </w:r>
    </w:p>
    <w:p w14:paraId="1E62B308" w14:textId="77777777" w:rsidR="00CF06E1" w:rsidRPr="003E44AB" w:rsidRDefault="00CF06E1">
      <w:pPr>
        <w:pStyle w:val="Heading2"/>
      </w:pPr>
      <w:r w:rsidRPr="003E44AB">
        <w:t>Solar Victoria</w:t>
      </w:r>
    </w:p>
    <w:p w14:paraId="4B7AEEE1" w14:textId="77777777" w:rsidR="00CF06E1" w:rsidRPr="003E44AB" w:rsidRDefault="00CF06E1">
      <w:pPr>
        <w:pStyle w:val="BodyText"/>
      </w:pPr>
      <w:r w:rsidRPr="003E44AB">
        <w:t>Solar Victoria is responsible for the delivery of the Victorian Government’s $1.3 billion Solar Homes Program – one of the most ambitious and transformative renewable energy programs in Australia.</w:t>
      </w:r>
    </w:p>
    <w:p w14:paraId="462B17B0" w14:textId="67A26623" w:rsidR="00CF06E1" w:rsidRPr="003E44AB" w:rsidRDefault="00CF06E1">
      <w:pPr>
        <w:pStyle w:val="BodyText"/>
      </w:pPr>
      <w:r w:rsidRPr="003E44AB">
        <w:t xml:space="preserve">For more information, visit the </w:t>
      </w:r>
      <w:hyperlink r:id="rId46" w:tooltip="Opens the Solar Victoria website" w:history="1">
        <w:r w:rsidRPr="003E44AB">
          <w:rPr>
            <w:rStyle w:val="Hyperlink"/>
          </w:rPr>
          <w:t>Solar Victoria website</w:t>
        </w:r>
      </w:hyperlink>
      <w:r w:rsidRPr="003E44AB">
        <w:t>.</w:t>
      </w:r>
    </w:p>
    <w:p w14:paraId="7E388EA1" w14:textId="77777777" w:rsidR="00CF06E1" w:rsidRPr="003E44AB" w:rsidRDefault="00CF06E1">
      <w:pPr>
        <w:pStyle w:val="Heading2"/>
      </w:pPr>
      <w:r w:rsidRPr="003E44AB">
        <w:lastRenderedPageBreak/>
        <w:t>VicGrid</w:t>
      </w:r>
    </w:p>
    <w:p w14:paraId="5AC4B291" w14:textId="77777777" w:rsidR="00CF06E1" w:rsidRPr="003E44AB" w:rsidRDefault="00CF06E1">
      <w:pPr>
        <w:pStyle w:val="BodyText"/>
      </w:pPr>
      <w:r w:rsidRPr="003E44AB">
        <w:t>VicGrid coordinates the planning and development of Victorian Renewable Energy Zones (REZs). It is also investing $480 million that will be used to strengthen the grid and develop each REZ.</w:t>
      </w:r>
    </w:p>
    <w:p w14:paraId="47035D16" w14:textId="03A0E760" w:rsidR="00CF06E1" w:rsidRPr="003E44AB" w:rsidRDefault="00CF06E1">
      <w:pPr>
        <w:pStyle w:val="BodyText"/>
      </w:pPr>
      <w:r w:rsidRPr="003E44AB">
        <w:t xml:space="preserve">For more information, visit the </w:t>
      </w:r>
      <w:hyperlink r:id="rId47" w:tooltip="Opens the Victorian Government energy website page about Victoria’s renewable energy zones" w:history="1">
        <w:r w:rsidRPr="003E44AB">
          <w:rPr>
            <w:rStyle w:val="Hyperlink"/>
          </w:rPr>
          <w:t>renewable energy zones page</w:t>
        </w:r>
      </w:hyperlink>
      <w:r w:rsidRPr="003E44AB">
        <w:t>.</w:t>
      </w:r>
    </w:p>
    <w:p w14:paraId="6716EADC" w14:textId="77777777" w:rsidR="00CF06E1" w:rsidRPr="003E44AB" w:rsidRDefault="00CF06E1">
      <w:pPr>
        <w:pStyle w:val="Heading2"/>
      </w:pPr>
      <w:r w:rsidRPr="003E44AB">
        <w:t>Invest Victoria</w:t>
      </w:r>
    </w:p>
    <w:p w14:paraId="753CD9E7" w14:textId="3FEABBE8" w:rsidR="00CF06E1" w:rsidRPr="003E44AB" w:rsidRDefault="00CF06E1">
      <w:pPr>
        <w:pStyle w:val="Normalbeforebullets"/>
      </w:pPr>
      <w:r w:rsidRPr="003E44AB">
        <w:t>Invest Victoria is the Victorian Government’s investment attraction agency. Services</w:t>
      </w:r>
      <w:r w:rsidR="005D3890" w:rsidRPr="003E44AB">
        <w:t> </w:t>
      </w:r>
      <w:r w:rsidRPr="003E44AB">
        <w:t>include:</w:t>
      </w:r>
    </w:p>
    <w:p w14:paraId="3A8066E8" w14:textId="77777777" w:rsidR="00CF06E1" w:rsidRPr="003E44AB" w:rsidRDefault="00CF06E1">
      <w:pPr>
        <w:pStyle w:val="ListBullet"/>
      </w:pPr>
      <w:r w:rsidRPr="003E44AB">
        <w:t>market regulatory information</w:t>
      </w:r>
    </w:p>
    <w:p w14:paraId="6AF8B303" w14:textId="77777777" w:rsidR="00CF06E1" w:rsidRPr="003E44AB" w:rsidRDefault="00CF06E1">
      <w:pPr>
        <w:pStyle w:val="ListBullet"/>
      </w:pPr>
      <w:r w:rsidRPr="003E44AB">
        <w:t>statutory approvals coordination</w:t>
      </w:r>
    </w:p>
    <w:p w14:paraId="61F86709" w14:textId="77777777" w:rsidR="00CF06E1" w:rsidRPr="003E44AB" w:rsidRDefault="00CF06E1">
      <w:pPr>
        <w:pStyle w:val="ListBullet"/>
      </w:pPr>
      <w:r w:rsidRPr="003E44AB">
        <w:t>site location services</w:t>
      </w:r>
    </w:p>
    <w:p w14:paraId="1195A228" w14:textId="77777777" w:rsidR="00CF06E1" w:rsidRPr="003E44AB" w:rsidRDefault="00CF06E1">
      <w:pPr>
        <w:pStyle w:val="ListBullet"/>
      </w:pPr>
      <w:r w:rsidRPr="003E44AB">
        <w:t>identification of infrastructure and utility requirements</w:t>
      </w:r>
    </w:p>
    <w:p w14:paraId="347AA2DC" w14:textId="77777777" w:rsidR="00CF06E1" w:rsidRPr="003E44AB" w:rsidRDefault="00CF06E1">
      <w:pPr>
        <w:pStyle w:val="LastBulletinList"/>
      </w:pPr>
      <w:r w:rsidRPr="003E44AB">
        <w:t>advocacy within government.</w:t>
      </w:r>
    </w:p>
    <w:p w14:paraId="5FC6B2F4" w14:textId="75A2B08A" w:rsidR="00CF06E1" w:rsidRPr="003E44AB" w:rsidRDefault="00CF06E1">
      <w:pPr>
        <w:pStyle w:val="BodyText"/>
      </w:pPr>
      <w:r w:rsidRPr="003E44AB">
        <w:t xml:space="preserve">For more information, visit the </w:t>
      </w:r>
      <w:hyperlink r:id="rId48" w:tooltip="Opens the Invest Victoria website" w:history="1">
        <w:r w:rsidRPr="003E44AB">
          <w:rPr>
            <w:rStyle w:val="Hyperlink"/>
          </w:rPr>
          <w:t>Invest Victoria website</w:t>
        </w:r>
      </w:hyperlink>
      <w:r w:rsidRPr="003E44AB">
        <w:t>.</w:t>
      </w:r>
    </w:p>
    <w:p w14:paraId="64CC1D18" w14:textId="77777777" w:rsidR="00CF06E1" w:rsidRPr="003E44AB" w:rsidRDefault="00CF06E1">
      <w:pPr>
        <w:pStyle w:val="Heading2"/>
      </w:pPr>
      <w:r w:rsidRPr="003E44AB">
        <w:t>Investment Coordinator-General</w:t>
      </w:r>
    </w:p>
    <w:p w14:paraId="0585157D" w14:textId="77777777" w:rsidR="00CF06E1" w:rsidRPr="003E44AB" w:rsidRDefault="00CF06E1">
      <w:pPr>
        <w:pStyle w:val="BodyText"/>
      </w:pPr>
      <w:r w:rsidRPr="003E44AB">
        <w:t>The Investment Coordinator-General role and function also sits within Invest Victoria, working across agencies to ensure approvals deadlines are met and helping to reduce delays.</w:t>
      </w:r>
    </w:p>
    <w:p w14:paraId="5D9601DF" w14:textId="3ABA0A53" w:rsidR="00CF06E1" w:rsidRPr="003E44AB" w:rsidRDefault="00CF06E1">
      <w:pPr>
        <w:pStyle w:val="BodyText"/>
      </w:pPr>
      <w:r w:rsidRPr="003E44AB">
        <w:t xml:space="preserve">For more information, visit </w:t>
      </w:r>
      <w:hyperlink r:id="rId49" w:tooltip="Opens the Department of Jobs, Skills, Industry and Regions web page about Victoria’s Investment Coordinator-General" w:history="1">
        <w:r w:rsidRPr="003E44AB">
          <w:rPr>
            <w:rStyle w:val="Hyperlink"/>
          </w:rPr>
          <w:t>Victoria’s Investment Coordinator-General page</w:t>
        </w:r>
      </w:hyperlink>
      <w:r w:rsidRPr="003E44AB">
        <w:t>.</w:t>
      </w:r>
    </w:p>
    <w:p w14:paraId="5ED2C152" w14:textId="77777777" w:rsidR="00CF06E1" w:rsidRPr="003E44AB" w:rsidRDefault="00CF06E1">
      <w:pPr>
        <w:pStyle w:val="Heading2"/>
      </w:pPr>
      <w:r w:rsidRPr="003E44AB">
        <w:lastRenderedPageBreak/>
        <w:t>Innovation Victoria</w:t>
      </w:r>
    </w:p>
    <w:p w14:paraId="564F438D" w14:textId="77777777" w:rsidR="00CF06E1" w:rsidRPr="003E44AB" w:rsidRDefault="00CF06E1" w:rsidP="005D3890">
      <w:pPr>
        <w:pStyle w:val="BodyText"/>
        <w:ind w:right="-1"/>
      </w:pPr>
      <w:r w:rsidRPr="003E44AB">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39DF4D1E" w14:textId="1CBB22D5" w:rsidR="00CF06E1" w:rsidRPr="003E44AB" w:rsidRDefault="00CF06E1">
      <w:pPr>
        <w:pStyle w:val="BodyText"/>
      </w:pPr>
      <w:r w:rsidRPr="003E44AB">
        <w:t xml:space="preserve">For more information, visit the </w:t>
      </w:r>
      <w:hyperlink r:id="rId50" w:tooltip="Opens the Innovation Victoria website" w:history="1">
        <w:r w:rsidRPr="003E44AB">
          <w:rPr>
            <w:rStyle w:val="Hyperlink"/>
          </w:rPr>
          <w:t>Innovation Victoria website</w:t>
        </w:r>
      </w:hyperlink>
      <w:r w:rsidRPr="003E44AB">
        <w:t>.</w:t>
      </w:r>
    </w:p>
    <w:p w14:paraId="469E4A05" w14:textId="77777777" w:rsidR="00CF06E1" w:rsidRPr="003E44AB" w:rsidRDefault="00CF06E1">
      <w:pPr>
        <w:pStyle w:val="Heading2"/>
      </w:pPr>
      <w:r w:rsidRPr="003E44AB">
        <w:t>SEC</w:t>
      </w:r>
    </w:p>
    <w:p w14:paraId="418A7EA7" w14:textId="77777777" w:rsidR="00CF06E1" w:rsidRPr="003E44AB" w:rsidRDefault="00CF06E1">
      <w:pPr>
        <w:pStyle w:val="BodyText"/>
      </w:pPr>
      <w:r w:rsidRPr="003E44AB">
        <w:t>SEC is a Victorian Government-owned renewable energy company. It is partnering with the private sector to deliver 4.5 GW of new renewable energy and storage projects with an initial investment of $1 billion.</w:t>
      </w:r>
    </w:p>
    <w:p w14:paraId="7929A887" w14:textId="2FA23270" w:rsidR="00CF06E1" w:rsidRPr="003E44AB" w:rsidRDefault="00CF06E1">
      <w:pPr>
        <w:pStyle w:val="BodyText"/>
      </w:pPr>
      <w:r w:rsidRPr="003E44AB">
        <w:t xml:space="preserve">For more information, visit the </w:t>
      </w:r>
      <w:hyperlink r:id="rId51" w:tooltip="Opens the State Electricity Commission (SEC) website" w:history="1">
        <w:r w:rsidRPr="003E44AB">
          <w:rPr>
            <w:rStyle w:val="Hyperlink"/>
          </w:rPr>
          <w:t>SEC website</w:t>
        </w:r>
      </w:hyperlink>
      <w:r w:rsidRPr="003E44AB">
        <w:t>.</w:t>
      </w:r>
    </w:p>
    <w:p w14:paraId="6F8CDEF4" w14:textId="77777777" w:rsidR="00CF06E1" w:rsidRPr="003E44AB" w:rsidRDefault="00CF06E1">
      <w:pPr>
        <w:pStyle w:val="Heading1"/>
        <w:pageBreakBefore/>
      </w:pPr>
      <w:bookmarkStart w:id="22" w:name="_Toc243485860"/>
      <w:r w:rsidRPr="003E44AB">
        <w:lastRenderedPageBreak/>
        <w:t>Subsector packs</w:t>
      </w:r>
      <w:bookmarkEnd w:id="22"/>
    </w:p>
    <w:p w14:paraId="1DE16E12" w14:textId="4C627DAA" w:rsidR="00CF06E1" w:rsidRPr="003E44AB" w:rsidRDefault="00CF06E1">
      <w:pPr>
        <w:pStyle w:val="BodyText"/>
      </w:pPr>
      <w:r w:rsidRPr="003E44AB">
        <w:t xml:space="preserve">To access the Renewable Energy subsector packs, please visit the </w:t>
      </w:r>
      <w:hyperlink r:id="rId52" w:tooltip="Opens the Victorian Government energy website page where the renewable energy subsector packs can be downloaded" w:history="1">
        <w:r w:rsidRPr="003E44AB">
          <w:rPr>
            <w:rStyle w:val="Hyperlink"/>
          </w:rPr>
          <w:t>renewable energy subsector packs page</w:t>
        </w:r>
      </w:hyperlink>
      <w:r w:rsidRPr="003E44AB">
        <w:t>.</w:t>
      </w:r>
    </w:p>
    <w:p w14:paraId="6C48617B" w14:textId="77777777" w:rsidR="00CF06E1" w:rsidRPr="003E44AB" w:rsidRDefault="00CF06E1">
      <w:pPr>
        <w:pStyle w:val="Normalbeforebullets"/>
      </w:pPr>
      <w:r w:rsidRPr="003E44AB">
        <w:t>The following subsector packs are available:</w:t>
      </w:r>
    </w:p>
    <w:p w14:paraId="2FD0ADAF" w14:textId="77777777" w:rsidR="00CF06E1" w:rsidRPr="003E44AB" w:rsidRDefault="00CF06E1">
      <w:pPr>
        <w:pStyle w:val="ListBullet"/>
      </w:pPr>
      <w:r w:rsidRPr="003E44AB">
        <w:t>Distributed Energy Resources and EVs</w:t>
      </w:r>
    </w:p>
    <w:p w14:paraId="73A3F21B" w14:textId="77777777" w:rsidR="00CF06E1" w:rsidRPr="003E44AB" w:rsidRDefault="00CF06E1">
      <w:pPr>
        <w:pStyle w:val="ListBullet"/>
      </w:pPr>
      <w:r w:rsidRPr="003E44AB">
        <w:t>Offshore Wind</w:t>
      </w:r>
    </w:p>
    <w:p w14:paraId="738BE659" w14:textId="77777777" w:rsidR="00CF06E1" w:rsidRPr="003E44AB" w:rsidRDefault="00CF06E1">
      <w:pPr>
        <w:pStyle w:val="ListBullet"/>
      </w:pPr>
      <w:r w:rsidRPr="003E44AB">
        <w:t>Utility-scale Electricity Generation and Storage</w:t>
      </w:r>
    </w:p>
    <w:p w14:paraId="5910DDCA" w14:textId="77777777" w:rsidR="00CF06E1" w:rsidRPr="003E44AB" w:rsidRDefault="00CF06E1">
      <w:pPr>
        <w:pStyle w:val="ListBullet"/>
      </w:pPr>
      <w:r w:rsidRPr="003E44AB">
        <w:t>Renewable Fuels and Feedstocks</w:t>
      </w:r>
    </w:p>
    <w:p w14:paraId="77197927" w14:textId="77777777" w:rsidR="00CF06E1" w:rsidRPr="003E44AB" w:rsidRDefault="00CF06E1">
      <w:pPr>
        <w:pStyle w:val="LastBulletinList"/>
      </w:pPr>
      <w:r w:rsidRPr="003E44AB">
        <w:t>Renewable Fuels and Feedstocks: Sustainable Aviation Fuel.</w:t>
      </w:r>
    </w:p>
    <w:p w14:paraId="46298DE9" w14:textId="09A8EE43" w:rsidR="00222FF2" w:rsidRPr="003E44AB" w:rsidRDefault="00222FF2" w:rsidP="00885AAB">
      <w:pPr>
        <w:pStyle w:val="Heading1"/>
        <w:pageBreakBefore/>
        <w:spacing w:after="240"/>
      </w:pPr>
      <w:bookmarkStart w:id="23" w:name="_Toc243485861"/>
      <w:r w:rsidRPr="003E44AB">
        <w:lastRenderedPageBreak/>
        <w:t>Publication information</w:t>
      </w:r>
      <w:bookmarkEnd w:id="1"/>
      <w:bookmarkEnd w:id="23"/>
    </w:p>
    <w:p w14:paraId="7E2A510E" w14:textId="77777777" w:rsidR="00222FF2" w:rsidRPr="003E44AB" w:rsidRDefault="00222FF2" w:rsidP="00B444E3">
      <w:pPr>
        <w:pStyle w:val="Heading2"/>
        <w:spacing w:before="0" w:after="120"/>
        <w:rPr>
          <w:sz w:val="32"/>
          <w:szCs w:val="32"/>
        </w:rPr>
      </w:pPr>
      <w:r w:rsidRPr="003E44AB">
        <w:rPr>
          <w:sz w:val="32"/>
          <w:szCs w:val="32"/>
        </w:rPr>
        <w:t>Copyright</w:t>
      </w:r>
    </w:p>
    <w:p w14:paraId="38748876" w14:textId="40FE9113" w:rsidR="00222FF2" w:rsidRPr="003E44AB" w:rsidRDefault="00222FF2" w:rsidP="00C51A83">
      <w:pPr>
        <w:pStyle w:val="BodyText"/>
        <w:spacing w:after="120"/>
        <w:ind w:right="-285"/>
      </w:pPr>
      <w:r w:rsidRPr="003E44AB">
        <w:t xml:space="preserve">© The State of Victoria Department of Energy, Environment and </w:t>
      </w:r>
      <w:r w:rsidR="00F72213" w:rsidRPr="003E44AB">
        <w:t>Climate Action, September 2026.</w:t>
      </w:r>
    </w:p>
    <w:p w14:paraId="69A3F2CD" w14:textId="77777777" w:rsidR="00222FF2" w:rsidRPr="003E44AB" w:rsidRDefault="00222FF2" w:rsidP="00B444E3">
      <w:pPr>
        <w:pStyle w:val="Heading2"/>
        <w:spacing w:before="0" w:after="120"/>
        <w:rPr>
          <w:sz w:val="32"/>
          <w:szCs w:val="32"/>
        </w:rPr>
      </w:pPr>
      <w:r w:rsidRPr="003E44AB">
        <w:rPr>
          <w:sz w:val="32"/>
          <w:szCs w:val="32"/>
        </w:rPr>
        <w:t>Creative Commons</w:t>
      </w:r>
    </w:p>
    <w:p w14:paraId="51A69DCE" w14:textId="135BB7A5" w:rsidR="00222FF2" w:rsidRPr="003E44AB" w:rsidRDefault="00222FF2" w:rsidP="00222FF2">
      <w:pPr>
        <w:pStyle w:val="BodyText"/>
        <w:ind w:right="-285"/>
      </w:pPr>
      <w:r w:rsidRPr="003E44AB">
        <w:t xml:space="preserve">This work is licensed under a Creative Commons Attribution 4.0 International licence, visit the </w:t>
      </w:r>
      <w:hyperlink r:id="rId53" w:tooltip="Opens the Creative Commons website page for the Attribution 4.0 International licence" w:history="1">
        <w:r w:rsidRPr="003E44AB">
          <w:rPr>
            <w:rStyle w:val="Hyperlink"/>
          </w:rPr>
          <w:t>Creative Commons website</w:t>
        </w:r>
      </w:hyperlink>
      <w:r w:rsidR="00E335F5" w:rsidRPr="003E44AB">
        <w:t>.</w:t>
      </w:r>
    </w:p>
    <w:p w14:paraId="0000C0EE" w14:textId="77777777" w:rsidR="00222FF2" w:rsidRPr="003E44AB" w:rsidRDefault="00222FF2" w:rsidP="00222FF2">
      <w:pPr>
        <w:pStyle w:val="BodyText"/>
        <w:ind w:right="-285"/>
      </w:pPr>
      <w:r w:rsidRPr="003E44AB">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37F61CD0" w14:textId="212CD75F" w:rsidR="00222FF2" w:rsidRPr="003E44AB" w:rsidRDefault="00F72213" w:rsidP="00C51A83">
      <w:pPr>
        <w:pStyle w:val="BodyText"/>
        <w:spacing w:after="120" w:line="276" w:lineRule="auto"/>
        <w:ind w:right="-285"/>
      </w:pPr>
      <w:r w:rsidRPr="003E44AB">
        <w:rPr>
          <w:b/>
          <w:bCs/>
        </w:rPr>
        <w:t xml:space="preserve">ISBN </w:t>
      </w:r>
      <w:r w:rsidR="00CF06E1" w:rsidRPr="003E44AB">
        <w:t>978-1-76176-997-9</w:t>
      </w:r>
      <w:r w:rsidRPr="003E44AB">
        <w:rPr>
          <w:b/>
          <w:bCs/>
        </w:rPr>
        <w:t xml:space="preserve"> (print)</w:t>
      </w:r>
    </w:p>
    <w:p w14:paraId="77BC33CC" w14:textId="3511ABD6" w:rsidR="00222FF2" w:rsidRPr="003E44AB" w:rsidRDefault="00F72213" w:rsidP="00C51A83">
      <w:pPr>
        <w:pStyle w:val="BodyText"/>
        <w:spacing w:after="120"/>
        <w:ind w:right="-285"/>
      </w:pPr>
      <w:r w:rsidRPr="003E44AB">
        <w:rPr>
          <w:b/>
          <w:bCs/>
        </w:rPr>
        <w:t xml:space="preserve">ISBN </w:t>
      </w:r>
      <w:r w:rsidR="00CF06E1" w:rsidRPr="003E44AB">
        <w:t>978-1-76176-998-6</w:t>
      </w:r>
      <w:r w:rsidRPr="003E44AB">
        <w:rPr>
          <w:b/>
          <w:bCs/>
        </w:rPr>
        <w:t xml:space="preserve"> (pdf/online/MS word)</w:t>
      </w:r>
    </w:p>
    <w:p w14:paraId="0A1C17BE" w14:textId="77777777" w:rsidR="00222FF2" w:rsidRPr="003E44AB" w:rsidRDefault="00222FF2" w:rsidP="00B444E3">
      <w:pPr>
        <w:pStyle w:val="Heading2"/>
        <w:spacing w:before="0" w:after="120"/>
        <w:rPr>
          <w:sz w:val="32"/>
          <w:szCs w:val="32"/>
        </w:rPr>
      </w:pPr>
      <w:r w:rsidRPr="003E44AB">
        <w:rPr>
          <w:sz w:val="32"/>
          <w:szCs w:val="32"/>
        </w:rPr>
        <w:t>Disclaimer</w:t>
      </w:r>
    </w:p>
    <w:p w14:paraId="72C78673" w14:textId="77777777" w:rsidR="00222FF2" w:rsidRPr="003E44AB" w:rsidRDefault="00222FF2" w:rsidP="00C51A83">
      <w:pPr>
        <w:pStyle w:val="BodyText"/>
        <w:spacing w:after="120"/>
      </w:pPr>
      <w:r w:rsidRPr="003E44AB">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7DCCFB" w14:textId="77777777" w:rsidR="00222FF2" w:rsidRPr="003E44AB" w:rsidRDefault="00222FF2" w:rsidP="00B444E3">
      <w:pPr>
        <w:pStyle w:val="Heading2"/>
        <w:spacing w:before="0" w:after="120"/>
        <w:rPr>
          <w:sz w:val="32"/>
          <w:szCs w:val="32"/>
        </w:rPr>
      </w:pPr>
      <w:r w:rsidRPr="003E44AB">
        <w:rPr>
          <w:sz w:val="32"/>
          <w:szCs w:val="32"/>
        </w:rPr>
        <w:t>Accessibility</w:t>
      </w:r>
    </w:p>
    <w:p w14:paraId="542DA5E7" w14:textId="552E7164" w:rsidR="00806A08" w:rsidRPr="003E44AB" w:rsidRDefault="00181BFA" w:rsidP="00806A08">
      <w:pPr>
        <w:pStyle w:val="BodyText"/>
        <w:spacing w:after="120"/>
      </w:pPr>
      <w:r w:rsidRPr="003E44AB">
        <w:t xml:space="preserve">To receive this document in an alternative format, phone the </w:t>
      </w:r>
      <w:r w:rsidR="00F72213" w:rsidRPr="003E44AB">
        <w:t>Customer Contact Centre</w:t>
      </w:r>
      <w:r w:rsidRPr="003E44AB">
        <w:t xml:space="preserve"> on 136 186, email </w:t>
      </w:r>
      <w:hyperlink r:id="rId54" w:tooltip="Send an email to customer service" w:history="1">
        <w:r w:rsidRPr="003E44AB">
          <w:rPr>
            <w:rStyle w:val="Hyperlink"/>
          </w:rPr>
          <w:t>customer.service@deeca.vic.gov.au</w:t>
        </w:r>
      </w:hyperlink>
      <w:r w:rsidRPr="003E44AB">
        <w:t xml:space="preserve">, or contact National Relay Service on 133 677 or visit </w:t>
      </w:r>
      <w:hyperlink r:id="rId55" w:tooltip="Opens the National Relay Service website on the Australian Government Access Hub" w:history="1">
        <w:r w:rsidRPr="003E44AB">
          <w:rPr>
            <w:rStyle w:val="Hyperlink"/>
          </w:rPr>
          <w:t>the National Relay Service website</w:t>
        </w:r>
      </w:hyperlink>
      <w:r w:rsidRPr="003E44AB">
        <w:t xml:space="preserve">. This document is available on the </w:t>
      </w:r>
      <w:hyperlink r:id="rId56" w:tooltip="Opens the Department of Energy, Environment and Climate Action (DEECA) website" w:history="1">
        <w:r w:rsidRPr="003E44AB">
          <w:rPr>
            <w:rStyle w:val="Hyperlink"/>
          </w:rPr>
          <w:t>DEECA website</w:t>
        </w:r>
      </w:hyperlink>
      <w:r w:rsidRPr="003E44AB">
        <w:t>.</w:t>
      </w:r>
    </w:p>
    <w:p w14:paraId="76427E55" w14:textId="77777777" w:rsidR="00F767CD" w:rsidRPr="003E44AB" w:rsidRDefault="00222FF2" w:rsidP="005D3890">
      <w:pPr>
        <w:pStyle w:val="BodyText"/>
        <w:spacing w:before="360" w:after="0"/>
        <w:rPr>
          <w:b/>
          <w:bCs/>
        </w:rPr>
      </w:pPr>
      <w:r w:rsidRPr="003E44AB">
        <w:rPr>
          <w:b/>
          <w:bCs/>
        </w:rPr>
        <w:t>End of document.</w:t>
      </w:r>
    </w:p>
    <w:sectPr w:rsidR="00F767CD" w:rsidRPr="003E44AB" w:rsidSect="00EB277B">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278F8" w14:textId="77777777" w:rsidR="00AD1EE3" w:rsidRDefault="00AD1EE3" w:rsidP="00F2730B">
      <w:pPr>
        <w:spacing w:after="0" w:line="240" w:lineRule="auto"/>
      </w:pPr>
      <w:r>
        <w:separator/>
      </w:r>
    </w:p>
  </w:endnote>
  <w:endnote w:type="continuationSeparator" w:id="0">
    <w:p w14:paraId="5C9FF6C0" w14:textId="77777777" w:rsidR="00AD1EE3" w:rsidRDefault="00AD1EE3"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471365B6"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1D7B3"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754635306"/>
      <w:docPartObj>
        <w:docPartGallery w:val="Page Numbers (Bottom of Page)"/>
        <w:docPartUnique/>
      </w:docPartObj>
    </w:sdtPr>
    <w:sdtContent>
      <w:p w14:paraId="76C2B865" w14:textId="77777777" w:rsidR="00EB277B" w:rsidRPr="00A90182" w:rsidRDefault="00EB277B" w:rsidP="00EB277B">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sz w:val="22"/>
          </w:rPr>
          <w:t>2</w:t>
        </w:r>
        <w:r w:rsidRPr="00A90182">
          <w:rPr>
            <w:rStyle w:val="PageNumber"/>
            <w:sz w:val="22"/>
          </w:rPr>
          <w:fldChar w:fldCharType="end"/>
        </w:r>
      </w:p>
    </w:sdtContent>
  </w:sdt>
  <w:p w14:paraId="2728EAA3" w14:textId="2E66A9C7" w:rsidR="00EB277B" w:rsidRPr="00A90182" w:rsidRDefault="001F6D43" w:rsidP="001F6D43">
    <w:pPr>
      <w:pStyle w:val="Footer"/>
      <w:ind w:right="360"/>
      <w:rPr>
        <w:sz w:val="22"/>
      </w:rPr>
    </w:pPr>
    <w:r w:rsidRPr="001F6D43">
      <w:rPr>
        <w:sz w:val="22"/>
      </w:rPr>
      <w:t>Renewable Energy Investment Prospectus: Renewable Fuels and Feedstocks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35E5E4" w14:textId="77777777" w:rsidR="00910420" w:rsidRDefault="009104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47704047"/>
      <w:docPartObj>
        <w:docPartGallery w:val="Page Numbers (Bottom of Page)"/>
        <w:docPartUnique/>
      </w:docPartObj>
    </w:sdtPr>
    <w:sdtContent>
      <w:p w14:paraId="4B0FB717" w14:textId="77777777" w:rsidR="00885AAB" w:rsidRPr="00A90182" w:rsidRDefault="00885AAB" w:rsidP="00FE2D33">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noProof/>
            <w:sz w:val="22"/>
          </w:rPr>
          <w:t>2</w:t>
        </w:r>
        <w:r w:rsidRPr="00A90182">
          <w:rPr>
            <w:rStyle w:val="PageNumber"/>
            <w:sz w:val="22"/>
          </w:rPr>
          <w:fldChar w:fldCharType="end"/>
        </w:r>
      </w:p>
    </w:sdtContent>
  </w:sdt>
  <w:p w14:paraId="34EFD8E1" w14:textId="5F87D6C2" w:rsidR="00B165A7" w:rsidRPr="00A90182" w:rsidRDefault="001F6D43" w:rsidP="00B165A7">
    <w:pPr>
      <w:pStyle w:val="Footer"/>
      <w:ind w:right="360"/>
      <w:rPr>
        <w:sz w:val="22"/>
      </w:rPr>
    </w:pPr>
    <w:r w:rsidRPr="001F6D43">
      <w:rPr>
        <w:sz w:val="22"/>
      </w:rPr>
      <w:t>Renewable Energy Investment Prospectus: Renewable Fuels and Feedstocks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3AEEA8" w14:textId="77777777" w:rsidR="00AD1EE3" w:rsidRDefault="00AD1EE3" w:rsidP="00F2730B">
      <w:pPr>
        <w:spacing w:after="0" w:line="240" w:lineRule="auto"/>
      </w:pPr>
      <w:r>
        <w:separator/>
      </w:r>
    </w:p>
  </w:footnote>
  <w:footnote w:type="continuationSeparator" w:id="0">
    <w:p w14:paraId="597BE419" w14:textId="77777777" w:rsidR="00AD1EE3" w:rsidRDefault="00AD1EE3" w:rsidP="00F2730B">
      <w:pPr>
        <w:spacing w:after="0" w:line="240" w:lineRule="auto"/>
      </w:pPr>
      <w:r>
        <w:continuationSeparator/>
      </w:r>
    </w:p>
  </w:footnote>
  <w:footnote w:id="1">
    <w:p w14:paraId="2C7AA67B" w14:textId="77777777" w:rsidR="00910420" w:rsidRDefault="00910420">
      <w:pPr>
        <w:pStyle w:val="FootnoteText"/>
      </w:pPr>
      <w:r>
        <w:rPr>
          <w:rStyle w:val="FootnoteReference"/>
        </w:rPr>
        <w:footnoteRef/>
      </w:r>
      <w:r>
        <w:t xml:space="preserve"> Victorian energy consumption data collated from: Australian Energy Update 2025 | Department of Climate Change, Energy, the Environment and Water | </w:t>
      </w:r>
      <w:hyperlink r:id="rId1" w:tooltip="Opens the Australian Government energy website page for the Australian Energy Update 2025" w:history="1">
        <w:r>
          <w:rPr>
            <w:rStyle w:val="Hyperlink"/>
          </w:rPr>
          <w:t>energy.gov.au/publications/australian-energy-update-2025</w:t>
        </w:r>
      </w:hyperlink>
      <w:r>
        <w:t xml:space="preserve">; The Superpower Institute, Annual Victorian Consumption 2025 | </w:t>
      </w:r>
      <w:hyperlink r:id="rId2" w:tooltip="Opens The Superpower Institute Open Electricity data explorer website" w:history="1">
        <w:r>
          <w:rPr>
            <w:rStyle w:val="Hyperlink"/>
          </w:rPr>
          <w:t>explore.openelectricity.org.au</w:t>
        </w:r>
      </w:hyperlink>
      <w:r>
        <w:t xml:space="preserve">; Gas Statement of Opportunities | AEMO | </w:t>
      </w:r>
      <w:hyperlink r:id="rId3" w:tooltip="Opens the Australian Energy Market Operator web page for the Gas Statement of Opportunities" w:history="1">
        <w:r>
          <w:rPr>
            <w:rStyle w:val="Hyperlink"/>
          </w:rPr>
          <w:t>aemo.com.au/energy-systems/gas/gas-forecasting-and-planning/gas-statement-of-opportunities-gsoo</w:t>
        </w:r>
      </w:hyperlink>
      <w:r>
        <w:t>. Natural gas figure is based on the 2026 Victorian Gas Planning Report and includes 167 PJ Victorian Declared Transmission System (DTS) and 6.1 PJ non-DTS consumption.</w:t>
      </w:r>
    </w:p>
  </w:footnote>
  <w:footnote w:id="2">
    <w:p w14:paraId="681D5CFE" w14:textId="77777777" w:rsidR="00910420" w:rsidRDefault="00910420" w:rsidP="00DE11C9">
      <w:pPr>
        <w:pStyle w:val="FootnoteText"/>
        <w:spacing w:before="120" w:after="0"/>
      </w:pPr>
      <w:r>
        <w:rPr>
          <w:rStyle w:val="FootnoteReference"/>
        </w:rPr>
        <w:footnoteRef/>
      </w:r>
      <w:r>
        <w:t xml:space="preserve"> Other includes 6.6 PJ residential solar energy, 20.1 PJ wood and wood waste bioenergy and 5.3 PJ liquid and gas bioenergy.</w:t>
      </w:r>
    </w:p>
  </w:footnote>
  <w:footnote w:id="3">
    <w:p w14:paraId="641DB91D" w14:textId="77777777" w:rsidR="00910420" w:rsidRDefault="00910420" w:rsidP="00DE11C9">
      <w:pPr>
        <w:pStyle w:val="FootnoteText"/>
        <w:spacing w:after="240"/>
      </w:pPr>
      <w:r>
        <w:rPr>
          <w:rStyle w:val="FootnoteReference"/>
        </w:rPr>
        <w:footnoteRef/>
      </w:r>
      <w:r>
        <w:t xml:space="preserve"> Victoria in Future | Department of Transport and Planning | </w:t>
      </w:r>
      <w:hyperlink r:id="rId4" w:tooltip="Opens the Victorian Government planning website page for Victoria in Future population projections" w:history="1">
        <w:r>
          <w:rPr>
            <w:rStyle w:val="Hyperlink"/>
          </w:rPr>
          <w:t>planning.vic.gov.au/guides-and-resources/Data-spatial-and-insights/discover-and-access-planning-open-data/victoria-in-future</w:t>
        </w:r>
      </w:hyperlink>
    </w:p>
  </w:footnote>
  <w:footnote w:id="4">
    <w:p w14:paraId="63537B4E" w14:textId="77777777" w:rsidR="00910420" w:rsidRDefault="00910420" w:rsidP="00DE11C9">
      <w:pPr>
        <w:pStyle w:val="FootnoteText"/>
        <w:spacing w:after="240"/>
        <w:ind w:right="-427"/>
      </w:pPr>
      <w:r>
        <w:rPr>
          <w:rStyle w:val="FootnoteReference"/>
        </w:rPr>
        <w:footnoteRef/>
      </w:r>
      <w:r>
        <w:t xml:space="preserve"> Why invest in Melbourne? | City of Melbourne | </w:t>
      </w:r>
      <w:hyperlink r:id="rId5" w:tooltip="Opens the City of Melbourne web page Why invest in Melbourne?" w:history="1">
        <w:r>
          <w:rPr>
            <w:rStyle w:val="Hyperlink"/>
          </w:rPr>
          <w:t>melbourne.vic.gov.au/why-invest-</w:t>
        </w:r>
        <w:proofErr w:type="spellStart"/>
        <w:r>
          <w:rPr>
            <w:rStyle w:val="Hyperlink"/>
          </w:rPr>
          <w:t>melbourne</w:t>
        </w:r>
        <w:proofErr w:type="spellEnd"/>
      </w:hyperlink>
    </w:p>
  </w:footnote>
  <w:footnote w:id="5">
    <w:p w14:paraId="14AE3D26" w14:textId="77777777" w:rsidR="00910420" w:rsidRDefault="00910420" w:rsidP="00DE11C9">
      <w:pPr>
        <w:pStyle w:val="FootnoteText"/>
        <w:spacing w:after="0"/>
      </w:pPr>
      <w:r>
        <w:rPr>
          <w:rStyle w:val="FootnoteReference"/>
        </w:rPr>
        <w:footnoteRef/>
      </w:r>
      <w:r>
        <w:t xml:space="preserve"> EIU Global Liveability Index 2026 | Economist Intelligence Unit | </w:t>
      </w:r>
      <w:hyperlink r:id="rId6" w:tooltip="Opens the Economist Intelligence Unit Global Liveability Index 2026 report (PDF)" w:history="1">
        <w:r>
          <w:rPr>
            <w:rStyle w:val="Hyperlink"/>
          </w:rPr>
          <w:t>eiu.com/n/wp-content/uploads/2026/07/EIU_Liveability-Index-2026.pdf</w:t>
        </w:r>
      </w:hyperlink>
    </w:p>
  </w:footnote>
  <w:footnote w:id="6">
    <w:p w14:paraId="7B6C9E29" w14:textId="77777777" w:rsidR="00910420" w:rsidRDefault="00910420" w:rsidP="001C5ACC">
      <w:pPr>
        <w:pStyle w:val="FootnoteText"/>
        <w:spacing w:after="0"/>
      </w:pPr>
      <w:r>
        <w:rPr>
          <w:rStyle w:val="FootnoteReference"/>
        </w:rPr>
        <w:footnoteRef/>
      </w:r>
      <w:r>
        <w:t xml:space="preserve"> Energy consumption data (PJ) derived from Australian Energy Update 2025, Table F (2023 data) | Department of Climate Change, Energy, the Environment and Water | </w:t>
      </w:r>
      <w:hyperlink r:id="rId7" w:tooltip="Opens the Australian Government energy website page for the Australian Energy Update 2025" w:history="1">
        <w:r>
          <w:rPr>
            <w:rStyle w:val="Hyperlink"/>
          </w:rPr>
          <w:t>energy.gov.au/publications/australian-energy-update-2025</w:t>
        </w:r>
      </w:hyperlink>
    </w:p>
  </w:footnote>
  <w:footnote w:id="7">
    <w:p w14:paraId="454F0C30" w14:textId="77777777" w:rsidR="00910420" w:rsidRDefault="00910420">
      <w:pPr>
        <w:pStyle w:val="FootnoteText"/>
      </w:pPr>
      <w:r>
        <w:rPr>
          <w:rStyle w:val="FootnoteReference"/>
        </w:rPr>
        <w:footnoteRef/>
      </w:r>
      <w:r>
        <w:t xml:space="preserve"> Passenger forecasts as defined in the Melbourne Airport Master Plan | Melbourne Airport | </w:t>
      </w:r>
      <w:hyperlink r:id="rId8" w:tooltip="Opens the Melbourne Airport Master Plan web page" w:history="1">
        <w:r>
          <w:rPr>
            <w:rStyle w:val="Hyperlink"/>
          </w:rPr>
          <w:t>melbourneairport.com.au/corporate/</w:t>
        </w:r>
        <w:proofErr w:type="gramStart"/>
        <w:r>
          <w:rPr>
            <w:rStyle w:val="Hyperlink"/>
          </w:rPr>
          <w:t>master-plan</w:t>
        </w:r>
        <w:proofErr w:type="gramEnd"/>
      </w:hyperlink>
    </w:p>
  </w:footnote>
  <w:footnote w:id="8">
    <w:p w14:paraId="044BB207" w14:textId="77777777" w:rsidR="00910420" w:rsidRDefault="00910420">
      <w:pPr>
        <w:pStyle w:val="FootnoteText"/>
      </w:pPr>
      <w:r>
        <w:rPr>
          <w:rStyle w:val="FootnoteReference"/>
        </w:rPr>
        <w:footnoteRef/>
      </w:r>
      <w:r>
        <w:t xml:space="preserve"> CORSIA States for Chapter 3 State Pairs | International Civil Aviation Organization | </w:t>
      </w:r>
      <w:hyperlink r:id="rId9" w:tooltip="Opens the International Civil Aviation Organization web page listing CORSIA states for Chapter 3 state pairs" w:history="1">
        <w:r>
          <w:rPr>
            <w:rStyle w:val="Hyperlink"/>
          </w:rPr>
          <w:t>icao.int/CORSIA/corsia-states-chapter-3-state-pairs</w:t>
        </w:r>
      </w:hyperlink>
    </w:p>
  </w:footnote>
  <w:footnote w:id="9">
    <w:p w14:paraId="66F95FFA" w14:textId="77777777" w:rsidR="00910420" w:rsidRDefault="00910420">
      <w:pPr>
        <w:pStyle w:val="FootnoteText"/>
      </w:pPr>
      <w:r>
        <w:rPr>
          <w:rStyle w:val="FootnoteReference"/>
        </w:rPr>
        <w:footnoteRef/>
      </w:r>
      <w:r>
        <w:t xml:space="preserve"> Sustainable aviation fuel | Qantas | </w:t>
      </w:r>
      <w:hyperlink r:id="rId10" w:tooltip="Opens the Qantas web page about sustainable aviation fuel" w:history="1">
        <w:r>
          <w:rPr>
            <w:rStyle w:val="Hyperlink"/>
          </w:rPr>
          <w:t>qantas.com/corporate/sustainability/our-planet/sustainable-aviation-fuel</w:t>
        </w:r>
      </w:hyperlink>
    </w:p>
  </w:footnote>
  <w:footnote w:id="10">
    <w:p w14:paraId="07E3E4D2" w14:textId="77777777" w:rsidR="00910420" w:rsidRDefault="00910420">
      <w:pPr>
        <w:pStyle w:val="FootnoteText"/>
      </w:pPr>
      <w:r>
        <w:rPr>
          <w:rStyle w:val="FootnoteReference"/>
        </w:rPr>
        <w:footnoteRef/>
      </w:r>
      <w:r>
        <w:t xml:space="preserve"> Sustainable aviation fuel | Air New Zealand | </w:t>
      </w:r>
      <w:hyperlink r:id="rId11" w:tooltip="Opens the Air New Zealand web page about sustainable aviation fuel" w:history="1">
        <w:r>
          <w:rPr>
            <w:rStyle w:val="Hyperlink"/>
          </w:rPr>
          <w:t>airnewzealand.co.nz/sustainability-</w:t>
        </w:r>
        <w:proofErr w:type="spellStart"/>
        <w:r>
          <w:rPr>
            <w:rStyle w:val="Hyperlink"/>
          </w:rPr>
          <w:t>saf</w:t>
        </w:r>
        <w:proofErr w:type="spellEnd"/>
      </w:hyperlink>
    </w:p>
  </w:footnote>
  <w:footnote w:id="11">
    <w:p w14:paraId="4CCE0E73" w14:textId="77777777" w:rsidR="00910420" w:rsidRDefault="00910420">
      <w:pPr>
        <w:pStyle w:val="FootnoteText"/>
      </w:pPr>
      <w:r>
        <w:rPr>
          <w:rStyle w:val="FootnoteReference"/>
        </w:rPr>
        <w:footnoteRef/>
      </w:r>
      <w:r>
        <w:t xml:space="preserve"> Environment | Singapore Airlines | </w:t>
      </w:r>
      <w:hyperlink r:id="rId12" w:tooltip="Opens the Singapore Airlines web page about environmental sustainability" w:history="1">
        <w:r>
          <w:rPr>
            <w:rStyle w:val="Hyperlink"/>
          </w:rPr>
          <w:t>singaporeair.com/</w:t>
        </w:r>
        <w:proofErr w:type="spellStart"/>
        <w:r>
          <w:rPr>
            <w:rStyle w:val="Hyperlink"/>
          </w:rPr>
          <w:t>en_UK</w:t>
        </w:r>
        <w:proofErr w:type="spellEnd"/>
        <w:r>
          <w:rPr>
            <w:rStyle w:val="Hyperlink"/>
          </w:rPr>
          <w:t>/sg/about-us/sustainability/environment/</w:t>
        </w:r>
      </w:hyperlink>
    </w:p>
  </w:footnote>
  <w:footnote w:id="12">
    <w:p w14:paraId="697F4305" w14:textId="77777777" w:rsidR="00CF06E1" w:rsidRDefault="00CF06E1">
      <w:pPr>
        <w:pStyle w:val="FootnoteText"/>
      </w:pPr>
      <w:r>
        <w:rPr>
          <w:rStyle w:val="FootnoteReference"/>
        </w:rPr>
        <w:footnoteRef/>
      </w:r>
      <w:r>
        <w:t xml:space="preserve"> Victorian Gas Planning Report Update | AEMO | March 2026; and practically available biomethane potential data from DEECA-commissioned studies.</w:t>
      </w:r>
    </w:p>
  </w:footnote>
  <w:footnote w:id="13">
    <w:p w14:paraId="523AF48D" w14:textId="77777777" w:rsidR="00CF06E1" w:rsidRDefault="00CF06E1" w:rsidP="00D7012C">
      <w:pPr>
        <w:pStyle w:val="FootnoteText"/>
        <w:spacing w:after="0"/>
      </w:pPr>
      <w:r>
        <w:rPr>
          <w:rStyle w:val="FootnoteReference"/>
        </w:rPr>
        <w:footnoteRef/>
      </w:r>
      <w:r>
        <w:t xml:space="preserve"> Forecast gas shortfall, 2026 Gas Statement of Opportunities (GSOO) report | AEMO | </w:t>
      </w:r>
      <w:hyperlink r:id="rId13" w:tooltip="Opens the Australian Energy Market Operator web page for the Gas Statement of Opportunities" w:history="1">
        <w:r>
          <w:rPr>
            <w:rStyle w:val="Hyperlink"/>
          </w:rPr>
          <w:t>aemo.com.au/energy-systems/gas/gas-forecasting-and-planning/gas-statement-of-opportunities-gsoo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3061A" w14:textId="77777777" w:rsidR="00910420" w:rsidRDefault="009104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A7029F" w14:textId="77777777" w:rsidR="00910420" w:rsidRDefault="009104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526C8C" w14:textId="77777777" w:rsidR="00910420" w:rsidRDefault="009104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FACF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60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D0FB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ECD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A8F0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7E092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F91134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4"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AC11D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702E09"/>
    <w:multiLevelType w:val="hybridMultilevel"/>
    <w:tmpl w:val="8DF803A0"/>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5"/>
  </w:num>
  <w:num w:numId="2" w16cid:durableId="1813522522">
    <w:abstractNumId w:val="8"/>
  </w:num>
  <w:num w:numId="3" w16cid:durableId="533276510">
    <w:abstractNumId w:val="34"/>
  </w:num>
  <w:num w:numId="4" w16cid:durableId="771362055">
    <w:abstractNumId w:val="7"/>
  </w:num>
  <w:num w:numId="5" w16cid:durableId="3823149">
    <w:abstractNumId w:val="24"/>
  </w:num>
  <w:num w:numId="6" w16cid:durableId="338390637">
    <w:abstractNumId w:val="10"/>
  </w:num>
  <w:num w:numId="7" w16cid:durableId="182984412">
    <w:abstractNumId w:val="30"/>
  </w:num>
  <w:num w:numId="8" w16cid:durableId="853954488">
    <w:abstractNumId w:val="22"/>
  </w:num>
  <w:num w:numId="9" w16cid:durableId="307325374">
    <w:abstractNumId w:val="15"/>
  </w:num>
  <w:num w:numId="10" w16cid:durableId="1207567416">
    <w:abstractNumId w:val="19"/>
  </w:num>
  <w:num w:numId="11" w16cid:durableId="1714499310">
    <w:abstractNumId w:val="17"/>
  </w:num>
  <w:num w:numId="12" w16cid:durableId="1557817223">
    <w:abstractNumId w:val="26"/>
  </w:num>
  <w:num w:numId="13" w16cid:durableId="766468131">
    <w:abstractNumId w:val="12"/>
  </w:num>
  <w:num w:numId="14" w16cid:durableId="401634644">
    <w:abstractNumId w:val="9"/>
  </w:num>
  <w:num w:numId="15" w16cid:durableId="1333338980">
    <w:abstractNumId w:val="14"/>
  </w:num>
  <w:num w:numId="16" w16cid:durableId="2077896738">
    <w:abstractNumId w:val="21"/>
  </w:num>
  <w:num w:numId="17" w16cid:durableId="318195612">
    <w:abstractNumId w:val="3"/>
  </w:num>
  <w:num w:numId="18" w16cid:durableId="172572898">
    <w:abstractNumId w:val="23"/>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6"/>
  </w:num>
  <w:num w:numId="25" w16cid:durableId="1754938255">
    <w:abstractNumId w:val="20"/>
  </w:num>
  <w:num w:numId="26" w16cid:durableId="1013340051">
    <w:abstractNumId w:val="33"/>
  </w:num>
  <w:num w:numId="27" w16cid:durableId="888301183">
    <w:abstractNumId w:val="25"/>
  </w:num>
  <w:num w:numId="28" w16cid:durableId="1861358892">
    <w:abstractNumId w:val="32"/>
  </w:num>
  <w:num w:numId="29" w16cid:durableId="695543879">
    <w:abstractNumId w:val="27"/>
  </w:num>
  <w:num w:numId="30" w16cid:durableId="1293904149">
    <w:abstractNumId w:val="13"/>
  </w:num>
  <w:num w:numId="31" w16cid:durableId="1885799011">
    <w:abstractNumId w:val="18"/>
  </w:num>
  <w:num w:numId="32" w16cid:durableId="781723449">
    <w:abstractNumId w:val="5"/>
  </w:num>
  <w:num w:numId="33" w16cid:durableId="84034890">
    <w:abstractNumId w:val="4"/>
  </w:num>
  <w:num w:numId="34" w16cid:durableId="1260794935">
    <w:abstractNumId w:val="2"/>
  </w:num>
  <w:num w:numId="35" w16cid:durableId="151218914">
    <w:abstractNumId w:val="1"/>
  </w:num>
  <w:num w:numId="36" w16cid:durableId="2055930691">
    <w:abstractNumId w:val="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64"/>
    <w:rsid w:val="00001E7A"/>
    <w:rsid w:val="000031BB"/>
    <w:rsid w:val="000055D4"/>
    <w:rsid w:val="00010851"/>
    <w:rsid w:val="00010D69"/>
    <w:rsid w:val="000138AF"/>
    <w:rsid w:val="000159E0"/>
    <w:rsid w:val="00016269"/>
    <w:rsid w:val="0001795D"/>
    <w:rsid w:val="000210D8"/>
    <w:rsid w:val="00021E90"/>
    <w:rsid w:val="00024973"/>
    <w:rsid w:val="00024974"/>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31D8"/>
    <w:rsid w:val="000747B4"/>
    <w:rsid w:val="00077243"/>
    <w:rsid w:val="00083F92"/>
    <w:rsid w:val="00096052"/>
    <w:rsid w:val="00096F20"/>
    <w:rsid w:val="000A06C8"/>
    <w:rsid w:val="000A07D7"/>
    <w:rsid w:val="000A09C6"/>
    <w:rsid w:val="000A2C96"/>
    <w:rsid w:val="000A2E17"/>
    <w:rsid w:val="000A3C2B"/>
    <w:rsid w:val="000A49E3"/>
    <w:rsid w:val="000A6D31"/>
    <w:rsid w:val="000B0305"/>
    <w:rsid w:val="000B181D"/>
    <w:rsid w:val="000B62B5"/>
    <w:rsid w:val="000C021F"/>
    <w:rsid w:val="000C259F"/>
    <w:rsid w:val="000C377A"/>
    <w:rsid w:val="000C4A37"/>
    <w:rsid w:val="000C4B11"/>
    <w:rsid w:val="000C7148"/>
    <w:rsid w:val="000D245C"/>
    <w:rsid w:val="000D4E1A"/>
    <w:rsid w:val="000D7F89"/>
    <w:rsid w:val="000F00F6"/>
    <w:rsid w:val="000F1864"/>
    <w:rsid w:val="000F2ED2"/>
    <w:rsid w:val="000F3D21"/>
    <w:rsid w:val="000F4892"/>
    <w:rsid w:val="000F491B"/>
    <w:rsid w:val="000F4C2F"/>
    <w:rsid w:val="000F7ED6"/>
    <w:rsid w:val="00101019"/>
    <w:rsid w:val="00104647"/>
    <w:rsid w:val="00105A0B"/>
    <w:rsid w:val="001069F6"/>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2C71"/>
    <w:rsid w:val="0013327E"/>
    <w:rsid w:val="00135B36"/>
    <w:rsid w:val="001450B6"/>
    <w:rsid w:val="001475FA"/>
    <w:rsid w:val="001500AB"/>
    <w:rsid w:val="00150D75"/>
    <w:rsid w:val="00151489"/>
    <w:rsid w:val="00152A8B"/>
    <w:rsid w:val="00156D15"/>
    <w:rsid w:val="00163F36"/>
    <w:rsid w:val="00164E6C"/>
    <w:rsid w:val="0016764A"/>
    <w:rsid w:val="001679C2"/>
    <w:rsid w:val="00167B91"/>
    <w:rsid w:val="001708FE"/>
    <w:rsid w:val="00170B1E"/>
    <w:rsid w:val="00171185"/>
    <w:rsid w:val="00172357"/>
    <w:rsid w:val="00175022"/>
    <w:rsid w:val="00181BFA"/>
    <w:rsid w:val="00185ABC"/>
    <w:rsid w:val="00185F2D"/>
    <w:rsid w:val="00187524"/>
    <w:rsid w:val="00187BEB"/>
    <w:rsid w:val="00191553"/>
    <w:rsid w:val="001920A5"/>
    <w:rsid w:val="00192DC5"/>
    <w:rsid w:val="0019451B"/>
    <w:rsid w:val="00194D50"/>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C10D8"/>
    <w:rsid w:val="001C1D65"/>
    <w:rsid w:val="001C2B23"/>
    <w:rsid w:val="001C5ACC"/>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1F6D43"/>
    <w:rsid w:val="002020A7"/>
    <w:rsid w:val="00202A5B"/>
    <w:rsid w:val="0020318C"/>
    <w:rsid w:val="00203251"/>
    <w:rsid w:val="00206D65"/>
    <w:rsid w:val="00207F89"/>
    <w:rsid w:val="00210E8C"/>
    <w:rsid w:val="00212461"/>
    <w:rsid w:val="00214345"/>
    <w:rsid w:val="002143C5"/>
    <w:rsid w:val="0021482C"/>
    <w:rsid w:val="002152A5"/>
    <w:rsid w:val="00215E01"/>
    <w:rsid w:val="00220839"/>
    <w:rsid w:val="00222FF2"/>
    <w:rsid w:val="00223B10"/>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29DE"/>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CE3"/>
    <w:rsid w:val="002A2BEF"/>
    <w:rsid w:val="002A3002"/>
    <w:rsid w:val="002A69BC"/>
    <w:rsid w:val="002B01C3"/>
    <w:rsid w:val="002C3499"/>
    <w:rsid w:val="002C41F0"/>
    <w:rsid w:val="002C75FC"/>
    <w:rsid w:val="002C7725"/>
    <w:rsid w:val="002D0B3A"/>
    <w:rsid w:val="002D2205"/>
    <w:rsid w:val="002D26FB"/>
    <w:rsid w:val="002D3DF1"/>
    <w:rsid w:val="002D4337"/>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5028"/>
    <w:rsid w:val="002F7F10"/>
    <w:rsid w:val="003016EC"/>
    <w:rsid w:val="00302960"/>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2FCF"/>
    <w:rsid w:val="00365074"/>
    <w:rsid w:val="00365844"/>
    <w:rsid w:val="0036602E"/>
    <w:rsid w:val="00367F37"/>
    <w:rsid w:val="003815C1"/>
    <w:rsid w:val="0038278D"/>
    <w:rsid w:val="0038291F"/>
    <w:rsid w:val="00384270"/>
    <w:rsid w:val="003842AB"/>
    <w:rsid w:val="003857A1"/>
    <w:rsid w:val="00387EBD"/>
    <w:rsid w:val="003931F4"/>
    <w:rsid w:val="003939D3"/>
    <w:rsid w:val="00395B17"/>
    <w:rsid w:val="00395DD4"/>
    <w:rsid w:val="00397331"/>
    <w:rsid w:val="00397BEF"/>
    <w:rsid w:val="003A0ADE"/>
    <w:rsid w:val="003A1991"/>
    <w:rsid w:val="003A393C"/>
    <w:rsid w:val="003A42CC"/>
    <w:rsid w:val="003A5555"/>
    <w:rsid w:val="003A6086"/>
    <w:rsid w:val="003A7094"/>
    <w:rsid w:val="003A72CF"/>
    <w:rsid w:val="003B25BA"/>
    <w:rsid w:val="003B4284"/>
    <w:rsid w:val="003B4A00"/>
    <w:rsid w:val="003C0AAC"/>
    <w:rsid w:val="003C2291"/>
    <w:rsid w:val="003C43C1"/>
    <w:rsid w:val="003C7412"/>
    <w:rsid w:val="003C7DED"/>
    <w:rsid w:val="003D0365"/>
    <w:rsid w:val="003D16D7"/>
    <w:rsid w:val="003D1F96"/>
    <w:rsid w:val="003D4796"/>
    <w:rsid w:val="003E2730"/>
    <w:rsid w:val="003E3C61"/>
    <w:rsid w:val="003E44AB"/>
    <w:rsid w:val="003E4660"/>
    <w:rsid w:val="003E5B1D"/>
    <w:rsid w:val="003E6B4D"/>
    <w:rsid w:val="003E7236"/>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07B5A"/>
    <w:rsid w:val="00411AE6"/>
    <w:rsid w:val="00413A1C"/>
    <w:rsid w:val="004153F9"/>
    <w:rsid w:val="004163B5"/>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5429"/>
    <w:rsid w:val="004D1B77"/>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386"/>
    <w:rsid w:val="005204D5"/>
    <w:rsid w:val="00526FFF"/>
    <w:rsid w:val="00527384"/>
    <w:rsid w:val="00532EA0"/>
    <w:rsid w:val="0053353B"/>
    <w:rsid w:val="00534C7C"/>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80FD2"/>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3890"/>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05F6"/>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751B7"/>
    <w:rsid w:val="006810F9"/>
    <w:rsid w:val="0068129E"/>
    <w:rsid w:val="006835A0"/>
    <w:rsid w:val="00684BBF"/>
    <w:rsid w:val="00685936"/>
    <w:rsid w:val="006869A0"/>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6908"/>
    <w:rsid w:val="0071440E"/>
    <w:rsid w:val="0071469C"/>
    <w:rsid w:val="00715677"/>
    <w:rsid w:val="00726F73"/>
    <w:rsid w:val="0073035C"/>
    <w:rsid w:val="00730F62"/>
    <w:rsid w:val="0073158C"/>
    <w:rsid w:val="007317D7"/>
    <w:rsid w:val="0073229A"/>
    <w:rsid w:val="007334FF"/>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5918"/>
    <w:rsid w:val="00792C27"/>
    <w:rsid w:val="00793193"/>
    <w:rsid w:val="00793EC8"/>
    <w:rsid w:val="007968FE"/>
    <w:rsid w:val="007972D5"/>
    <w:rsid w:val="007A006C"/>
    <w:rsid w:val="007A019C"/>
    <w:rsid w:val="007A02EE"/>
    <w:rsid w:val="007A16FB"/>
    <w:rsid w:val="007A261A"/>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3CBD"/>
    <w:rsid w:val="007C41AA"/>
    <w:rsid w:val="007C4DAC"/>
    <w:rsid w:val="007C7776"/>
    <w:rsid w:val="007D3A61"/>
    <w:rsid w:val="007D4347"/>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E96"/>
    <w:rsid w:val="00806A08"/>
    <w:rsid w:val="00807062"/>
    <w:rsid w:val="008071AB"/>
    <w:rsid w:val="008118D0"/>
    <w:rsid w:val="00811E7F"/>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62E7"/>
    <w:rsid w:val="008563EE"/>
    <w:rsid w:val="00857C5C"/>
    <w:rsid w:val="008620C1"/>
    <w:rsid w:val="00862D18"/>
    <w:rsid w:val="00863E6B"/>
    <w:rsid w:val="00873C92"/>
    <w:rsid w:val="00874D3A"/>
    <w:rsid w:val="00875B2C"/>
    <w:rsid w:val="008766CE"/>
    <w:rsid w:val="00876D01"/>
    <w:rsid w:val="00876ECA"/>
    <w:rsid w:val="00876FBF"/>
    <w:rsid w:val="00880B31"/>
    <w:rsid w:val="0088165C"/>
    <w:rsid w:val="00881924"/>
    <w:rsid w:val="00883471"/>
    <w:rsid w:val="00883DBD"/>
    <w:rsid w:val="008847C1"/>
    <w:rsid w:val="00884818"/>
    <w:rsid w:val="00885AAB"/>
    <w:rsid w:val="00886D42"/>
    <w:rsid w:val="008935B5"/>
    <w:rsid w:val="008941D0"/>
    <w:rsid w:val="0089467E"/>
    <w:rsid w:val="0089701A"/>
    <w:rsid w:val="00897169"/>
    <w:rsid w:val="008A06F8"/>
    <w:rsid w:val="008A150E"/>
    <w:rsid w:val="008A2489"/>
    <w:rsid w:val="008A3D2D"/>
    <w:rsid w:val="008A440E"/>
    <w:rsid w:val="008A44D0"/>
    <w:rsid w:val="008A7CA1"/>
    <w:rsid w:val="008B0D01"/>
    <w:rsid w:val="008B1C50"/>
    <w:rsid w:val="008B38A1"/>
    <w:rsid w:val="008B7A3D"/>
    <w:rsid w:val="008C31DE"/>
    <w:rsid w:val="008C3BE0"/>
    <w:rsid w:val="008C3D83"/>
    <w:rsid w:val="008C6B1D"/>
    <w:rsid w:val="008C71C0"/>
    <w:rsid w:val="008C7BCB"/>
    <w:rsid w:val="008D1B1A"/>
    <w:rsid w:val="008D1EAB"/>
    <w:rsid w:val="008D2803"/>
    <w:rsid w:val="008D2EAE"/>
    <w:rsid w:val="008D5755"/>
    <w:rsid w:val="008D5811"/>
    <w:rsid w:val="008D5EA9"/>
    <w:rsid w:val="008D6C60"/>
    <w:rsid w:val="008D6FD9"/>
    <w:rsid w:val="008E06BF"/>
    <w:rsid w:val="008E0DEB"/>
    <w:rsid w:val="008E0E71"/>
    <w:rsid w:val="008E199F"/>
    <w:rsid w:val="008E3973"/>
    <w:rsid w:val="008E6603"/>
    <w:rsid w:val="008E69E6"/>
    <w:rsid w:val="008F350A"/>
    <w:rsid w:val="008F55D1"/>
    <w:rsid w:val="00900F9F"/>
    <w:rsid w:val="009033BD"/>
    <w:rsid w:val="00904039"/>
    <w:rsid w:val="0090795E"/>
    <w:rsid w:val="00910401"/>
    <w:rsid w:val="00910420"/>
    <w:rsid w:val="00911A34"/>
    <w:rsid w:val="00912683"/>
    <w:rsid w:val="00912B69"/>
    <w:rsid w:val="00912DD1"/>
    <w:rsid w:val="0091686E"/>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08C"/>
    <w:rsid w:val="009746FC"/>
    <w:rsid w:val="00975227"/>
    <w:rsid w:val="00980033"/>
    <w:rsid w:val="0098122F"/>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3F8D"/>
    <w:rsid w:val="00A34F27"/>
    <w:rsid w:val="00A36EBA"/>
    <w:rsid w:val="00A3703E"/>
    <w:rsid w:val="00A3713E"/>
    <w:rsid w:val="00A3786E"/>
    <w:rsid w:val="00A42F8A"/>
    <w:rsid w:val="00A4312D"/>
    <w:rsid w:val="00A47744"/>
    <w:rsid w:val="00A509D3"/>
    <w:rsid w:val="00A51734"/>
    <w:rsid w:val="00A51AD4"/>
    <w:rsid w:val="00A53733"/>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0182"/>
    <w:rsid w:val="00A93914"/>
    <w:rsid w:val="00A96FA1"/>
    <w:rsid w:val="00AA45F8"/>
    <w:rsid w:val="00AA7A97"/>
    <w:rsid w:val="00AB025E"/>
    <w:rsid w:val="00AB048F"/>
    <w:rsid w:val="00AB4ACE"/>
    <w:rsid w:val="00AB6104"/>
    <w:rsid w:val="00AB79D2"/>
    <w:rsid w:val="00AB7BD4"/>
    <w:rsid w:val="00AC112E"/>
    <w:rsid w:val="00AC1CA0"/>
    <w:rsid w:val="00AC5812"/>
    <w:rsid w:val="00AC5CFD"/>
    <w:rsid w:val="00AC6D47"/>
    <w:rsid w:val="00AD1EE3"/>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3AB0"/>
    <w:rsid w:val="00C44560"/>
    <w:rsid w:val="00C44F82"/>
    <w:rsid w:val="00C45CF0"/>
    <w:rsid w:val="00C47BD5"/>
    <w:rsid w:val="00C51A83"/>
    <w:rsid w:val="00C52ADC"/>
    <w:rsid w:val="00C55187"/>
    <w:rsid w:val="00C6259B"/>
    <w:rsid w:val="00C62E58"/>
    <w:rsid w:val="00C638FE"/>
    <w:rsid w:val="00C64186"/>
    <w:rsid w:val="00C64563"/>
    <w:rsid w:val="00C65271"/>
    <w:rsid w:val="00C71AEC"/>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3668"/>
    <w:rsid w:val="00CD4E49"/>
    <w:rsid w:val="00CE21D3"/>
    <w:rsid w:val="00CE3316"/>
    <w:rsid w:val="00CE394E"/>
    <w:rsid w:val="00CE420F"/>
    <w:rsid w:val="00CE4D84"/>
    <w:rsid w:val="00CE60C5"/>
    <w:rsid w:val="00CF0272"/>
    <w:rsid w:val="00CF06E1"/>
    <w:rsid w:val="00CF1E94"/>
    <w:rsid w:val="00CF2858"/>
    <w:rsid w:val="00CF423E"/>
    <w:rsid w:val="00D009A1"/>
    <w:rsid w:val="00D00A75"/>
    <w:rsid w:val="00D00FF2"/>
    <w:rsid w:val="00D03821"/>
    <w:rsid w:val="00D06733"/>
    <w:rsid w:val="00D10094"/>
    <w:rsid w:val="00D10395"/>
    <w:rsid w:val="00D121C3"/>
    <w:rsid w:val="00D12634"/>
    <w:rsid w:val="00D1334E"/>
    <w:rsid w:val="00D1720D"/>
    <w:rsid w:val="00D17B1A"/>
    <w:rsid w:val="00D206A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012C"/>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D342E"/>
    <w:rsid w:val="00DD60E7"/>
    <w:rsid w:val="00DD6767"/>
    <w:rsid w:val="00DE11C9"/>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A48"/>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2C3C"/>
    <w:rsid w:val="00F32F35"/>
    <w:rsid w:val="00F33A7A"/>
    <w:rsid w:val="00F33DF2"/>
    <w:rsid w:val="00F3506F"/>
    <w:rsid w:val="00F35C0A"/>
    <w:rsid w:val="00F419FE"/>
    <w:rsid w:val="00F41B13"/>
    <w:rsid w:val="00F46B85"/>
    <w:rsid w:val="00F47930"/>
    <w:rsid w:val="00F50E2C"/>
    <w:rsid w:val="00F5165D"/>
    <w:rsid w:val="00F526A1"/>
    <w:rsid w:val="00F52BB0"/>
    <w:rsid w:val="00F55E1C"/>
    <w:rsid w:val="00F56A1C"/>
    <w:rsid w:val="00F56F97"/>
    <w:rsid w:val="00F60B10"/>
    <w:rsid w:val="00F60FA6"/>
    <w:rsid w:val="00F65380"/>
    <w:rsid w:val="00F658DB"/>
    <w:rsid w:val="00F66D1B"/>
    <w:rsid w:val="00F72213"/>
    <w:rsid w:val="00F72D3A"/>
    <w:rsid w:val="00F763EC"/>
    <w:rsid w:val="00F767CD"/>
    <w:rsid w:val="00F80708"/>
    <w:rsid w:val="00F81B23"/>
    <w:rsid w:val="00F8500A"/>
    <w:rsid w:val="00F85D90"/>
    <w:rsid w:val="00F864C4"/>
    <w:rsid w:val="00F86A04"/>
    <w:rsid w:val="00F87B42"/>
    <w:rsid w:val="00F87BF8"/>
    <w:rsid w:val="00F92060"/>
    <w:rsid w:val="00F93983"/>
    <w:rsid w:val="00F93CBE"/>
    <w:rsid w:val="00F958EF"/>
    <w:rsid w:val="00F95A0B"/>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5E64"/>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D90C8"/>
  <w14:defaultImageDpi w14:val="0"/>
  <w15:docId w15:val="{43BA5C67-D7BA-8D48-A177-3FFD1C25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CD3668"/>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0D245C"/>
    <w:pPr>
      <w:keepNext/>
      <w:keepLines/>
      <w:spacing w:before="120" w:after="240" w:line="52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A33F8D"/>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D3668"/>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0D245C"/>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A33F8D"/>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D009A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nhideWhenUsed/>
    <w:rsid w:val="00D009A1"/>
    <w:pPr>
      <w:spacing w:after="120" w:line="360" w:lineRule="auto"/>
      <w:ind w:left="227" w:hanging="227"/>
    </w:pPr>
    <w:rPr>
      <w:szCs w:val="20"/>
    </w:rPr>
  </w:style>
  <w:style w:type="character" w:customStyle="1" w:styleId="FootnoteTextChar">
    <w:name w:val="Footnote Text Char"/>
    <w:basedOn w:val="DefaultParagraphFont"/>
    <w:link w:val="FootnoteText"/>
    <w:uiPriority w:val="99"/>
    <w:semiHidden/>
    <w:rsid w:val="00D009A1"/>
    <w:rPr>
      <w:sz w:val="24"/>
      <w:szCs w:val="20"/>
    </w:rPr>
  </w:style>
  <w:style w:type="character" w:styleId="FootnoteReference">
    <w:name w:val="footnote reference"/>
    <w:basedOn w:val="DefaultParagraphFont"/>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0C7148"/>
    <w:rPr>
      <w:color w:val="605E5C"/>
      <w:shd w:val="clear" w:color="auto" w:fill="E1DFDD"/>
    </w:rPr>
  </w:style>
  <w:style w:type="paragraph" w:styleId="Quote">
    <w:name w:val="Quote"/>
    <w:basedOn w:val="Normal"/>
    <w:next w:val="Normal"/>
    <w:link w:val="QuoteChar"/>
    <w:uiPriority w:val="29"/>
    <w:qFormat/>
    <w:rsid w:val="00873C92"/>
    <w:pPr>
      <w:spacing w:before="200" w:after="160" w:line="480" w:lineRule="auto"/>
    </w:pPr>
    <w:rPr>
      <w:i/>
      <w:iCs/>
      <w:color w:val="404040" w:themeColor="text1" w:themeTint="BF"/>
    </w:rPr>
  </w:style>
  <w:style w:type="character" w:customStyle="1" w:styleId="QuoteChar">
    <w:name w:val="Quote Char"/>
    <w:basedOn w:val="DefaultParagraphFont"/>
    <w:link w:val="Quote"/>
    <w:uiPriority w:val="29"/>
    <w:rsid w:val="00873C92"/>
    <w:rPr>
      <w:i/>
      <w:iCs/>
      <w:color w:val="404040" w:themeColor="text1" w:themeTint="BF"/>
      <w:sz w:val="24"/>
    </w:rPr>
  </w:style>
  <w:style w:type="numbering" w:styleId="111111">
    <w:name w:val="Outline List 2"/>
    <w:basedOn w:val="NoList"/>
    <w:uiPriority w:val="99"/>
    <w:semiHidden/>
    <w:unhideWhenUsed/>
    <w:rsid w:val="008E199F"/>
    <w:pPr>
      <w:numPr>
        <w:numId w:val="29"/>
      </w:numPr>
    </w:pPr>
  </w:style>
  <w:style w:type="numbering" w:styleId="1ai">
    <w:name w:val="Outline List 1"/>
    <w:basedOn w:val="NoList"/>
    <w:uiPriority w:val="99"/>
    <w:semiHidden/>
    <w:unhideWhenUsed/>
    <w:rsid w:val="008E199F"/>
    <w:pPr>
      <w:numPr>
        <w:numId w:val="30"/>
      </w:numPr>
    </w:pPr>
  </w:style>
  <w:style w:type="numbering" w:styleId="ArticleSection">
    <w:name w:val="Outline List 3"/>
    <w:basedOn w:val="NoList"/>
    <w:uiPriority w:val="99"/>
    <w:semiHidden/>
    <w:unhideWhenUsed/>
    <w:rsid w:val="008E199F"/>
    <w:pPr>
      <w:numPr>
        <w:numId w:val="31"/>
      </w:numPr>
    </w:pPr>
  </w:style>
  <w:style w:type="paragraph" w:styleId="BalloonText">
    <w:name w:val="Balloon Text"/>
    <w:basedOn w:val="Normal"/>
    <w:link w:val="BalloonTextChar"/>
    <w:uiPriority w:val="99"/>
    <w:semiHidden/>
    <w:unhideWhenUsed/>
    <w:rsid w:val="008E199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E199F"/>
    <w:rPr>
      <w:rFonts w:ascii="Times New Roman" w:hAnsi="Times New Roman" w:cs="Times New Roman"/>
      <w:sz w:val="18"/>
      <w:szCs w:val="18"/>
    </w:rPr>
  </w:style>
  <w:style w:type="paragraph" w:styleId="Bibliography">
    <w:name w:val="Bibliography"/>
    <w:basedOn w:val="Normal"/>
    <w:next w:val="Normal"/>
    <w:uiPriority w:val="37"/>
    <w:semiHidden/>
    <w:unhideWhenUsed/>
    <w:rsid w:val="008E199F"/>
  </w:style>
  <w:style w:type="paragraph" w:styleId="BlockText">
    <w:name w:val="Block Text"/>
    <w:basedOn w:val="Normal"/>
    <w:uiPriority w:val="99"/>
    <w:semiHidden/>
    <w:unhideWhenUsed/>
    <w:rsid w:val="008E19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E199F"/>
    <w:pPr>
      <w:spacing w:after="120" w:line="480" w:lineRule="auto"/>
    </w:pPr>
  </w:style>
  <w:style w:type="character" w:customStyle="1" w:styleId="BodyText2Char">
    <w:name w:val="Body Text 2 Char"/>
    <w:basedOn w:val="DefaultParagraphFont"/>
    <w:link w:val="BodyText2"/>
    <w:uiPriority w:val="99"/>
    <w:semiHidden/>
    <w:rsid w:val="008E199F"/>
    <w:rPr>
      <w:sz w:val="24"/>
    </w:rPr>
  </w:style>
  <w:style w:type="paragraph" w:styleId="BodyText3">
    <w:name w:val="Body Text 3"/>
    <w:basedOn w:val="Normal"/>
    <w:link w:val="BodyText3Char"/>
    <w:uiPriority w:val="99"/>
    <w:semiHidden/>
    <w:unhideWhenUsed/>
    <w:rsid w:val="008E199F"/>
    <w:pPr>
      <w:spacing w:after="120"/>
    </w:pPr>
    <w:rPr>
      <w:sz w:val="16"/>
      <w:szCs w:val="16"/>
    </w:rPr>
  </w:style>
  <w:style w:type="character" w:customStyle="1" w:styleId="BodyText3Char">
    <w:name w:val="Body Text 3 Char"/>
    <w:basedOn w:val="DefaultParagraphFont"/>
    <w:link w:val="BodyText3"/>
    <w:uiPriority w:val="99"/>
    <w:semiHidden/>
    <w:rsid w:val="008E199F"/>
    <w:rPr>
      <w:sz w:val="16"/>
      <w:szCs w:val="16"/>
    </w:rPr>
  </w:style>
  <w:style w:type="paragraph" w:styleId="BodyTextFirstIndent">
    <w:name w:val="Body Text First Indent"/>
    <w:basedOn w:val="BodyText"/>
    <w:link w:val="BodyTextFirstIndentChar"/>
    <w:uiPriority w:val="99"/>
    <w:semiHidden/>
    <w:unhideWhenUsed/>
    <w:rsid w:val="008E199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E199F"/>
    <w:rPr>
      <w:rFonts w:cs="Times New Roman (Body CS)"/>
      <w:kern w:val="24"/>
      <w:sz w:val="24"/>
    </w:rPr>
  </w:style>
  <w:style w:type="paragraph" w:styleId="BodyTextIndent">
    <w:name w:val="Body Text Indent"/>
    <w:basedOn w:val="Normal"/>
    <w:link w:val="BodyTextIndentChar"/>
    <w:uiPriority w:val="99"/>
    <w:semiHidden/>
    <w:unhideWhenUsed/>
    <w:rsid w:val="008E199F"/>
    <w:pPr>
      <w:spacing w:after="120"/>
      <w:ind w:left="283"/>
    </w:pPr>
  </w:style>
  <w:style w:type="character" w:customStyle="1" w:styleId="BodyTextIndentChar">
    <w:name w:val="Body Text Indent Char"/>
    <w:basedOn w:val="DefaultParagraphFont"/>
    <w:link w:val="BodyTextIndent"/>
    <w:uiPriority w:val="99"/>
    <w:semiHidden/>
    <w:rsid w:val="008E199F"/>
    <w:rPr>
      <w:sz w:val="24"/>
    </w:rPr>
  </w:style>
  <w:style w:type="paragraph" w:styleId="BodyTextFirstIndent2">
    <w:name w:val="Body Text First Indent 2"/>
    <w:basedOn w:val="BodyTextIndent"/>
    <w:link w:val="BodyTextFirstIndent2Char"/>
    <w:uiPriority w:val="99"/>
    <w:semiHidden/>
    <w:unhideWhenUsed/>
    <w:rsid w:val="008E19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E199F"/>
    <w:rPr>
      <w:sz w:val="24"/>
    </w:rPr>
  </w:style>
  <w:style w:type="paragraph" w:styleId="BodyTextIndent2">
    <w:name w:val="Body Text Indent 2"/>
    <w:basedOn w:val="Normal"/>
    <w:link w:val="BodyTextIndent2Char"/>
    <w:uiPriority w:val="99"/>
    <w:semiHidden/>
    <w:unhideWhenUsed/>
    <w:rsid w:val="008E199F"/>
    <w:pPr>
      <w:spacing w:after="120" w:line="480" w:lineRule="auto"/>
      <w:ind w:left="283"/>
    </w:pPr>
  </w:style>
  <w:style w:type="character" w:customStyle="1" w:styleId="BodyTextIndent2Char">
    <w:name w:val="Body Text Indent 2 Char"/>
    <w:basedOn w:val="DefaultParagraphFont"/>
    <w:link w:val="BodyTextIndent2"/>
    <w:uiPriority w:val="99"/>
    <w:semiHidden/>
    <w:rsid w:val="008E199F"/>
    <w:rPr>
      <w:sz w:val="24"/>
    </w:rPr>
  </w:style>
  <w:style w:type="paragraph" w:styleId="BodyTextIndent3">
    <w:name w:val="Body Text Indent 3"/>
    <w:basedOn w:val="Normal"/>
    <w:link w:val="BodyTextIndent3Char"/>
    <w:uiPriority w:val="99"/>
    <w:semiHidden/>
    <w:unhideWhenUsed/>
    <w:rsid w:val="008E19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199F"/>
    <w:rPr>
      <w:sz w:val="16"/>
      <w:szCs w:val="16"/>
    </w:rPr>
  </w:style>
  <w:style w:type="character" w:styleId="BookTitle">
    <w:name w:val="Book Title"/>
    <w:basedOn w:val="DefaultParagraphFont"/>
    <w:uiPriority w:val="33"/>
    <w:qFormat/>
    <w:rsid w:val="008E199F"/>
    <w:rPr>
      <w:b/>
      <w:bCs/>
      <w:i/>
      <w:iCs/>
      <w:spacing w:val="5"/>
    </w:rPr>
  </w:style>
  <w:style w:type="paragraph" w:styleId="Closing">
    <w:name w:val="Closing"/>
    <w:basedOn w:val="Normal"/>
    <w:link w:val="ClosingChar"/>
    <w:uiPriority w:val="99"/>
    <w:semiHidden/>
    <w:unhideWhenUsed/>
    <w:rsid w:val="008E199F"/>
    <w:pPr>
      <w:spacing w:after="0" w:line="240" w:lineRule="auto"/>
      <w:ind w:left="4252"/>
    </w:pPr>
  </w:style>
  <w:style w:type="character" w:customStyle="1" w:styleId="ClosingChar">
    <w:name w:val="Closing Char"/>
    <w:basedOn w:val="DefaultParagraphFont"/>
    <w:link w:val="Closing"/>
    <w:uiPriority w:val="99"/>
    <w:semiHidden/>
    <w:rsid w:val="008E199F"/>
    <w:rPr>
      <w:sz w:val="24"/>
    </w:rPr>
  </w:style>
  <w:style w:type="table" w:styleId="ColourfulGrid">
    <w:name w:val="Colorful Grid"/>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E199F"/>
    <w:rPr>
      <w:sz w:val="16"/>
      <w:szCs w:val="16"/>
    </w:rPr>
  </w:style>
  <w:style w:type="paragraph" w:styleId="CommentSubject">
    <w:name w:val="annotation subject"/>
    <w:basedOn w:val="CommentText"/>
    <w:next w:val="CommentText"/>
    <w:link w:val="CommentSubjectChar"/>
    <w:uiPriority w:val="99"/>
    <w:semiHidden/>
    <w:unhideWhenUsed/>
    <w:rsid w:val="008E199F"/>
    <w:rPr>
      <w:b/>
      <w:bCs/>
    </w:rPr>
  </w:style>
  <w:style w:type="character" w:customStyle="1" w:styleId="CommentSubjectChar">
    <w:name w:val="Comment Subject Char"/>
    <w:basedOn w:val="CommentTextChar"/>
    <w:link w:val="CommentSubject"/>
    <w:uiPriority w:val="99"/>
    <w:semiHidden/>
    <w:rsid w:val="008E199F"/>
    <w:rPr>
      <w:b/>
      <w:bCs/>
      <w:sz w:val="20"/>
      <w:szCs w:val="20"/>
    </w:rPr>
  </w:style>
  <w:style w:type="table" w:styleId="DarkList">
    <w:name w:val="Dark List"/>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E199F"/>
  </w:style>
  <w:style w:type="character" w:customStyle="1" w:styleId="DateChar">
    <w:name w:val="Date Char"/>
    <w:basedOn w:val="DefaultParagraphFont"/>
    <w:link w:val="Date"/>
    <w:uiPriority w:val="99"/>
    <w:semiHidden/>
    <w:rsid w:val="008E199F"/>
    <w:rPr>
      <w:sz w:val="24"/>
    </w:rPr>
  </w:style>
  <w:style w:type="paragraph" w:styleId="DocumentMap">
    <w:name w:val="Document Map"/>
    <w:basedOn w:val="Normal"/>
    <w:link w:val="DocumentMapChar"/>
    <w:uiPriority w:val="99"/>
    <w:semiHidden/>
    <w:unhideWhenUsed/>
    <w:rsid w:val="008E199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E199F"/>
    <w:rPr>
      <w:rFonts w:ascii="Helvetica" w:hAnsi="Helvetica"/>
      <w:sz w:val="26"/>
      <w:szCs w:val="26"/>
    </w:rPr>
  </w:style>
  <w:style w:type="paragraph" w:styleId="EmailSignature">
    <w:name w:val="E-mail Signature"/>
    <w:basedOn w:val="Normal"/>
    <w:link w:val="EmailSignatureChar"/>
    <w:uiPriority w:val="99"/>
    <w:semiHidden/>
    <w:unhideWhenUsed/>
    <w:rsid w:val="008E199F"/>
    <w:pPr>
      <w:spacing w:after="0" w:line="240" w:lineRule="auto"/>
    </w:pPr>
  </w:style>
  <w:style w:type="character" w:customStyle="1" w:styleId="EmailSignatureChar">
    <w:name w:val="Email Signature Char"/>
    <w:basedOn w:val="DefaultParagraphFont"/>
    <w:link w:val="EmailSignature"/>
    <w:uiPriority w:val="99"/>
    <w:semiHidden/>
    <w:rsid w:val="008E199F"/>
    <w:rPr>
      <w:sz w:val="24"/>
    </w:rPr>
  </w:style>
  <w:style w:type="character" w:styleId="EndnoteReference">
    <w:name w:val="endnote reference"/>
    <w:basedOn w:val="DefaultParagraphFont"/>
    <w:uiPriority w:val="99"/>
    <w:semiHidden/>
    <w:unhideWhenUsed/>
    <w:rsid w:val="008E199F"/>
    <w:rPr>
      <w:vertAlign w:val="superscript"/>
    </w:rPr>
  </w:style>
  <w:style w:type="paragraph" w:styleId="EndnoteText">
    <w:name w:val="endnote text"/>
    <w:basedOn w:val="Normal"/>
    <w:link w:val="EndnoteTextChar"/>
    <w:uiPriority w:val="99"/>
    <w:semiHidden/>
    <w:unhideWhenUsed/>
    <w:rsid w:val="008E19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199F"/>
    <w:rPr>
      <w:sz w:val="20"/>
      <w:szCs w:val="20"/>
    </w:rPr>
  </w:style>
  <w:style w:type="paragraph" w:styleId="EnvelopeAddress">
    <w:name w:val="envelope address"/>
    <w:basedOn w:val="Normal"/>
    <w:uiPriority w:val="99"/>
    <w:semiHidden/>
    <w:unhideWhenUsed/>
    <w:rsid w:val="008E199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E199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E19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199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199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199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199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199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199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199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199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E199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E199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E199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E199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E199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E199F"/>
    <w:rPr>
      <w:color w:val="2B579A"/>
      <w:shd w:val="clear" w:color="auto" w:fill="E1DFDD"/>
    </w:rPr>
  </w:style>
  <w:style w:type="character" w:styleId="HTMLAcronym">
    <w:name w:val="HTML Acronym"/>
    <w:basedOn w:val="DefaultParagraphFont"/>
    <w:uiPriority w:val="99"/>
    <w:semiHidden/>
    <w:unhideWhenUsed/>
    <w:rsid w:val="008E199F"/>
  </w:style>
  <w:style w:type="paragraph" w:styleId="HTMLAddress">
    <w:name w:val="HTML Address"/>
    <w:basedOn w:val="Normal"/>
    <w:link w:val="HTMLAddressChar"/>
    <w:uiPriority w:val="99"/>
    <w:semiHidden/>
    <w:unhideWhenUsed/>
    <w:rsid w:val="008E199F"/>
    <w:pPr>
      <w:spacing w:after="0" w:line="240" w:lineRule="auto"/>
    </w:pPr>
    <w:rPr>
      <w:i/>
      <w:iCs/>
    </w:rPr>
  </w:style>
  <w:style w:type="character" w:customStyle="1" w:styleId="HTMLAddressChar">
    <w:name w:val="HTML Address Char"/>
    <w:basedOn w:val="DefaultParagraphFont"/>
    <w:link w:val="HTMLAddress"/>
    <w:uiPriority w:val="99"/>
    <w:semiHidden/>
    <w:rsid w:val="008E199F"/>
    <w:rPr>
      <w:i/>
      <w:iCs/>
      <w:sz w:val="24"/>
    </w:rPr>
  </w:style>
  <w:style w:type="character" w:styleId="HTMLCite">
    <w:name w:val="HTML Cite"/>
    <w:basedOn w:val="DefaultParagraphFont"/>
    <w:uiPriority w:val="99"/>
    <w:semiHidden/>
    <w:unhideWhenUsed/>
    <w:rsid w:val="008E199F"/>
    <w:rPr>
      <w:i/>
      <w:iCs/>
    </w:rPr>
  </w:style>
  <w:style w:type="character" w:styleId="HTMLCode">
    <w:name w:val="HTML Code"/>
    <w:basedOn w:val="DefaultParagraphFont"/>
    <w:uiPriority w:val="99"/>
    <w:semiHidden/>
    <w:unhideWhenUsed/>
    <w:rsid w:val="008E199F"/>
    <w:rPr>
      <w:rFonts w:ascii="Consolas" w:hAnsi="Consolas" w:cs="Consolas"/>
      <w:noProof/>
      <w:sz w:val="20"/>
      <w:szCs w:val="20"/>
    </w:rPr>
  </w:style>
  <w:style w:type="character" w:styleId="HTMLDefinition">
    <w:name w:val="HTML Definition"/>
    <w:basedOn w:val="DefaultParagraphFont"/>
    <w:uiPriority w:val="99"/>
    <w:semiHidden/>
    <w:unhideWhenUsed/>
    <w:rsid w:val="008E199F"/>
    <w:rPr>
      <w:i/>
      <w:iCs/>
    </w:rPr>
  </w:style>
  <w:style w:type="character" w:styleId="HTMLKeyboard">
    <w:name w:val="HTML Keyboard"/>
    <w:basedOn w:val="DefaultParagraphFont"/>
    <w:uiPriority w:val="99"/>
    <w:semiHidden/>
    <w:unhideWhenUsed/>
    <w:rsid w:val="008E199F"/>
    <w:rPr>
      <w:rFonts w:ascii="Consolas" w:hAnsi="Consolas" w:cs="Consolas"/>
      <w:sz w:val="20"/>
      <w:szCs w:val="20"/>
    </w:rPr>
  </w:style>
  <w:style w:type="paragraph" w:styleId="HTMLPreformatted">
    <w:name w:val="HTML Preformatted"/>
    <w:basedOn w:val="Normal"/>
    <w:link w:val="HTMLPreformattedChar"/>
    <w:uiPriority w:val="99"/>
    <w:semiHidden/>
    <w:unhideWhenUsed/>
    <w:rsid w:val="008E199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E199F"/>
    <w:rPr>
      <w:rFonts w:ascii="Consolas" w:hAnsi="Consolas" w:cs="Consolas"/>
      <w:sz w:val="20"/>
      <w:szCs w:val="20"/>
    </w:rPr>
  </w:style>
  <w:style w:type="character" w:styleId="HTMLSample">
    <w:name w:val="HTML Sample"/>
    <w:basedOn w:val="DefaultParagraphFont"/>
    <w:uiPriority w:val="99"/>
    <w:semiHidden/>
    <w:unhideWhenUsed/>
    <w:rsid w:val="008E199F"/>
    <w:rPr>
      <w:rFonts w:ascii="Consolas" w:hAnsi="Consolas" w:cs="Consolas"/>
      <w:sz w:val="24"/>
      <w:szCs w:val="24"/>
    </w:rPr>
  </w:style>
  <w:style w:type="character" w:styleId="HTMLTypewriter">
    <w:name w:val="HTML Typewriter"/>
    <w:basedOn w:val="DefaultParagraphFont"/>
    <w:uiPriority w:val="99"/>
    <w:semiHidden/>
    <w:unhideWhenUsed/>
    <w:rsid w:val="008E199F"/>
    <w:rPr>
      <w:rFonts w:ascii="Consolas" w:hAnsi="Consolas" w:cs="Consolas"/>
      <w:sz w:val="20"/>
      <w:szCs w:val="20"/>
    </w:rPr>
  </w:style>
  <w:style w:type="character" w:styleId="HTMLVariable">
    <w:name w:val="HTML Variable"/>
    <w:basedOn w:val="DefaultParagraphFont"/>
    <w:uiPriority w:val="99"/>
    <w:semiHidden/>
    <w:unhideWhenUsed/>
    <w:rsid w:val="008E199F"/>
    <w:rPr>
      <w:i/>
      <w:iCs/>
    </w:rPr>
  </w:style>
  <w:style w:type="paragraph" w:styleId="Index1">
    <w:name w:val="index 1"/>
    <w:basedOn w:val="Normal"/>
    <w:next w:val="Normal"/>
    <w:autoRedefine/>
    <w:uiPriority w:val="99"/>
    <w:semiHidden/>
    <w:unhideWhenUsed/>
    <w:rsid w:val="008E199F"/>
    <w:pPr>
      <w:spacing w:after="0" w:line="240" w:lineRule="auto"/>
      <w:ind w:left="240" w:hanging="240"/>
    </w:pPr>
  </w:style>
  <w:style w:type="paragraph" w:styleId="Index2">
    <w:name w:val="index 2"/>
    <w:basedOn w:val="Normal"/>
    <w:next w:val="Normal"/>
    <w:autoRedefine/>
    <w:uiPriority w:val="99"/>
    <w:semiHidden/>
    <w:unhideWhenUsed/>
    <w:rsid w:val="008E199F"/>
    <w:pPr>
      <w:spacing w:after="0" w:line="240" w:lineRule="auto"/>
      <w:ind w:left="480" w:hanging="240"/>
    </w:pPr>
  </w:style>
  <w:style w:type="paragraph" w:styleId="Index3">
    <w:name w:val="index 3"/>
    <w:basedOn w:val="Normal"/>
    <w:next w:val="Normal"/>
    <w:autoRedefine/>
    <w:uiPriority w:val="99"/>
    <w:semiHidden/>
    <w:unhideWhenUsed/>
    <w:rsid w:val="008E199F"/>
    <w:pPr>
      <w:spacing w:after="0" w:line="240" w:lineRule="auto"/>
      <w:ind w:left="720" w:hanging="240"/>
    </w:pPr>
  </w:style>
  <w:style w:type="paragraph" w:styleId="Index4">
    <w:name w:val="index 4"/>
    <w:basedOn w:val="Normal"/>
    <w:next w:val="Normal"/>
    <w:autoRedefine/>
    <w:uiPriority w:val="99"/>
    <w:semiHidden/>
    <w:unhideWhenUsed/>
    <w:rsid w:val="008E199F"/>
    <w:pPr>
      <w:spacing w:after="0" w:line="240" w:lineRule="auto"/>
      <w:ind w:left="960" w:hanging="240"/>
    </w:pPr>
  </w:style>
  <w:style w:type="paragraph" w:styleId="Index5">
    <w:name w:val="index 5"/>
    <w:basedOn w:val="Normal"/>
    <w:next w:val="Normal"/>
    <w:autoRedefine/>
    <w:uiPriority w:val="99"/>
    <w:semiHidden/>
    <w:unhideWhenUsed/>
    <w:rsid w:val="008E199F"/>
    <w:pPr>
      <w:spacing w:after="0" w:line="240" w:lineRule="auto"/>
      <w:ind w:left="1200" w:hanging="240"/>
    </w:pPr>
  </w:style>
  <w:style w:type="paragraph" w:styleId="Index6">
    <w:name w:val="index 6"/>
    <w:basedOn w:val="Normal"/>
    <w:next w:val="Normal"/>
    <w:autoRedefine/>
    <w:uiPriority w:val="99"/>
    <w:semiHidden/>
    <w:unhideWhenUsed/>
    <w:rsid w:val="008E199F"/>
    <w:pPr>
      <w:spacing w:after="0" w:line="240" w:lineRule="auto"/>
      <w:ind w:left="1440" w:hanging="240"/>
    </w:pPr>
  </w:style>
  <w:style w:type="paragraph" w:styleId="Index7">
    <w:name w:val="index 7"/>
    <w:basedOn w:val="Normal"/>
    <w:next w:val="Normal"/>
    <w:autoRedefine/>
    <w:uiPriority w:val="99"/>
    <w:semiHidden/>
    <w:unhideWhenUsed/>
    <w:rsid w:val="008E199F"/>
    <w:pPr>
      <w:spacing w:after="0" w:line="240" w:lineRule="auto"/>
      <w:ind w:left="1680" w:hanging="240"/>
    </w:pPr>
  </w:style>
  <w:style w:type="paragraph" w:styleId="Index8">
    <w:name w:val="index 8"/>
    <w:basedOn w:val="Normal"/>
    <w:next w:val="Normal"/>
    <w:autoRedefine/>
    <w:uiPriority w:val="99"/>
    <w:semiHidden/>
    <w:unhideWhenUsed/>
    <w:rsid w:val="008E199F"/>
    <w:pPr>
      <w:spacing w:after="0" w:line="240" w:lineRule="auto"/>
      <w:ind w:left="1920" w:hanging="240"/>
    </w:pPr>
  </w:style>
  <w:style w:type="paragraph" w:styleId="Index9">
    <w:name w:val="index 9"/>
    <w:basedOn w:val="Normal"/>
    <w:next w:val="Normal"/>
    <w:autoRedefine/>
    <w:uiPriority w:val="99"/>
    <w:semiHidden/>
    <w:unhideWhenUsed/>
    <w:rsid w:val="008E199F"/>
    <w:pPr>
      <w:spacing w:after="0" w:line="240" w:lineRule="auto"/>
      <w:ind w:left="2160" w:hanging="240"/>
    </w:pPr>
  </w:style>
  <w:style w:type="paragraph" w:styleId="IndexHeading">
    <w:name w:val="index heading"/>
    <w:basedOn w:val="Normal"/>
    <w:next w:val="Index1"/>
    <w:uiPriority w:val="99"/>
    <w:semiHidden/>
    <w:unhideWhenUsed/>
    <w:rsid w:val="008E199F"/>
    <w:rPr>
      <w:rFonts w:asciiTheme="majorHAnsi" w:eastAsiaTheme="majorEastAsia" w:hAnsiTheme="majorHAnsi" w:cstheme="majorBidi"/>
      <w:b/>
      <w:bCs/>
    </w:rPr>
  </w:style>
  <w:style w:type="character" w:styleId="IntenseEmphasis">
    <w:name w:val="Intense Emphasis"/>
    <w:basedOn w:val="DefaultParagraphFont"/>
    <w:uiPriority w:val="21"/>
    <w:qFormat/>
    <w:rsid w:val="008E199F"/>
    <w:rPr>
      <w:i/>
      <w:iCs/>
      <w:color w:val="4472C4" w:themeColor="accent1"/>
    </w:rPr>
  </w:style>
  <w:style w:type="paragraph" w:styleId="IntenseQuote">
    <w:name w:val="Intense Quote"/>
    <w:basedOn w:val="Normal"/>
    <w:next w:val="Normal"/>
    <w:link w:val="IntenseQuoteChar"/>
    <w:uiPriority w:val="30"/>
    <w:qFormat/>
    <w:rsid w:val="008E19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99F"/>
    <w:rPr>
      <w:i/>
      <w:iCs/>
      <w:color w:val="4472C4" w:themeColor="accent1"/>
      <w:sz w:val="24"/>
    </w:rPr>
  </w:style>
  <w:style w:type="character" w:styleId="IntenseReference">
    <w:name w:val="Intense Reference"/>
    <w:basedOn w:val="DefaultParagraphFont"/>
    <w:uiPriority w:val="32"/>
    <w:qFormat/>
    <w:rsid w:val="008E199F"/>
    <w:rPr>
      <w:b/>
      <w:bCs/>
      <w:smallCaps/>
      <w:color w:val="4472C4" w:themeColor="accent1"/>
      <w:spacing w:val="5"/>
    </w:rPr>
  </w:style>
  <w:style w:type="table" w:styleId="LightGrid">
    <w:name w:val="Light Grid"/>
    <w:basedOn w:val="TableNormal"/>
    <w:uiPriority w:val="62"/>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E199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199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E199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E199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E199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E199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E199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E199F"/>
  </w:style>
  <w:style w:type="paragraph" w:styleId="List">
    <w:name w:val="List"/>
    <w:basedOn w:val="Normal"/>
    <w:uiPriority w:val="99"/>
    <w:semiHidden/>
    <w:unhideWhenUsed/>
    <w:rsid w:val="008E199F"/>
    <w:pPr>
      <w:ind w:left="283" w:hanging="283"/>
      <w:contextualSpacing/>
    </w:pPr>
  </w:style>
  <w:style w:type="paragraph" w:styleId="List3">
    <w:name w:val="List 3"/>
    <w:basedOn w:val="Normal"/>
    <w:uiPriority w:val="99"/>
    <w:semiHidden/>
    <w:unhideWhenUsed/>
    <w:rsid w:val="008E199F"/>
    <w:pPr>
      <w:ind w:left="849" w:hanging="283"/>
      <w:contextualSpacing/>
    </w:pPr>
  </w:style>
  <w:style w:type="paragraph" w:styleId="List4">
    <w:name w:val="List 4"/>
    <w:basedOn w:val="Normal"/>
    <w:uiPriority w:val="99"/>
    <w:semiHidden/>
    <w:unhideWhenUsed/>
    <w:rsid w:val="008E199F"/>
    <w:pPr>
      <w:ind w:left="1132" w:hanging="283"/>
      <w:contextualSpacing/>
    </w:pPr>
  </w:style>
  <w:style w:type="paragraph" w:styleId="List5">
    <w:name w:val="List 5"/>
    <w:basedOn w:val="Normal"/>
    <w:uiPriority w:val="99"/>
    <w:semiHidden/>
    <w:unhideWhenUsed/>
    <w:rsid w:val="008E199F"/>
    <w:pPr>
      <w:ind w:left="1415" w:hanging="283"/>
      <w:contextualSpacing/>
    </w:pPr>
  </w:style>
  <w:style w:type="paragraph" w:styleId="ListBullet4">
    <w:name w:val="List Bullet 4"/>
    <w:basedOn w:val="Normal"/>
    <w:uiPriority w:val="99"/>
    <w:semiHidden/>
    <w:unhideWhenUsed/>
    <w:rsid w:val="008E199F"/>
    <w:pPr>
      <w:numPr>
        <w:numId w:val="32"/>
      </w:numPr>
      <w:contextualSpacing/>
    </w:pPr>
  </w:style>
  <w:style w:type="paragraph" w:styleId="ListBullet5">
    <w:name w:val="List Bullet 5"/>
    <w:basedOn w:val="Normal"/>
    <w:uiPriority w:val="99"/>
    <w:semiHidden/>
    <w:unhideWhenUsed/>
    <w:rsid w:val="008E199F"/>
    <w:pPr>
      <w:numPr>
        <w:numId w:val="33"/>
      </w:numPr>
      <w:contextualSpacing/>
    </w:pPr>
  </w:style>
  <w:style w:type="paragraph" w:styleId="ListContinue">
    <w:name w:val="List Continue"/>
    <w:basedOn w:val="Normal"/>
    <w:uiPriority w:val="99"/>
    <w:semiHidden/>
    <w:unhideWhenUsed/>
    <w:rsid w:val="008E199F"/>
    <w:pPr>
      <w:spacing w:after="120"/>
      <w:ind w:left="283"/>
      <w:contextualSpacing/>
    </w:pPr>
  </w:style>
  <w:style w:type="paragraph" w:styleId="ListContinue2">
    <w:name w:val="List Continue 2"/>
    <w:basedOn w:val="Normal"/>
    <w:uiPriority w:val="99"/>
    <w:semiHidden/>
    <w:unhideWhenUsed/>
    <w:rsid w:val="008E199F"/>
    <w:pPr>
      <w:spacing w:after="120"/>
      <w:ind w:left="566"/>
      <w:contextualSpacing/>
    </w:pPr>
  </w:style>
  <w:style w:type="paragraph" w:styleId="ListContinue3">
    <w:name w:val="List Continue 3"/>
    <w:basedOn w:val="Normal"/>
    <w:uiPriority w:val="99"/>
    <w:semiHidden/>
    <w:unhideWhenUsed/>
    <w:rsid w:val="008E199F"/>
    <w:pPr>
      <w:spacing w:after="120"/>
      <w:ind w:left="849"/>
      <w:contextualSpacing/>
    </w:pPr>
  </w:style>
  <w:style w:type="paragraph" w:styleId="ListContinue4">
    <w:name w:val="List Continue 4"/>
    <w:basedOn w:val="Normal"/>
    <w:uiPriority w:val="99"/>
    <w:semiHidden/>
    <w:unhideWhenUsed/>
    <w:rsid w:val="008E199F"/>
    <w:pPr>
      <w:spacing w:after="120"/>
      <w:ind w:left="1132"/>
      <w:contextualSpacing/>
    </w:pPr>
  </w:style>
  <w:style w:type="paragraph" w:styleId="ListContinue5">
    <w:name w:val="List Continue 5"/>
    <w:basedOn w:val="Normal"/>
    <w:uiPriority w:val="99"/>
    <w:semiHidden/>
    <w:unhideWhenUsed/>
    <w:rsid w:val="008E199F"/>
    <w:pPr>
      <w:spacing w:after="120"/>
      <w:ind w:left="1415"/>
      <w:contextualSpacing/>
    </w:pPr>
  </w:style>
  <w:style w:type="paragraph" w:styleId="ListNumber3">
    <w:name w:val="List Number 3"/>
    <w:basedOn w:val="Normal"/>
    <w:uiPriority w:val="99"/>
    <w:semiHidden/>
    <w:unhideWhenUsed/>
    <w:rsid w:val="008E199F"/>
    <w:pPr>
      <w:numPr>
        <w:numId w:val="34"/>
      </w:numPr>
      <w:contextualSpacing/>
    </w:pPr>
  </w:style>
  <w:style w:type="paragraph" w:styleId="ListNumber4">
    <w:name w:val="List Number 4"/>
    <w:basedOn w:val="Normal"/>
    <w:uiPriority w:val="99"/>
    <w:semiHidden/>
    <w:unhideWhenUsed/>
    <w:rsid w:val="008E199F"/>
    <w:pPr>
      <w:numPr>
        <w:numId w:val="35"/>
      </w:numPr>
      <w:contextualSpacing/>
    </w:pPr>
  </w:style>
  <w:style w:type="paragraph" w:styleId="ListNumber5">
    <w:name w:val="List Number 5"/>
    <w:basedOn w:val="Normal"/>
    <w:uiPriority w:val="99"/>
    <w:semiHidden/>
    <w:unhideWhenUsed/>
    <w:rsid w:val="008E199F"/>
    <w:pPr>
      <w:numPr>
        <w:numId w:val="36"/>
      </w:numPr>
      <w:contextualSpacing/>
    </w:pPr>
  </w:style>
  <w:style w:type="table" w:styleId="ListTable1Light">
    <w:name w:val="List Table 1 Light"/>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E199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199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E199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E199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E199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E199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E199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E199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199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E199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E199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E199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E199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E199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E199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199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199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199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199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199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199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E199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E199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E199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E199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E199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E199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E199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E199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E199F"/>
    <w:rPr>
      <w:rFonts w:ascii="Consolas" w:hAnsi="Consolas" w:cs="Consolas"/>
      <w:sz w:val="20"/>
      <w:szCs w:val="20"/>
    </w:rPr>
  </w:style>
  <w:style w:type="table" w:styleId="MediumGrid1">
    <w:name w:val="Medium Grid 1"/>
    <w:basedOn w:val="TableNormal"/>
    <w:uiPriority w:val="67"/>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E199F"/>
    <w:rPr>
      <w:color w:val="2B579A"/>
      <w:shd w:val="clear" w:color="auto" w:fill="E1DFDD"/>
    </w:rPr>
  </w:style>
  <w:style w:type="paragraph" w:styleId="MessageHeader">
    <w:name w:val="Message Header"/>
    <w:basedOn w:val="Normal"/>
    <w:link w:val="MessageHeaderChar"/>
    <w:uiPriority w:val="99"/>
    <w:semiHidden/>
    <w:unhideWhenUsed/>
    <w:rsid w:val="008E19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E199F"/>
    <w:rPr>
      <w:rFonts w:asciiTheme="majorHAnsi" w:eastAsiaTheme="majorEastAsia" w:hAnsiTheme="majorHAnsi" w:cstheme="majorBidi"/>
      <w:sz w:val="24"/>
      <w:szCs w:val="24"/>
      <w:shd w:val="pct20" w:color="auto" w:fill="auto"/>
    </w:rPr>
  </w:style>
  <w:style w:type="paragraph" w:styleId="NoSpacing">
    <w:name w:val="No Spacing"/>
    <w:uiPriority w:val="1"/>
    <w:qFormat/>
    <w:rsid w:val="008E199F"/>
    <w:pPr>
      <w:suppressAutoHyphens/>
      <w:spacing w:after="0" w:line="240" w:lineRule="auto"/>
    </w:pPr>
    <w:rPr>
      <w:sz w:val="24"/>
    </w:rPr>
  </w:style>
  <w:style w:type="paragraph" w:styleId="NormalWeb">
    <w:name w:val="Normal (Web)"/>
    <w:basedOn w:val="Normal"/>
    <w:uiPriority w:val="99"/>
    <w:semiHidden/>
    <w:unhideWhenUsed/>
    <w:rsid w:val="008E199F"/>
    <w:rPr>
      <w:rFonts w:ascii="Times New Roman" w:hAnsi="Times New Roman" w:cs="Times New Roman"/>
      <w:szCs w:val="24"/>
    </w:rPr>
  </w:style>
  <w:style w:type="paragraph" w:styleId="NormalIndent">
    <w:name w:val="Normal Indent"/>
    <w:basedOn w:val="Normal"/>
    <w:uiPriority w:val="99"/>
    <w:semiHidden/>
    <w:unhideWhenUsed/>
    <w:rsid w:val="008E199F"/>
    <w:pPr>
      <w:ind w:left="720"/>
    </w:pPr>
  </w:style>
  <w:style w:type="paragraph" w:styleId="NoteHeading">
    <w:name w:val="Note Heading"/>
    <w:basedOn w:val="Normal"/>
    <w:next w:val="Normal"/>
    <w:link w:val="NoteHeadingChar"/>
    <w:uiPriority w:val="99"/>
    <w:semiHidden/>
    <w:unhideWhenUsed/>
    <w:rsid w:val="008E199F"/>
    <w:pPr>
      <w:spacing w:after="0" w:line="240" w:lineRule="auto"/>
    </w:pPr>
  </w:style>
  <w:style w:type="character" w:customStyle="1" w:styleId="NoteHeadingChar">
    <w:name w:val="Note Heading Char"/>
    <w:basedOn w:val="DefaultParagraphFont"/>
    <w:link w:val="NoteHeading"/>
    <w:uiPriority w:val="99"/>
    <w:semiHidden/>
    <w:rsid w:val="008E199F"/>
    <w:rPr>
      <w:sz w:val="24"/>
    </w:rPr>
  </w:style>
  <w:style w:type="character" w:styleId="PlaceholderText">
    <w:name w:val="Placeholder Text"/>
    <w:basedOn w:val="DefaultParagraphFont"/>
    <w:uiPriority w:val="99"/>
    <w:semiHidden/>
    <w:rsid w:val="008E199F"/>
    <w:rPr>
      <w:color w:val="666666"/>
    </w:rPr>
  </w:style>
  <w:style w:type="table" w:styleId="PlainTable1">
    <w:name w:val="Plain Table 1"/>
    <w:basedOn w:val="TableNormal"/>
    <w:uiPriority w:val="41"/>
    <w:rsid w:val="008E1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19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19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19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19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E199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99F"/>
    <w:rPr>
      <w:rFonts w:ascii="Consolas" w:hAnsi="Consolas" w:cs="Consolas"/>
      <w:sz w:val="21"/>
      <w:szCs w:val="21"/>
    </w:rPr>
  </w:style>
  <w:style w:type="paragraph" w:styleId="Salutation">
    <w:name w:val="Salutation"/>
    <w:basedOn w:val="Normal"/>
    <w:next w:val="Normal"/>
    <w:link w:val="SalutationChar"/>
    <w:uiPriority w:val="99"/>
    <w:semiHidden/>
    <w:unhideWhenUsed/>
    <w:rsid w:val="008E199F"/>
  </w:style>
  <w:style w:type="character" w:customStyle="1" w:styleId="SalutationChar">
    <w:name w:val="Salutation Char"/>
    <w:basedOn w:val="DefaultParagraphFont"/>
    <w:link w:val="Salutation"/>
    <w:uiPriority w:val="99"/>
    <w:semiHidden/>
    <w:rsid w:val="008E199F"/>
    <w:rPr>
      <w:sz w:val="24"/>
    </w:rPr>
  </w:style>
  <w:style w:type="paragraph" w:styleId="Signature">
    <w:name w:val="Signature"/>
    <w:basedOn w:val="Normal"/>
    <w:link w:val="SignatureChar"/>
    <w:uiPriority w:val="99"/>
    <w:semiHidden/>
    <w:unhideWhenUsed/>
    <w:rsid w:val="008E199F"/>
    <w:pPr>
      <w:spacing w:after="0" w:line="240" w:lineRule="auto"/>
      <w:ind w:left="4252"/>
    </w:pPr>
  </w:style>
  <w:style w:type="character" w:customStyle="1" w:styleId="SignatureChar">
    <w:name w:val="Signature Char"/>
    <w:basedOn w:val="DefaultParagraphFont"/>
    <w:link w:val="Signature"/>
    <w:uiPriority w:val="99"/>
    <w:semiHidden/>
    <w:rsid w:val="008E199F"/>
    <w:rPr>
      <w:sz w:val="24"/>
    </w:rPr>
  </w:style>
  <w:style w:type="character" w:styleId="SmartHyperlink">
    <w:name w:val="Smart Hyperlink"/>
    <w:basedOn w:val="DefaultParagraphFont"/>
    <w:uiPriority w:val="99"/>
    <w:semiHidden/>
    <w:unhideWhenUsed/>
    <w:rsid w:val="008E199F"/>
    <w:rPr>
      <w:u w:val="dotted"/>
    </w:rPr>
  </w:style>
  <w:style w:type="character" w:styleId="SmartLink">
    <w:name w:val="Smart Link"/>
    <w:basedOn w:val="DefaultParagraphFont"/>
    <w:uiPriority w:val="99"/>
    <w:semiHidden/>
    <w:unhideWhenUsed/>
    <w:rsid w:val="008E199F"/>
    <w:rPr>
      <w:color w:val="0000FF"/>
      <w:u w:val="single"/>
      <w:shd w:val="clear" w:color="auto" w:fill="F3F2F1"/>
    </w:rPr>
  </w:style>
  <w:style w:type="character" w:styleId="SubtleEmphasis">
    <w:name w:val="Subtle Emphasis"/>
    <w:basedOn w:val="DefaultParagraphFont"/>
    <w:uiPriority w:val="19"/>
    <w:qFormat/>
    <w:rsid w:val="008E199F"/>
    <w:rPr>
      <w:i/>
      <w:iCs/>
      <w:color w:val="404040" w:themeColor="text1" w:themeTint="BF"/>
    </w:rPr>
  </w:style>
  <w:style w:type="character" w:styleId="SubtleReference">
    <w:name w:val="Subtle Reference"/>
    <w:basedOn w:val="DefaultParagraphFont"/>
    <w:uiPriority w:val="31"/>
    <w:qFormat/>
    <w:rsid w:val="008E199F"/>
    <w:rPr>
      <w:smallCaps/>
      <w:color w:val="5A5A5A" w:themeColor="text1" w:themeTint="A5"/>
    </w:rPr>
  </w:style>
  <w:style w:type="table" w:styleId="Table3Deffects1">
    <w:name w:val="Table 3D effects 1"/>
    <w:basedOn w:val="TableNormal"/>
    <w:uiPriority w:val="99"/>
    <w:semiHidden/>
    <w:unhideWhenUsed/>
    <w:rsid w:val="008E199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199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199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199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199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E199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E199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E199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199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199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199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199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199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199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199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199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199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199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199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199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E19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E199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199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199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199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E199F"/>
    <w:pPr>
      <w:spacing w:after="0"/>
      <w:ind w:left="240" w:hanging="240"/>
    </w:pPr>
  </w:style>
  <w:style w:type="paragraph" w:styleId="TableofFigures">
    <w:name w:val="table of figures"/>
    <w:basedOn w:val="Normal"/>
    <w:next w:val="Normal"/>
    <w:uiPriority w:val="99"/>
    <w:semiHidden/>
    <w:unhideWhenUsed/>
    <w:rsid w:val="008E199F"/>
    <w:pPr>
      <w:spacing w:after="0"/>
    </w:pPr>
  </w:style>
  <w:style w:type="table" w:styleId="TableProfessional">
    <w:name w:val="Table Professional"/>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199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199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199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199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199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199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199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199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6.emf"/><Relationship Id="rId39" Type="http://schemas.openxmlformats.org/officeDocument/2006/relationships/hyperlink" Target="https://www.energy.vic.gov.au/renewable-energy/our-energy-workforce/women-in-energy-strategy" TargetMode="External"/><Relationship Id="rId21" Type="http://schemas.openxmlformats.org/officeDocument/2006/relationships/hyperlink" Target="https://hamrenergy.com/portland-renewable-fuels" TargetMode="External"/><Relationship Id="rId34" Type="http://schemas.openxmlformats.org/officeDocument/2006/relationships/hyperlink" Target="https://www.energy.vic.gov.au/renewable-energy/our-energy-workforce/victorian-energy-jobs-plan" TargetMode="External"/><Relationship Id="rId42" Type="http://schemas.openxmlformats.org/officeDocument/2006/relationships/hyperlink" Target="https://www.vicgrid.com.au/about/news/news-stories/driving-better-community-engagement-and-benefits-from-renewable-energy-projects" TargetMode="External"/><Relationship Id="rId47" Type="http://schemas.openxmlformats.org/officeDocument/2006/relationships/hyperlink" Target="https://www.energy.vic.gov.au/renewable-energy/renewable-energy-zones" TargetMode="External"/><Relationship Id="rId50" Type="http://schemas.openxmlformats.org/officeDocument/2006/relationships/hyperlink" Target="https://innovationvictoria.com" TargetMode="External"/><Relationship Id="rId55" Type="http://schemas.openxmlformats.org/officeDocument/2006/relationships/hyperlink" Target="https://www.accesshub.gov.a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emf"/><Relationship Id="rId29" Type="http://schemas.openxmlformats.org/officeDocument/2006/relationships/hyperlink" Target="https://www.vic.gov.au/economic-growth-statement" TargetMode="External"/><Relationship Id="rId11" Type="http://schemas.openxmlformats.org/officeDocument/2006/relationships/footer" Target="footer2.xml"/><Relationship Id="rId24" Type="http://schemas.openxmlformats.org/officeDocument/2006/relationships/hyperlink" Target="https://www.sustainability.vic.gov.au/news/news-articles/harnessing-the-power-of-organic-waste" TargetMode="External"/><Relationship Id="rId32" Type="http://schemas.openxmlformats.org/officeDocument/2006/relationships/hyperlink" Target="https://www.vic.gov.au/victorias-plan-circular-economy" TargetMode="External"/><Relationship Id="rId37" Type="http://schemas.openxmlformats.org/officeDocument/2006/relationships/hyperlink" Target="https://www.water.vic.gov.au/our-programs/water-monitoring-and-reporting/water-security-plan" TargetMode="External"/><Relationship Id="rId40" Type="http://schemas.openxmlformats.org/officeDocument/2006/relationships/hyperlink" Target="https://www.energy.vic.gov.au/renewable-energy/first-peoples-energy" TargetMode="External"/><Relationship Id="rId45" Type="http://schemas.openxmlformats.org/officeDocument/2006/relationships/hyperlink" Target="https://www.energy.vic.gov.au/renewable-energy/offshore-wind-energy" TargetMode="External"/><Relationship Id="rId53" Type="http://schemas.openxmlformats.org/officeDocument/2006/relationships/hyperlink" Target="https://creativecommons.org/licenses/by/4.0/"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eeca.vic.gov.au/aboriginalselfdetermination/self-determination-reform-strategy" TargetMode="External"/><Relationship Id="rId22" Type="http://schemas.openxmlformats.org/officeDocument/2006/relationships/image" Target="media/image5.png"/><Relationship Id="rId27" Type="http://schemas.openxmlformats.org/officeDocument/2006/relationships/image" Target="media/image7.jpg"/><Relationship Id="rId30" Type="http://schemas.openxmlformats.org/officeDocument/2006/relationships/hyperlink" Target="https://djsir.vic.gov.au/priorities-and-initiatives/industry-policy" TargetMode="External"/><Relationship Id="rId35" Type="http://schemas.openxmlformats.org/officeDocument/2006/relationships/hyperlink" Target="https://www.energy.vic.gov.au/renewable-energy/our-energy-workforce/women-in-energy-strategy" TargetMode="External"/><Relationship Id="rId43" Type="http://schemas.openxmlformats.org/officeDocument/2006/relationships/hyperlink" Target="mailto:BIE@deeca.vic.gov.au" TargetMode="External"/><Relationship Id="rId48" Type="http://schemas.openxmlformats.org/officeDocument/2006/relationships/hyperlink" Target="https://www.invest.vic.gov.au" TargetMode="External"/><Relationship Id="rId56" Type="http://schemas.openxmlformats.org/officeDocument/2006/relationships/hyperlink" Target="https://www.deeca.vic.gov.au/" TargetMode="External"/><Relationship Id="rId8" Type="http://schemas.openxmlformats.org/officeDocument/2006/relationships/header" Target="header1.xml"/><Relationship Id="rId51" Type="http://schemas.openxmlformats.org/officeDocument/2006/relationships/hyperlink" Target="https://www.secvictoria.com.au"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consult.dcceew.gov.au/securing-australias-cleaner-fuels-industry-consultation" TargetMode="External"/><Relationship Id="rId25" Type="http://schemas.openxmlformats.org/officeDocument/2006/relationships/hyperlink" Target="https://pavilionbiogas.com.au" TargetMode="External"/><Relationship Id="rId33" Type="http://schemas.openxmlformats.org/officeDocument/2006/relationships/hyperlink" Target="https://www.vic.gov.au/clean-economy-workforce-development-strategy-2023-2033" TargetMode="External"/><Relationship Id="rId38" Type="http://schemas.openxmlformats.org/officeDocument/2006/relationships/hyperlink" Target="https://www.energy.vic.gov.au/renewable-energy/our-energy-workforce/victorian-energy-jobs-plan" TargetMode="External"/><Relationship Id="rId46" Type="http://schemas.openxmlformats.org/officeDocument/2006/relationships/hyperlink" Target="https://www.solar.vic.gov.au" TargetMode="External"/><Relationship Id="rId20" Type="http://schemas.openxmlformats.org/officeDocument/2006/relationships/image" Target="media/image4.emf"/><Relationship Id="rId41" Type="http://schemas.openxmlformats.org/officeDocument/2006/relationships/hyperlink" Target="https://www.energy.vic.gov.au/renewable-energy/first-peoples-energy/first-peoples-resources" TargetMode="External"/><Relationship Id="rId54" Type="http://schemas.openxmlformats.org/officeDocument/2006/relationships/hyperlink" Target="mailto:customer.service@deeca.vic.gov.a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www.energy.vic.gov.au/renewable-energy/victorias-gas-substitution-roadmap" TargetMode="External"/><Relationship Id="rId28" Type="http://schemas.openxmlformats.org/officeDocument/2006/relationships/hyperlink" Target="https://www.climatechange.vic.gov.au/victorias-climate-change-strategy" TargetMode="External"/><Relationship Id="rId36" Type="http://schemas.openxmlformats.org/officeDocument/2006/relationships/hyperlink" Target="https://www.water.vic.gov.au/our-programs/climate-change-and-victorias-water-sector/greenhouse-gas-emissions-from-the-water-sector/a-net-zero-emissions-water-sector" TargetMode="External"/><Relationship Id="rId49" Type="http://schemas.openxmlformats.org/officeDocument/2006/relationships/hyperlink" Target="https://djsir.vic.gov.au/about-us/overview/organisation-structure/departments-organisation-chart/victorias-investment-coordinator-general" TargetMode="External"/><Relationship Id="rId57"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s://www.vic.gov.au/freight-victoria" TargetMode="External"/><Relationship Id="rId44" Type="http://schemas.openxmlformats.org/officeDocument/2006/relationships/hyperlink" Target="https://www.energy.vic.gov.au/industry/investment-opportunities" TargetMode="External"/><Relationship Id="rId52" Type="http://schemas.openxmlformats.org/officeDocument/2006/relationships/hyperlink" Target="https://www.energy.vic.gov.au/industry/investment-opportuniti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melbourneairport.com.au/corporate/master-plan" TargetMode="External"/><Relationship Id="rId13" Type="http://schemas.openxmlformats.org/officeDocument/2006/relationships/hyperlink" Target="https://www.aemo.com.au/energy-systems/gas/gas-forecasting-and-planning/gas-statement-of-opportunities-gsoo" TargetMode="External"/><Relationship Id="rId3" Type="http://schemas.openxmlformats.org/officeDocument/2006/relationships/hyperlink" Target="https://www.aemo.com.au/energy-systems/gas/gas-forecasting-and-planning/gas-statement-of-opportunities-gsoo" TargetMode="External"/><Relationship Id="rId7" Type="http://schemas.openxmlformats.org/officeDocument/2006/relationships/hyperlink" Target="https://www.energy.gov.au/publications/australian-energy-update-2025" TargetMode="External"/><Relationship Id="rId12" Type="http://schemas.openxmlformats.org/officeDocument/2006/relationships/hyperlink" Target="https://www.singaporeair.com/en_UK/sg/about-us/sustainability/environment/" TargetMode="External"/><Relationship Id="rId2" Type="http://schemas.openxmlformats.org/officeDocument/2006/relationships/hyperlink" Target="https://explore.openelectricity.org.au" TargetMode="External"/><Relationship Id="rId1" Type="http://schemas.openxmlformats.org/officeDocument/2006/relationships/hyperlink" Target="https://www.energy.gov.au/publications/australian-energy-update-2025" TargetMode="External"/><Relationship Id="rId6" Type="http://schemas.openxmlformats.org/officeDocument/2006/relationships/hyperlink" Target="https://www.eiu.com/n/wp-content/uploads/2026/07/EIU_Liveability-Index-2026.pdf" TargetMode="External"/><Relationship Id="rId11" Type="http://schemas.openxmlformats.org/officeDocument/2006/relationships/hyperlink" Target="https://www.airnewzealand.co.nz/sustainability-saf" TargetMode="External"/><Relationship Id="rId5" Type="http://schemas.openxmlformats.org/officeDocument/2006/relationships/hyperlink" Target="https://www.melbourne.vic.gov.au/why-invest-melbourne" TargetMode="External"/><Relationship Id="rId10" Type="http://schemas.openxmlformats.org/officeDocument/2006/relationships/hyperlink" Target="https://www.qantas.com/corporate/sustainability/our-planet/sustainable-aviation-fuel" TargetMode="External"/><Relationship Id="rId4" Type="http://schemas.openxmlformats.org/officeDocument/2006/relationships/hyperlink" Target="https://www.planning.vic.gov.au/guides-and-resources/Data-spatial-and-insights/discover-and-access-planning-open-data/victoria-in-future" TargetMode="External"/><Relationship Id="rId9" Type="http://schemas.openxmlformats.org/officeDocument/2006/relationships/hyperlink" Target="https://www.icao.int/CORSIA/corsia-states-chapter-3-state-pai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Document_accessible_APR2026.dotx</Template>
  <TotalTime>174</TotalTime>
  <Pages>45</Pages>
  <Words>6785</Words>
  <Characters>38681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Renewable Energy Investment Prospectus: Renewable Fuels and Feedstocks</vt:lpstr>
    </vt:vector>
  </TitlesOfParts>
  <Manager>N/A</Manager>
  <Company>Department of Energy, Environment and Climate Action </Company>
  <LinksUpToDate>false</LinksUpToDate>
  <CharactersWithSpaces>45376</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Renewable Fuels and Feedstocks</dc:title>
  <dc:subject>Renewable Energy Investment Prospectus: Renewable Fuels and Feedstocks</dc:subject>
  <dc:creator>Department of Energy, Environment and Climate Action </dc:creator>
  <cp:keywords>renewable energy; investment prospectus; Victoria; distributed energy resources; electric vehicles; rooftop solar; battery storage; smart meters; virtual power plants; flexible demand</cp:keywords>
  <dc:description>© The State of Victoria Department of Energy, Environment and Climate Action September 2026</dc:description>
  <cp:lastModifiedBy>Emma Woods (DEECA)</cp:lastModifiedBy>
  <cp:revision>25</cp:revision>
  <cp:lastPrinted>2026-10-21T03:37:00Z</cp:lastPrinted>
  <dcterms:created xsi:type="dcterms:W3CDTF">2026-10-20T01:54:00Z</dcterms:created>
  <dcterms:modified xsi:type="dcterms:W3CDTF">2026-10-25T23:23:00Z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ies>
</file>