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4DF6B" w14:textId="6602D709" w:rsidR="00254F12" w:rsidRPr="00862057" w:rsidRDefault="00EC4055" w:rsidP="00862057">
      <w:pPr>
        <w:pStyle w:val="Title"/>
      </w:pPr>
      <w:bookmarkStart w:id="0" w:name="_Toc106305998"/>
      <w:r w:rsidRPr="00D97791">
        <w:rPr>
          <w:noProof/>
        </w:rPr>
        <w:drawing>
          <wp:anchor distT="0" distB="0" distL="114300" distR="114300" simplePos="0" relativeHeight="251658241" behindDoc="0" locked="1" layoutInCell="1" allowOverlap="1" wp14:anchorId="32F31531" wp14:editId="3280B7E4">
            <wp:simplePos x="0" y="0"/>
            <wp:positionH relativeFrom="page">
              <wp:posOffset>6511290</wp:posOffset>
            </wp:positionH>
            <wp:positionV relativeFrom="page">
              <wp:posOffset>7125970</wp:posOffset>
            </wp:positionV>
            <wp:extent cx="1050290" cy="2228215"/>
            <wp:effectExtent l="0" t="0" r="0" b="635"/>
            <wp:wrapNone/>
            <wp:docPr id="19" name="Cover_Triangle_Corporat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Corporate">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50290" cy="2228215"/>
                    </a:xfrm>
                    <a:prstGeom prst="rect">
                      <a:avLst/>
                    </a:prstGeom>
                  </pic:spPr>
                </pic:pic>
              </a:graphicData>
            </a:graphic>
            <wp14:sizeRelH relativeFrom="margin">
              <wp14:pctWidth>0</wp14:pctWidth>
            </wp14:sizeRelH>
            <wp14:sizeRelV relativeFrom="margin">
              <wp14:pctHeight>0</wp14:pctHeight>
            </wp14:sizeRelV>
          </wp:anchor>
        </w:drawing>
      </w:r>
      <w:sdt>
        <w:sdtPr>
          <w:alias w:val="Document Title"/>
          <w:tag w:val=""/>
          <w:id w:val="-432211567"/>
          <w:placeholder>
            <w:docPart w:val="8C9D371F1CB348F890DB0B95F03189B3"/>
          </w:placeholder>
          <w:dataBinding w:prefixMappings="xmlns:ns0='http://purl.org/dc/elements/1.1/' xmlns:ns1='http://schemas.openxmlformats.org/package/2006/metadata/core-properties' " w:xpath="/ns1:coreProperties[1]/ns0:title[1]" w:storeItemID="{6C3C8BC8-F283-45AE-878A-BAB7291924A1}"/>
          <w:text/>
        </w:sdtPr>
        <w:sdtContent>
          <w:r w:rsidR="008B24CC">
            <w:t>Measurement and Verification in Victorian Energy Upgrades</w:t>
          </w:r>
        </w:sdtContent>
      </w:sdt>
    </w:p>
    <w:sdt>
      <w:sdtPr>
        <w:alias w:val="Subtitle"/>
        <w:tag w:val=""/>
        <w:id w:val="328029620"/>
        <w:placeholder>
          <w:docPart w:val="64B0647015D1458BBFD15C8292004308"/>
        </w:placeholder>
        <w:dataBinding w:prefixMappings="xmlns:ns0='http://purl.org/dc/elements/1.1/' xmlns:ns1='http://schemas.openxmlformats.org/package/2006/metadata/core-properties' " w:xpath="/ns1:coreProperties[1]/ns0:subject[1]" w:storeItemID="{6C3C8BC8-F283-45AE-878A-BAB7291924A1}"/>
        <w:text/>
      </w:sdtPr>
      <w:sdtContent>
        <w:p w14:paraId="334BEE54" w14:textId="07DC7546" w:rsidR="004C1F02" w:rsidRDefault="00F65A67" w:rsidP="00862057">
          <w:pPr>
            <w:pStyle w:val="Subtitle"/>
          </w:pPr>
          <w:r>
            <w:t>Specifications – Version 9.0</w:t>
          </w:r>
        </w:p>
      </w:sdtContent>
    </w:sdt>
    <w:p w14:paraId="7A68EF79" w14:textId="77777777" w:rsidR="00254F12" w:rsidRPr="004C1F02" w:rsidRDefault="00254F12" w:rsidP="004E51DB">
      <w:pPr>
        <w:pStyle w:val="xVicLogo"/>
        <w:framePr w:wrap="around"/>
      </w:pPr>
      <w:r w:rsidRPr="004C1F02">
        <w:rPr>
          <w:noProof/>
        </w:rPr>
        <w:drawing>
          <wp:inline distT="0" distB="0" distL="0" distR="0" wp14:anchorId="0F1B7D6C" wp14:editId="2CA758AD">
            <wp:extent cx="1738080" cy="444948"/>
            <wp:effectExtent l="0" t="0" r="0" b="0"/>
            <wp:docPr id="36" name="Cover_Logo_StateGovt"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080" cy="444948"/>
                    </a:xfrm>
                    <a:prstGeom prst="rect">
                      <a:avLst/>
                    </a:prstGeom>
                  </pic:spPr>
                </pic:pic>
              </a:graphicData>
            </a:graphic>
          </wp:inline>
        </w:drawing>
      </w:r>
    </w:p>
    <w:p w14:paraId="26B7E8B9" w14:textId="4FE64F16" w:rsidR="00081719" w:rsidRDefault="00081719" w:rsidP="00081719">
      <w:pPr>
        <w:pStyle w:val="xPartnerLogo"/>
        <w:framePr w:wrap="around"/>
      </w:pPr>
      <w:hyperlink r:id="rId17" w:tooltip="Visit DEECA" w:history="1">
        <w:r w:rsidRPr="00081719">
          <w:rPr>
            <w:position w:val="6"/>
          </w:rPr>
          <w:t>deeca</w:t>
        </w:r>
        <w:r w:rsidRPr="00712437">
          <w:rPr>
            <w:position w:val="6"/>
          </w:rPr>
          <w:t>.vic.gov.au</w:t>
        </w:r>
      </w:hyperlink>
      <w:r>
        <w:t> </w:t>
      </w:r>
    </w:p>
    <w:p w14:paraId="7867CD1B" w14:textId="65FC26C5" w:rsidR="00254F12" w:rsidRPr="004C1F02" w:rsidRDefault="00985DB8" w:rsidP="004C1F02">
      <w:r w:rsidRPr="004C1F02">
        <w:rPr>
          <w:noProof/>
        </w:rPr>
        <w:drawing>
          <wp:anchor distT="0" distB="0" distL="114300" distR="114300" simplePos="0" relativeHeight="251658244" behindDoc="1" locked="1" layoutInCell="1" allowOverlap="1" wp14:anchorId="61EAB93C" wp14:editId="6B7B9565">
            <wp:simplePos x="0" y="0"/>
            <wp:positionH relativeFrom="page">
              <wp:posOffset>2509520</wp:posOffset>
            </wp:positionH>
            <wp:positionV relativeFrom="page">
              <wp:posOffset>8457565</wp:posOffset>
            </wp:positionV>
            <wp:extent cx="2322000" cy="2232000"/>
            <wp:effectExtent l="0" t="0" r="2540" b="0"/>
            <wp:wrapNone/>
            <wp:docPr id="8" name="Cover_RibbonElement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over_RibbonElement3">
                      <a:extLst>
                        <a:ext uri="{C183D7F6-B498-43B3-948B-1728B52AA6E4}">
                          <adec:decorative xmlns:adec="http://schemas.microsoft.com/office/drawing/2017/decorative" val="1"/>
                        </a:ext>
                      </a:extLst>
                    </pic:cNvPr>
                    <pic:cNvPicPr/>
                  </pic:nvPicPr>
                  <pic:blipFill>
                    <a:blip r:embed="rId18">
                      <a:extLst>
                        <a:ext uri="{96DAC541-7B7A-43D3-8B79-37D633B846F1}">
                          <asvg:svgBlip xmlns:asvg="http://schemas.microsoft.com/office/drawing/2016/SVG/main" r:embed="rId19"/>
                        </a:ext>
                      </a:extLst>
                    </a:blip>
                    <a:stretch>
                      <a:fillRect/>
                    </a:stretch>
                  </pic:blipFill>
                  <pic:spPr>
                    <a:xfrm>
                      <a:off x="0" y="0"/>
                      <a:ext cx="2322000" cy="2232000"/>
                    </a:xfrm>
                    <a:prstGeom prst="rect">
                      <a:avLst/>
                    </a:prstGeom>
                  </pic:spPr>
                </pic:pic>
              </a:graphicData>
            </a:graphic>
            <wp14:sizeRelH relativeFrom="margin">
              <wp14:pctWidth>0</wp14:pctWidth>
            </wp14:sizeRelH>
            <wp14:sizeRelV relativeFrom="margin">
              <wp14:pctHeight>0</wp14:pctHeight>
            </wp14:sizeRelV>
          </wp:anchor>
        </w:drawing>
      </w:r>
      <w:r w:rsidR="00872D01" w:rsidRPr="004C1F02">
        <w:rPr>
          <w:noProof/>
        </w:rPr>
        <mc:AlternateContent>
          <mc:Choice Requires="wps">
            <w:drawing>
              <wp:anchor distT="0" distB="0" distL="114300" distR="114300" simplePos="0" relativeHeight="251658240" behindDoc="1" locked="1" layoutInCell="1" allowOverlap="1" wp14:anchorId="64098D6F" wp14:editId="4A326A7A">
                <wp:simplePos x="0" y="0"/>
                <wp:positionH relativeFrom="page">
                  <wp:posOffset>0</wp:posOffset>
                </wp:positionH>
                <wp:positionV relativeFrom="page">
                  <wp:posOffset>2228850</wp:posOffset>
                </wp:positionV>
                <wp:extent cx="7563600" cy="7120800"/>
                <wp:effectExtent l="0" t="0" r="0" b="0"/>
                <wp:wrapNone/>
                <wp:docPr id="16" name="Photo Non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3600" cy="7120800"/>
                        </a:xfrm>
                        <a:custGeom>
                          <a:avLst/>
                          <a:gdLst>
                            <a:gd name="connsiteX0" fmla="*/ 0 w 7563408"/>
                            <a:gd name="connsiteY0" fmla="*/ 0 h 7131432"/>
                            <a:gd name="connsiteX1" fmla="*/ 0 w 7563408"/>
                            <a:gd name="connsiteY1" fmla="*/ 7131433 h 7131432"/>
                            <a:gd name="connsiteX2" fmla="*/ 4832160 w 7563408"/>
                            <a:gd name="connsiteY2" fmla="*/ 7131433 h 7131432"/>
                            <a:gd name="connsiteX3" fmla="*/ 7563408 w 7563408"/>
                            <a:gd name="connsiteY3" fmla="*/ 1337144 h 7131432"/>
                            <a:gd name="connsiteX4" fmla="*/ 7563408 w 7563408"/>
                            <a:gd name="connsiteY4" fmla="*/ 0 h 7131432"/>
                            <a:gd name="connsiteX5" fmla="*/ 0 w 7563408"/>
                            <a:gd name="connsiteY5" fmla="*/ 0 h 71314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563408" h="7131432">
                              <a:moveTo>
                                <a:pt x="0" y="0"/>
                              </a:moveTo>
                              <a:lnTo>
                                <a:pt x="0" y="7131433"/>
                              </a:lnTo>
                              <a:lnTo>
                                <a:pt x="4832160" y="7131433"/>
                              </a:lnTo>
                              <a:lnTo>
                                <a:pt x="7563408" y="1337144"/>
                              </a:lnTo>
                              <a:lnTo>
                                <a:pt x="7563408" y="0"/>
                              </a:lnTo>
                              <a:lnTo>
                                <a:pt x="0" y="0"/>
                              </a:lnTo>
                              <a:close/>
                            </a:path>
                          </a:pathLst>
                        </a:custGeom>
                        <a:solidFill>
                          <a:schemeClr val="dk2"/>
                        </a:solidFill>
                        <a:ln w="1269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w:pict w14:anchorId="069289B5">
              <v:shape id="Photo None" style="position:absolute;margin-left:0;margin-top:175.5pt;width:595.55pt;height:560.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coordsize="7563408,7131432" o:spid="_x0000_s1026" fillcolor="#201547 [3202]" stroked="f" strokeweight=".35264mm" path="m,l,7131433r4832160,l7563408,1337144,75634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" w14:anchorId="724C94F9">
                <v:stroke joinstyle="miter"/>
                <v:path arrowok="t" o:connecttype="custom" o:connectlocs="0,0;0,7120801;4832283,7120801;7563600,1335150;7563600,0;0,0" o:connectangles="0,0,0,0,0,0"/>
                <w10:wrap anchorx="page" anchory="page"/>
                <w10:anchorlock/>
              </v:shape>
            </w:pict>
          </mc:Fallback>
        </mc:AlternateContent>
      </w:r>
      <w:r w:rsidR="008B1109">
        <w:rPr>
          <w:noProof/>
        </w:rPr>
        <mc:AlternateContent>
          <mc:Choice Requires="wps">
            <w:drawing>
              <wp:anchor distT="0" distB="0" distL="114300" distR="114300" simplePos="0" relativeHeight="251658242" behindDoc="1" locked="1" layoutInCell="1" allowOverlap="1" wp14:anchorId="257B67E0" wp14:editId="0A4CB327">
                <wp:simplePos x="0" y="0"/>
                <wp:positionH relativeFrom="page">
                  <wp:posOffset>0</wp:posOffset>
                </wp:positionH>
                <wp:positionV relativeFrom="page">
                  <wp:posOffset>2228850</wp:posOffset>
                </wp:positionV>
                <wp:extent cx="9435465" cy="442595"/>
                <wp:effectExtent l="0" t="0" r="0" b="0"/>
                <wp:wrapNone/>
                <wp:docPr id="18" name="Cover_ProjectBar">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435465" cy="442595"/>
                        </a:xfrm>
                        <a:custGeom>
                          <a:avLst/>
                          <a:gdLst>
                            <a:gd name="connsiteX0" fmla="*/ 0 w 9435280"/>
                            <a:gd name="connsiteY0" fmla="*/ 0 h 443520"/>
                            <a:gd name="connsiteX1" fmla="*/ 9435280 w 9435280"/>
                            <a:gd name="connsiteY1" fmla="*/ 0 h 443520"/>
                            <a:gd name="connsiteX2" fmla="*/ 9226217 w 9435280"/>
                            <a:gd name="connsiteY2" fmla="*/ 443520 h 443520"/>
                            <a:gd name="connsiteX3" fmla="*/ 0 w 9435280"/>
                            <a:gd name="connsiteY3" fmla="*/ 443520 h 443520"/>
                          </a:gdLst>
                          <a:ahLst/>
                          <a:cxnLst>
                            <a:cxn ang="0">
                              <a:pos x="connsiteX0" y="connsiteY0"/>
                            </a:cxn>
                            <a:cxn ang="0">
                              <a:pos x="connsiteX1" y="connsiteY1"/>
                            </a:cxn>
                            <a:cxn ang="0">
                              <a:pos x="connsiteX2" y="connsiteY2"/>
                            </a:cxn>
                            <a:cxn ang="0">
                              <a:pos x="connsiteX3" y="connsiteY3"/>
                            </a:cxn>
                          </a:cxnLst>
                          <a:rect l="l" t="t" r="r" b="b"/>
                          <a:pathLst>
                            <a:path w="9435280" h="443520">
                              <a:moveTo>
                                <a:pt x="0" y="0"/>
                              </a:moveTo>
                              <a:lnTo>
                                <a:pt x="9435280" y="0"/>
                              </a:lnTo>
                              <a:lnTo>
                                <a:pt x="9226217" y="443520"/>
                              </a:lnTo>
                              <a:lnTo>
                                <a:pt x="0" y="443520"/>
                              </a:lnTo>
                              <a:close/>
                            </a:path>
                          </a:pathLst>
                        </a:custGeom>
                        <a:solidFill>
                          <a:schemeClr val="tx2"/>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w:pict w14:anchorId="6B41D1AB">
              <v:shape id="Cover_ProjectBar" style="position:absolute;margin-left:0;margin-top:175.5pt;width:742.95pt;height:34.85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coordsize="9435280,443520" o:spid="_x0000_s1026" fillcolor="#201547 [3215]" stroked="f" path="m,l9435280,,9226217,443520,,44352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" w14:anchorId="0AA2F406">
                <v:stroke joinstyle="miter"/>
                <v:path arrowok="t" o:connecttype="custom" o:connectlocs="0,0;9435465,0;9226398,442595;0,442595" o:connectangles="0,0,0,0"/>
                <w10:wrap anchorx="page" anchory="page"/>
                <w10:anchorlock/>
              </v:shape>
            </w:pict>
          </mc:Fallback>
        </mc:AlternateContent>
      </w:r>
      <w:r w:rsidR="00254F12" w:rsidRPr="004C1F02">
        <w:rPr>
          <w:noProof/>
        </w:rPr>
        <w:drawing>
          <wp:anchor distT="0" distB="0" distL="114300" distR="114300" simplePos="0" relativeHeight="251658245" behindDoc="1" locked="1" layoutInCell="1" allowOverlap="1" wp14:anchorId="639EC70A" wp14:editId="1568489B">
            <wp:simplePos x="0" y="0"/>
            <wp:positionH relativeFrom="page">
              <wp:posOffset>4406900</wp:posOffset>
            </wp:positionH>
            <wp:positionV relativeFrom="page">
              <wp:posOffset>8457565</wp:posOffset>
            </wp:positionV>
            <wp:extent cx="838800" cy="889200"/>
            <wp:effectExtent l="0" t="0" r="0" b="6350"/>
            <wp:wrapNone/>
            <wp:docPr id="7" name="Cover_RibbonElement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ver_RibbonElement2">
                      <a:extLst>
                        <a:ext uri="{C183D7F6-B498-43B3-948B-1728B52AA6E4}">
                          <adec:decorative xmlns:adec="http://schemas.microsoft.com/office/drawing/2017/decorative" val="1"/>
                        </a:ext>
                      </a:extLst>
                    </pic:cNvPr>
                    <pic:cNvPicPr/>
                  </pic:nvPicPr>
                  <pic:blipFill>
                    <a:blip r:embed="rId20">
                      <a:extLst>
                        <a:ext uri="{96DAC541-7B7A-43D3-8B79-37D633B846F1}">
                          <asvg:svgBlip xmlns:asvg="http://schemas.microsoft.com/office/drawing/2016/SVG/main" r:embed="rId21"/>
                        </a:ext>
                      </a:extLst>
                    </a:blip>
                    <a:stretch>
                      <a:fillRect/>
                    </a:stretch>
                  </pic:blipFill>
                  <pic:spPr>
                    <a:xfrm>
                      <a:off x="0" y="0"/>
                      <a:ext cx="838800" cy="889200"/>
                    </a:xfrm>
                    <a:prstGeom prst="rect">
                      <a:avLst/>
                    </a:prstGeom>
                  </pic:spPr>
                </pic:pic>
              </a:graphicData>
            </a:graphic>
            <wp14:sizeRelH relativeFrom="margin">
              <wp14:pctWidth>0</wp14:pctWidth>
            </wp14:sizeRelH>
            <wp14:sizeRelV relativeFrom="margin">
              <wp14:pctHeight>0</wp14:pctHeight>
            </wp14:sizeRelV>
          </wp:anchor>
        </w:drawing>
      </w:r>
      <w:r w:rsidR="00254F12" w:rsidRPr="004C1F02">
        <w:rPr>
          <w:noProof/>
        </w:rPr>
        <w:drawing>
          <wp:anchor distT="0" distB="0" distL="114300" distR="114300" simplePos="0" relativeHeight="251658246" behindDoc="1" locked="1" layoutInCell="1" allowOverlap="1" wp14:anchorId="7A48C5D1" wp14:editId="54D9CF59">
            <wp:simplePos x="0" y="0"/>
            <wp:positionH relativeFrom="page">
              <wp:posOffset>3989070</wp:posOffset>
            </wp:positionH>
            <wp:positionV relativeFrom="page">
              <wp:posOffset>7567930</wp:posOffset>
            </wp:positionV>
            <wp:extent cx="2098800" cy="1778400"/>
            <wp:effectExtent l="0" t="0" r="0" b="0"/>
            <wp:wrapNone/>
            <wp:docPr id="6" name="Cover_RibbonElement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over_RibbonElement4">
                      <a:extLst>
                        <a:ext uri="{C183D7F6-B498-43B3-948B-1728B52AA6E4}">
                          <adec:decorative xmlns:adec="http://schemas.microsoft.com/office/drawing/2017/decorative" val="1"/>
                        </a:ext>
                      </a:extLst>
                    </pic:cNvPr>
                    <pic:cNvPicPr/>
                  </pic:nvPicPr>
                  <pic:blipFill>
                    <a:blip r:embed="rId22">
                      <a:extLst>
                        <a:ext uri="{96DAC541-7B7A-43D3-8B79-37D633B846F1}">
                          <asvg:svgBlip xmlns:asvg="http://schemas.microsoft.com/office/drawing/2016/SVG/main" r:embed="rId23"/>
                        </a:ext>
                      </a:extLst>
                    </a:blip>
                    <a:stretch>
                      <a:fillRect/>
                    </a:stretch>
                  </pic:blipFill>
                  <pic:spPr>
                    <a:xfrm>
                      <a:off x="0" y="0"/>
                      <a:ext cx="2098800" cy="1778400"/>
                    </a:xfrm>
                    <a:prstGeom prst="rect">
                      <a:avLst/>
                    </a:prstGeom>
                  </pic:spPr>
                </pic:pic>
              </a:graphicData>
            </a:graphic>
            <wp14:sizeRelH relativeFrom="margin">
              <wp14:pctWidth>0</wp14:pctWidth>
            </wp14:sizeRelH>
            <wp14:sizeRelV relativeFrom="margin">
              <wp14:pctHeight>0</wp14:pctHeight>
            </wp14:sizeRelV>
          </wp:anchor>
        </w:drawing>
      </w:r>
      <w:r w:rsidR="00254F12" w:rsidRPr="004C1F02">
        <w:rPr>
          <w:noProof/>
        </w:rPr>
        <w:drawing>
          <wp:anchor distT="0" distB="0" distL="114300" distR="114300" simplePos="0" relativeHeight="251658247" behindDoc="1" locked="1" layoutInCell="1" allowOverlap="1" wp14:anchorId="42F45CE1" wp14:editId="339BEB85">
            <wp:simplePos x="0" y="0"/>
            <wp:positionH relativeFrom="page">
              <wp:posOffset>5667375</wp:posOffset>
            </wp:positionH>
            <wp:positionV relativeFrom="page">
              <wp:posOffset>7567930</wp:posOffset>
            </wp:positionV>
            <wp:extent cx="838800" cy="889200"/>
            <wp:effectExtent l="0" t="0" r="0" b="6350"/>
            <wp:wrapNone/>
            <wp:docPr id="5" name="Cover_RibbonElement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ver_RibbonElement1">
                      <a:extLst>
                        <a:ext uri="{C183D7F6-B498-43B3-948B-1728B52AA6E4}">
                          <adec:decorative xmlns:adec="http://schemas.microsoft.com/office/drawing/2017/decorative" val="1"/>
                        </a:ext>
                      </a:extLst>
                    </pic:cNvPr>
                    <pic:cNvPicPr/>
                  </pic:nvPicPr>
                  <pic:blipFill>
                    <a:blip r:embed="rId20">
                      <a:extLst>
                        <a:ext uri="{96DAC541-7B7A-43D3-8B79-37D633B846F1}">
                          <asvg:svgBlip xmlns:asvg="http://schemas.microsoft.com/office/drawing/2016/SVG/main" r:embed="rId21"/>
                        </a:ext>
                      </a:extLst>
                    </a:blip>
                    <a:stretch>
                      <a:fillRect/>
                    </a:stretch>
                  </pic:blipFill>
                  <pic:spPr>
                    <a:xfrm>
                      <a:off x="0" y="0"/>
                      <a:ext cx="838800" cy="889200"/>
                    </a:xfrm>
                    <a:prstGeom prst="rect">
                      <a:avLst/>
                    </a:prstGeom>
                  </pic:spPr>
                </pic:pic>
              </a:graphicData>
            </a:graphic>
            <wp14:sizeRelH relativeFrom="margin">
              <wp14:pctWidth>0</wp14:pctWidth>
            </wp14:sizeRelH>
            <wp14:sizeRelV relativeFrom="margin">
              <wp14:pctHeight>0</wp14:pctHeight>
            </wp14:sizeRelV>
          </wp:anchor>
        </w:drawing>
      </w:r>
    </w:p>
    <w:p w14:paraId="41348516" w14:textId="77777777" w:rsidR="00254F12" w:rsidRPr="004C1F02" w:rsidRDefault="00254F12" w:rsidP="004C1F02">
      <w:pPr>
        <w:sectPr w:rsidR="00254F12" w:rsidRPr="004C1F02" w:rsidSect="00CD157B">
          <w:headerReference w:type="even" r:id="rId24"/>
          <w:headerReference w:type="default" r:id="rId25"/>
          <w:footerReference w:type="even" r:id="rId26"/>
          <w:footerReference w:type="default" r:id="rId27"/>
          <w:headerReference w:type="first" r:id="rId28"/>
          <w:type w:val="continuous"/>
          <w:pgSz w:w="11907" w:h="16839" w:code="9"/>
          <w:pgMar w:top="737" w:right="850" w:bottom="850" w:left="850" w:header="283" w:footer="283" w:gutter="0"/>
          <w:cols w:space="454"/>
          <w:noEndnote/>
          <w:titlePg/>
          <w:docGrid w:linePitch="360"/>
        </w:sectPr>
      </w:pPr>
    </w:p>
    <w:bookmarkEnd w:id="0"/>
    <w:p w14:paraId="40198FB0" w14:textId="77777777" w:rsidR="006614E4" w:rsidRPr="003055C4" w:rsidRDefault="006614E4" w:rsidP="00EE4D70">
      <w:pPr>
        <w:pStyle w:val="BoldBodyText"/>
      </w:pPr>
      <w:r w:rsidRPr="00576720">
        <w:lastRenderedPageBreak/>
        <w:t>Author</w:t>
      </w:r>
    </w:p>
    <w:p w14:paraId="2FAA35C5" w14:textId="2B7E299F" w:rsidR="006614E4" w:rsidRPr="00576720" w:rsidRDefault="002143CB" w:rsidP="003055C4">
      <w:pPr>
        <w:pStyle w:val="NoSpacing"/>
      </w:pPr>
      <w:r>
        <w:t>This document has been prepared by the Department of Energy, Environment and Climate Action</w:t>
      </w:r>
      <w:r w:rsidR="00D251EF">
        <w:t>.</w:t>
      </w:r>
    </w:p>
    <w:p w14:paraId="2FDD9072" w14:textId="2D491CAE" w:rsidR="006614E4" w:rsidRPr="00576720" w:rsidRDefault="002143CB" w:rsidP="00EE4D70">
      <w:pPr>
        <w:pStyle w:val="BoldBodyText"/>
      </w:pPr>
      <w:r>
        <w:t>Document Version</w:t>
      </w:r>
    </w:p>
    <w:p w14:paraId="6AAA1885" w14:textId="7765FF3D" w:rsidR="008F488F" w:rsidRPr="008F488F" w:rsidRDefault="002143CB" w:rsidP="008F488F">
      <w:pPr>
        <w:pStyle w:val="NoSpacing"/>
      </w:pPr>
      <w:r>
        <w:t xml:space="preserve">Version </w:t>
      </w:r>
      <w:r w:rsidR="00D251EF">
        <w:t>9</w:t>
      </w:r>
      <w:r>
        <w:t xml:space="preserve">.0 comes into effect </w:t>
      </w:r>
      <w:r w:rsidRPr="00952212">
        <w:t xml:space="preserve">from </w:t>
      </w:r>
      <w:r w:rsidR="00D251EF" w:rsidRPr="00952212">
        <w:t xml:space="preserve">1 </w:t>
      </w:r>
      <w:r w:rsidR="00AD25FC" w:rsidRPr="00952212">
        <w:t>October</w:t>
      </w:r>
      <w:r w:rsidR="00D251EF" w:rsidRPr="00952212">
        <w:t xml:space="preserve"> 2026</w:t>
      </w:r>
      <w:r w:rsidR="005466F9" w:rsidRPr="00952212">
        <w:t xml:space="preserve">. </w:t>
      </w:r>
      <w:r w:rsidRPr="00952212">
        <w:t xml:space="preserve">Versions </w:t>
      </w:r>
      <w:r w:rsidR="005B2250">
        <w:t>1.0</w:t>
      </w:r>
      <w:r w:rsidRPr="00952212">
        <w:t xml:space="preserve"> to </w:t>
      </w:r>
      <w:r w:rsidR="001B664A" w:rsidRPr="00952212">
        <w:t>8</w:t>
      </w:r>
      <w:r w:rsidRPr="00952212">
        <w:t>.0 are no long</w:t>
      </w:r>
      <w:r w:rsidR="00006FC7" w:rsidRPr="00952212">
        <w:t>er</w:t>
      </w:r>
      <w:r w:rsidRPr="00952212">
        <w:t xml:space="preserve"> in effect as at</w:t>
      </w:r>
      <w:r w:rsidR="00D2510C" w:rsidRPr="00952212">
        <w:t xml:space="preserve"> </w:t>
      </w:r>
      <w:r w:rsidR="00D251EF" w:rsidRPr="00952212">
        <w:t xml:space="preserve">1 </w:t>
      </w:r>
      <w:r w:rsidR="00A40468" w:rsidRPr="00952212">
        <w:t>October</w:t>
      </w:r>
      <w:r w:rsidR="00D251EF" w:rsidRPr="00952212">
        <w:t xml:space="preserve"> 2026.</w:t>
      </w:r>
      <w:r w:rsidR="008F488F">
        <w:br/>
      </w:r>
    </w:p>
    <w:tbl>
      <w:tblPr>
        <w:tblStyle w:val="TableColumns3"/>
        <w:tblW w:w="0" w:type="auto"/>
        <w:tblBorders>
          <w:insideH w:val="single" w:sz="4" w:space="0" w:color="auto"/>
        </w:tblBorders>
        <w:tblLook w:val="04A0" w:firstRow="1" w:lastRow="0" w:firstColumn="1" w:lastColumn="0" w:noHBand="0" w:noVBand="1"/>
      </w:tblPr>
      <w:tblGrid>
        <w:gridCol w:w="1134"/>
        <w:gridCol w:w="6521"/>
        <w:gridCol w:w="1984"/>
      </w:tblGrid>
      <w:tr w:rsidR="00DC39A7" w:rsidRPr="00201174" w14:paraId="12C388F3" w14:textId="77777777" w:rsidTr="00135DB2">
        <w:trPr>
          <w:cnfStyle w:val="100000000000" w:firstRow="1" w:lastRow="0" w:firstColumn="0" w:lastColumn="0" w:oddVBand="0" w:evenVBand="0" w:oddHBand="0"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134" w:type="dxa"/>
            <w:shd w:val="clear" w:color="auto" w:fill="0072CE" w:themeFill="accent1"/>
          </w:tcPr>
          <w:p w14:paraId="599B2ACB" w14:textId="77777777" w:rsidR="00DC39A7" w:rsidRPr="00135DB2" w:rsidRDefault="00DC39A7">
            <w:pPr>
              <w:pStyle w:val="BodyText"/>
              <w:rPr>
                <w:b/>
                <w:bCs/>
              </w:rPr>
            </w:pPr>
            <w:r w:rsidRPr="00135DB2">
              <w:rPr>
                <w:b/>
                <w:bCs/>
              </w:rPr>
              <w:t>Version</w:t>
            </w:r>
          </w:p>
        </w:tc>
        <w:tc>
          <w:tcPr>
            <w:tcW w:w="6521" w:type="dxa"/>
            <w:shd w:val="clear" w:color="auto" w:fill="0072CE" w:themeFill="accent1"/>
          </w:tcPr>
          <w:p w14:paraId="30C58ACF" w14:textId="77777777" w:rsidR="00DC39A7" w:rsidRPr="00135DB2" w:rsidRDefault="00DC39A7">
            <w:pPr>
              <w:pStyle w:val="BodyText"/>
              <w:cnfStyle w:val="100000000000" w:firstRow="1" w:lastRow="0" w:firstColumn="0" w:lastColumn="0" w:oddVBand="0" w:evenVBand="0" w:oddHBand="0" w:evenHBand="0" w:firstRowFirstColumn="0" w:firstRowLastColumn="0" w:lastRowFirstColumn="0" w:lastRowLastColumn="0"/>
            </w:pPr>
            <w:r w:rsidRPr="00135DB2">
              <w:t>Amendments</w:t>
            </w:r>
          </w:p>
        </w:tc>
        <w:tc>
          <w:tcPr>
            <w:tcW w:w="1984" w:type="dxa"/>
            <w:shd w:val="clear" w:color="auto" w:fill="0072CE" w:themeFill="accent1"/>
          </w:tcPr>
          <w:p w14:paraId="256AF19B" w14:textId="77777777" w:rsidR="00DC39A7" w:rsidRPr="00135DB2" w:rsidRDefault="00DC39A7">
            <w:pPr>
              <w:pStyle w:val="BodyText"/>
              <w:cnfStyle w:val="100000000000" w:firstRow="1" w:lastRow="0" w:firstColumn="0" w:lastColumn="0" w:oddVBand="0" w:evenVBand="0" w:oddHBand="0" w:evenHBand="0" w:firstRowFirstColumn="0" w:firstRowLastColumn="0" w:lastRowFirstColumn="0" w:lastRowLastColumn="0"/>
            </w:pPr>
            <w:r w:rsidRPr="00135DB2">
              <w:t xml:space="preserve">In effect from </w:t>
            </w:r>
          </w:p>
        </w:tc>
      </w:tr>
      <w:tr w:rsidR="00060109" w14:paraId="253DE235" w14:textId="77777777" w:rsidTr="00135DB2">
        <w:tc>
          <w:tcPr>
            <w:cnfStyle w:val="001000000000" w:firstRow="0" w:lastRow="0" w:firstColumn="1" w:lastColumn="0" w:oddVBand="0" w:evenVBand="0" w:oddHBand="0" w:evenHBand="0" w:firstRowFirstColumn="0" w:firstRowLastColumn="0" w:lastRowFirstColumn="0" w:lastRowLastColumn="0"/>
            <w:tcW w:w="1134" w:type="dxa"/>
          </w:tcPr>
          <w:p w14:paraId="7DFC0BC5" w14:textId="33A8EFD8" w:rsidR="00060109" w:rsidRPr="009473AB" w:rsidRDefault="00060109">
            <w:pPr>
              <w:pStyle w:val="TableTextLeft"/>
              <w:rPr>
                <w:sz w:val="20"/>
              </w:rPr>
            </w:pPr>
            <w:r>
              <w:rPr>
                <w:sz w:val="20"/>
              </w:rPr>
              <w:t>9.0</w:t>
            </w:r>
          </w:p>
        </w:tc>
        <w:tc>
          <w:tcPr>
            <w:tcW w:w="6521" w:type="dxa"/>
          </w:tcPr>
          <w:p w14:paraId="495C8E82" w14:textId="7EE934DB" w:rsidR="00060109" w:rsidRPr="00135DB2" w:rsidRDefault="00060109">
            <w:pPr>
              <w:pStyle w:val="TableTextLeft"/>
              <w:cnfStyle w:val="000000000000" w:firstRow="0" w:lastRow="0" w:firstColumn="0" w:lastColumn="0" w:oddVBand="0" w:evenVBand="0" w:oddHBand="0" w:evenHBand="0" w:firstRowFirstColumn="0" w:firstRowLastColumn="0" w:lastRowFirstColumn="0" w:lastRowLastColumn="0"/>
              <w:rPr>
                <w:b w:val="0"/>
                <w:bCs w:val="0"/>
                <w:sz w:val="20"/>
              </w:rPr>
            </w:pPr>
            <w:r w:rsidRPr="00135DB2">
              <w:rPr>
                <w:b w:val="0"/>
                <w:bCs w:val="0"/>
                <w:sz w:val="20"/>
              </w:rPr>
              <w:t>Introduction of additional specified measurement methods to support industrial heat decarbonisation</w:t>
            </w:r>
            <w:r w:rsidR="001B4684" w:rsidRPr="00135DB2">
              <w:rPr>
                <w:b w:val="0"/>
                <w:bCs w:val="0"/>
                <w:sz w:val="20"/>
              </w:rPr>
              <w:t>.</w:t>
            </w:r>
          </w:p>
        </w:tc>
        <w:tc>
          <w:tcPr>
            <w:tcW w:w="1984" w:type="dxa"/>
          </w:tcPr>
          <w:p w14:paraId="7ED3FA7F" w14:textId="017A6210" w:rsidR="00060109" w:rsidRPr="00135DB2" w:rsidRDefault="001B4684" w:rsidP="03B8307E">
            <w:pPr>
              <w:pStyle w:val="TableTextLeft"/>
              <w:cnfStyle w:val="000000000000" w:firstRow="0" w:lastRow="0" w:firstColumn="0" w:lastColumn="0" w:oddVBand="0" w:evenVBand="0" w:oddHBand="0" w:evenHBand="0" w:firstRowFirstColumn="0" w:firstRowLastColumn="0" w:lastRowFirstColumn="0" w:lastRowLastColumn="0"/>
              <w:rPr>
                <w:b w:val="0"/>
                <w:bCs w:val="0"/>
                <w:sz w:val="20"/>
                <w:highlight w:val="yellow"/>
              </w:rPr>
            </w:pPr>
            <w:r w:rsidRPr="00135DB2">
              <w:rPr>
                <w:b w:val="0"/>
                <w:bCs w:val="0"/>
                <w:sz w:val="20"/>
              </w:rPr>
              <w:t xml:space="preserve">1 </w:t>
            </w:r>
            <w:r w:rsidR="00A40468" w:rsidRPr="00135DB2">
              <w:rPr>
                <w:b w:val="0"/>
                <w:bCs w:val="0"/>
                <w:sz w:val="20"/>
              </w:rPr>
              <w:t>October</w:t>
            </w:r>
            <w:r w:rsidRPr="00135DB2">
              <w:rPr>
                <w:b w:val="0"/>
                <w:bCs w:val="0"/>
                <w:sz w:val="20"/>
              </w:rPr>
              <w:t xml:space="preserve"> 2026</w:t>
            </w:r>
          </w:p>
        </w:tc>
      </w:tr>
      <w:tr w:rsidR="00DC39A7" w14:paraId="12B72C48" w14:textId="77777777" w:rsidTr="00135DB2">
        <w:tc>
          <w:tcPr>
            <w:cnfStyle w:val="001000000000" w:firstRow="0" w:lastRow="0" w:firstColumn="1" w:lastColumn="0" w:oddVBand="0" w:evenVBand="0" w:oddHBand="0" w:evenHBand="0" w:firstRowFirstColumn="0" w:firstRowLastColumn="0" w:lastRowFirstColumn="0" w:lastRowLastColumn="0"/>
            <w:tcW w:w="1134" w:type="dxa"/>
          </w:tcPr>
          <w:p w14:paraId="72698A3F" w14:textId="77777777" w:rsidR="00DC39A7" w:rsidRPr="009473AB" w:rsidRDefault="00DC39A7">
            <w:pPr>
              <w:pStyle w:val="TableTextLeft"/>
              <w:rPr>
                <w:sz w:val="20"/>
              </w:rPr>
            </w:pPr>
            <w:r w:rsidRPr="009473AB">
              <w:rPr>
                <w:sz w:val="20"/>
              </w:rPr>
              <w:t>8.0</w:t>
            </w:r>
          </w:p>
        </w:tc>
        <w:tc>
          <w:tcPr>
            <w:tcW w:w="6521" w:type="dxa"/>
          </w:tcPr>
          <w:p w14:paraId="55E98706" w14:textId="412DF867" w:rsidR="00DC39A7" w:rsidRPr="00135DB2" w:rsidRDefault="00A8222B">
            <w:pPr>
              <w:pStyle w:val="TableTextLeft"/>
              <w:cnfStyle w:val="000000000000" w:firstRow="0" w:lastRow="0" w:firstColumn="0" w:lastColumn="0" w:oddVBand="0" w:evenVBand="0" w:oddHBand="0" w:evenHBand="0" w:firstRowFirstColumn="0" w:firstRowLastColumn="0" w:lastRowFirstColumn="0" w:lastRowLastColumn="0"/>
              <w:rPr>
                <w:b w:val="0"/>
                <w:bCs w:val="0"/>
                <w:sz w:val="20"/>
              </w:rPr>
            </w:pPr>
            <w:r w:rsidRPr="00135DB2">
              <w:rPr>
                <w:b w:val="0"/>
                <w:bCs w:val="0"/>
                <w:sz w:val="20"/>
              </w:rPr>
              <w:t xml:space="preserve">Introduction of </w:t>
            </w:r>
            <w:r w:rsidR="00175118" w:rsidRPr="00135DB2">
              <w:rPr>
                <w:b w:val="0"/>
                <w:bCs w:val="0"/>
                <w:sz w:val="20"/>
              </w:rPr>
              <w:t>specified measurement</w:t>
            </w:r>
            <w:r w:rsidR="00325BF5" w:rsidRPr="00135DB2">
              <w:rPr>
                <w:b w:val="0"/>
                <w:bCs w:val="0"/>
                <w:sz w:val="20"/>
              </w:rPr>
              <w:t xml:space="preserve"> methods </w:t>
            </w:r>
            <w:r w:rsidR="003E4C2C" w:rsidRPr="00135DB2">
              <w:rPr>
                <w:b w:val="0"/>
                <w:bCs w:val="0"/>
                <w:sz w:val="20"/>
              </w:rPr>
              <w:t>and changes to support project flexibility</w:t>
            </w:r>
            <w:r w:rsidR="43CDF994" w:rsidRPr="00135DB2">
              <w:rPr>
                <w:b w:val="0"/>
                <w:bCs w:val="0"/>
                <w:sz w:val="20"/>
              </w:rPr>
              <w:t>.</w:t>
            </w:r>
          </w:p>
        </w:tc>
        <w:tc>
          <w:tcPr>
            <w:tcW w:w="1984" w:type="dxa"/>
          </w:tcPr>
          <w:p w14:paraId="7AEDDFFF" w14:textId="5A2F87FA" w:rsidR="00DC39A7" w:rsidRPr="00135DB2" w:rsidRDefault="4E75E362" w:rsidP="03B8307E">
            <w:pPr>
              <w:pStyle w:val="TableTextLeft"/>
              <w:cnfStyle w:val="000000000000" w:firstRow="0" w:lastRow="0" w:firstColumn="0" w:lastColumn="0" w:oddVBand="0" w:evenVBand="0" w:oddHBand="0" w:evenHBand="0" w:firstRowFirstColumn="0" w:firstRowLastColumn="0" w:lastRowFirstColumn="0" w:lastRowLastColumn="0"/>
              <w:rPr>
                <w:b w:val="0"/>
                <w:bCs w:val="0"/>
                <w:sz w:val="20"/>
              </w:rPr>
            </w:pPr>
            <w:r w:rsidRPr="00135DB2">
              <w:rPr>
                <w:b w:val="0"/>
                <w:bCs w:val="0"/>
                <w:sz w:val="20"/>
              </w:rPr>
              <w:t>20</w:t>
            </w:r>
            <w:r w:rsidR="1D63300E" w:rsidRPr="00135DB2">
              <w:rPr>
                <w:b w:val="0"/>
                <w:bCs w:val="0"/>
                <w:sz w:val="20"/>
              </w:rPr>
              <w:t xml:space="preserve"> June</w:t>
            </w:r>
            <w:r w:rsidR="005466F9" w:rsidRPr="00135DB2">
              <w:rPr>
                <w:b w:val="0"/>
                <w:bCs w:val="0"/>
                <w:sz w:val="20"/>
              </w:rPr>
              <w:t xml:space="preserve"> 2025</w:t>
            </w:r>
          </w:p>
        </w:tc>
      </w:tr>
      <w:tr w:rsidR="00DC39A7" w14:paraId="457062D8" w14:textId="77777777" w:rsidTr="00135DB2">
        <w:tc>
          <w:tcPr>
            <w:cnfStyle w:val="001000000000" w:firstRow="0" w:lastRow="0" w:firstColumn="1" w:lastColumn="0" w:oddVBand="0" w:evenVBand="0" w:oddHBand="0" w:evenHBand="0" w:firstRowFirstColumn="0" w:firstRowLastColumn="0" w:lastRowFirstColumn="0" w:lastRowLastColumn="0"/>
            <w:tcW w:w="1134" w:type="dxa"/>
          </w:tcPr>
          <w:p w14:paraId="182A7657" w14:textId="77777777" w:rsidR="00DC39A7" w:rsidRPr="009473AB" w:rsidRDefault="00DC39A7">
            <w:pPr>
              <w:pStyle w:val="TableTextLeft"/>
              <w:rPr>
                <w:sz w:val="20"/>
              </w:rPr>
            </w:pPr>
            <w:r w:rsidRPr="009473AB">
              <w:rPr>
                <w:sz w:val="20"/>
              </w:rPr>
              <w:t>7.0</w:t>
            </w:r>
          </w:p>
        </w:tc>
        <w:tc>
          <w:tcPr>
            <w:tcW w:w="6521" w:type="dxa"/>
          </w:tcPr>
          <w:p w14:paraId="300A9337" w14:textId="77777777" w:rsidR="00DC39A7" w:rsidRPr="00135DB2" w:rsidRDefault="00DC39A7">
            <w:pPr>
              <w:pStyle w:val="TableTextLeft"/>
              <w:cnfStyle w:val="000000000000" w:firstRow="0" w:lastRow="0" w:firstColumn="0" w:lastColumn="0" w:oddVBand="0" w:evenVBand="0" w:oddHBand="0" w:evenHBand="0" w:firstRowFirstColumn="0" w:firstRowLastColumn="0" w:lastRowFirstColumn="0" w:lastRowLastColumn="0"/>
              <w:rPr>
                <w:b w:val="0"/>
                <w:bCs w:val="0"/>
                <w:sz w:val="20"/>
              </w:rPr>
            </w:pPr>
            <w:r w:rsidRPr="00135DB2">
              <w:rPr>
                <w:b w:val="0"/>
                <w:bCs w:val="0"/>
                <w:sz w:val="20"/>
              </w:rPr>
              <w:t xml:space="preserve">Incorporating updated electricity emissions factors. </w:t>
            </w:r>
          </w:p>
        </w:tc>
        <w:tc>
          <w:tcPr>
            <w:tcW w:w="1984" w:type="dxa"/>
          </w:tcPr>
          <w:p w14:paraId="20BE73E2" w14:textId="77777777" w:rsidR="00DC39A7" w:rsidRPr="00135DB2" w:rsidRDefault="00DC39A7">
            <w:pPr>
              <w:pStyle w:val="TableTextLeft"/>
              <w:cnfStyle w:val="000000000000" w:firstRow="0" w:lastRow="0" w:firstColumn="0" w:lastColumn="0" w:oddVBand="0" w:evenVBand="0" w:oddHBand="0" w:evenHBand="0" w:firstRowFirstColumn="0" w:firstRowLastColumn="0" w:lastRowFirstColumn="0" w:lastRowLastColumn="0"/>
              <w:rPr>
                <w:b w:val="0"/>
                <w:bCs w:val="0"/>
                <w:sz w:val="20"/>
              </w:rPr>
            </w:pPr>
            <w:r w:rsidRPr="00135DB2">
              <w:rPr>
                <w:b w:val="0"/>
                <w:bCs w:val="0"/>
                <w:sz w:val="20"/>
              </w:rPr>
              <w:t>1 February 2022</w:t>
            </w:r>
          </w:p>
        </w:tc>
      </w:tr>
      <w:tr w:rsidR="00DC39A7" w14:paraId="4D436D14" w14:textId="77777777" w:rsidTr="00135DB2">
        <w:tc>
          <w:tcPr>
            <w:cnfStyle w:val="001000000000" w:firstRow="0" w:lastRow="0" w:firstColumn="1" w:lastColumn="0" w:oddVBand="0" w:evenVBand="0" w:oddHBand="0" w:evenHBand="0" w:firstRowFirstColumn="0" w:firstRowLastColumn="0" w:lastRowFirstColumn="0" w:lastRowLastColumn="0"/>
            <w:tcW w:w="1134" w:type="dxa"/>
          </w:tcPr>
          <w:p w14:paraId="038CC5B9" w14:textId="77777777" w:rsidR="00DC39A7" w:rsidRPr="009473AB" w:rsidRDefault="00DC39A7">
            <w:pPr>
              <w:pStyle w:val="TableTextLeft"/>
              <w:rPr>
                <w:sz w:val="20"/>
              </w:rPr>
            </w:pPr>
            <w:r w:rsidRPr="009473AB">
              <w:rPr>
                <w:sz w:val="20"/>
              </w:rPr>
              <w:t>6.0</w:t>
            </w:r>
          </w:p>
        </w:tc>
        <w:tc>
          <w:tcPr>
            <w:tcW w:w="6521" w:type="dxa"/>
          </w:tcPr>
          <w:p w14:paraId="4A8A0819" w14:textId="77777777" w:rsidR="00DC39A7" w:rsidRPr="00135DB2" w:rsidRDefault="00DC39A7">
            <w:pPr>
              <w:pStyle w:val="TableTextLeft"/>
              <w:cnfStyle w:val="000000000000" w:firstRow="0" w:lastRow="0" w:firstColumn="0" w:lastColumn="0" w:oddVBand="0" w:evenVBand="0" w:oddHBand="0" w:evenHBand="0" w:firstRowFirstColumn="0" w:firstRowLastColumn="0" w:lastRowFirstColumn="0" w:lastRowLastColumn="0"/>
              <w:rPr>
                <w:b w:val="0"/>
                <w:bCs w:val="0"/>
                <w:sz w:val="20"/>
              </w:rPr>
            </w:pPr>
            <w:r w:rsidRPr="00135DB2">
              <w:rPr>
                <w:b w:val="0"/>
                <w:bCs w:val="0"/>
                <w:sz w:val="20"/>
              </w:rPr>
              <w:t>Revised electricity emissions factors for 2021-2025.</w:t>
            </w:r>
          </w:p>
        </w:tc>
        <w:tc>
          <w:tcPr>
            <w:tcW w:w="1984" w:type="dxa"/>
          </w:tcPr>
          <w:p w14:paraId="2C658245" w14:textId="77777777" w:rsidR="00DC39A7" w:rsidRPr="00135DB2" w:rsidRDefault="00DC39A7">
            <w:pPr>
              <w:pStyle w:val="TableTextLeft"/>
              <w:cnfStyle w:val="000000000000" w:firstRow="0" w:lastRow="0" w:firstColumn="0" w:lastColumn="0" w:oddVBand="0" w:evenVBand="0" w:oddHBand="0" w:evenHBand="0" w:firstRowFirstColumn="0" w:firstRowLastColumn="0" w:lastRowFirstColumn="0" w:lastRowLastColumn="0"/>
              <w:rPr>
                <w:b w:val="0"/>
                <w:bCs w:val="0"/>
                <w:sz w:val="20"/>
              </w:rPr>
            </w:pPr>
            <w:r w:rsidRPr="00135DB2">
              <w:rPr>
                <w:b w:val="0"/>
                <w:bCs w:val="0"/>
                <w:sz w:val="20"/>
              </w:rPr>
              <w:t>1 August 2021</w:t>
            </w:r>
          </w:p>
        </w:tc>
      </w:tr>
      <w:tr w:rsidR="00DC39A7" w14:paraId="259A53CF" w14:textId="77777777" w:rsidTr="00135DB2">
        <w:tc>
          <w:tcPr>
            <w:cnfStyle w:val="001000000000" w:firstRow="0" w:lastRow="0" w:firstColumn="1" w:lastColumn="0" w:oddVBand="0" w:evenVBand="0" w:oddHBand="0" w:evenHBand="0" w:firstRowFirstColumn="0" w:firstRowLastColumn="0" w:lastRowFirstColumn="0" w:lastRowLastColumn="0"/>
            <w:tcW w:w="1134" w:type="dxa"/>
          </w:tcPr>
          <w:p w14:paraId="2EBC7434" w14:textId="77777777" w:rsidR="00DC39A7" w:rsidRPr="009473AB" w:rsidRDefault="00DC39A7">
            <w:pPr>
              <w:pStyle w:val="TableTextLeft"/>
              <w:rPr>
                <w:sz w:val="20"/>
              </w:rPr>
            </w:pPr>
            <w:r w:rsidRPr="009473AB">
              <w:rPr>
                <w:sz w:val="20"/>
              </w:rPr>
              <w:t>5.0</w:t>
            </w:r>
          </w:p>
        </w:tc>
        <w:tc>
          <w:tcPr>
            <w:tcW w:w="6521" w:type="dxa"/>
          </w:tcPr>
          <w:p w14:paraId="0EC2C3DD" w14:textId="718CB6A4" w:rsidR="00DC39A7" w:rsidRPr="00135DB2" w:rsidRDefault="00DC39A7">
            <w:pPr>
              <w:pStyle w:val="TableTextLeft"/>
              <w:cnfStyle w:val="000000000000" w:firstRow="0" w:lastRow="0" w:firstColumn="0" w:lastColumn="0" w:oddVBand="0" w:evenVBand="0" w:oddHBand="0" w:evenHBand="0" w:firstRowFirstColumn="0" w:firstRowLastColumn="0" w:lastRowFirstColumn="0" w:lastRowLastColumn="0"/>
              <w:rPr>
                <w:b w:val="0"/>
                <w:bCs w:val="0"/>
                <w:sz w:val="20"/>
              </w:rPr>
            </w:pPr>
            <w:r w:rsidRPr="00135DB2">
              <w:rPr>
                <w:b w:val="0"/>
                <w:bCs w:val="0"/>
                <w:sz w:val="20"/>
              </w:rPr>
              <w:t>Inserted provisions to be applied when calculating abatement for M&amp;V projects affected by COVID-19 or any other declared state of emergency or state of disaster.</w:t>
            </w:r>
          </w:p>
        </w:tc>
        <w:tc>
          <w:tcPr>
            <w:tcW w:w="1984" w:type="dxa"/>
          </w:tcPr>
          <w:p w14:paraId="60E0A803" w14:textId="77777777" w:rsidR="00DC39A7" w:rsidRPr="00135DB2" w:rsidRDefault="00DC39A7">
            <w:pPr>
              <w:pStyle w:val="TableTextLeft"/>
              <w:cnfStyle w:val="000000000000" w:firstRow="0" w:lastRow="0" w:firstColumn="0" w:lastColumn="0" w:oddVBand="0" w:evenVBand="0" w:oddHBand="0" w:evenHBand="0" w:firstRowFirstColumn="0" w:firstRowLastColumn="0" w:lastRowFirstColumn="0" w:lastRowLastColumn="0"/>
              <w:rPr>
                <w:b w:val="0"/>
                <w:bCs w:val="0"/>
                <w:sz w:val="20"/>
              </w:rPr>
            </w:pPr>
            <w:r w:rsidRPr="00135DB2">
              <w:rPr>
                <w:b w:val="0"/>
                <w:bCs w:val="0"/>
                <w:sz w:val="20"/>
              </w:rPr>
              <w:t>30 June 2021</w:t>
            </w:r>
          </w:p>
        </w:tc>
      </w:tr>
      <w:tr w:rsidR="00DC39A7" w14:paraId="6CD2C877" w14:textId="77777777" w:rsidTr="00135DB2">
        <w:tc>
          <w:tcPr>
            <w:cnfStyle w:val="001000000000" w:firstRow="0" w:lastRow="0" w:firstColumn="1" w:lastColumn="0" w:oddVBand="0" w:evenVBand="0" w:oddHBand="0" w:evenHBand="0" w:firstRowFirstColumn="0" w:firstRowLastColumn="0" w:lastRowFirstColumn="0" w:lastRowLastColumn="0"/>
            <w:tcW w:w="1134" w:type="dxa"/>
          </w:tcPr>
          <w:p w14:paraId="2C8DE213" w14:textId="77777777" w:rsidR="00DC39A7" w:rsidRPr="009473AB" w:rsidRDefault="00DC39A7">
            <w:pPr>
              <w:pStyle w:val="TableTextLeft"/>
              <w:rPr>
                <w:sz w:val="20"/>
              </w:rPr>
            </w:pPr>
            <w:r w:rsidRPr="009473AB">
              <w:rPr>
                <w:sz w:val="20"/>
              </w:rPr>
              <w:t>4.0</w:t>
            </w:r>
          </w:p>
        </w:tc>
        <w:tc>
          <w:tcPr>
            <w:tcW w:w="6521" w:type="dxa"/>
          </w:tcPr>
          <w:p w14:paraId="5A26BD61" w14:textId="77777777" w:rsidR="00DC39A7" w:rsidRPr="00135DB2" w:rsidRDefault="00DC39A7">
            <w:pPr>
              <w:pStyle w:val="TableTextLeft"/>
              <w:cnfStyle w:val="000000000000" w:firstRow="0" w:lastRow="0" w:firstColumn="0" w:lastColumn="0" w:oddVBand="0" w:evenVBand="0" w:oddHBand="0" w:evenHBand="0" w:firstRowFirstColumn="0" w:firstRowLastColumn="0" w:lastRowFirstColumn="0" w:lastRowLastColumn="0"/>
              <w:rPr>
                <w:b w:val="0"/>
                <w:bCs w:val="0"/>
                <w:sz w:val="20"/>
              </w:rPr>
            </w:pPr>
            <w:r w:rsidRPr="00135DB2">
              <w:rPr>
                <w:b w:val="0"/>
                <w:bCs w:val="0"/>
                <w:sz w:val="20"/>
              </w:rPr>
              <w:t>Introduced amendments which better support on-site renewable energy generation by allowing export of renewable energy outside of the measurement boundary.</w:t>
            </w:r>
          </w:p>
        </w:tc>
        <w:tc>
          <w:tcPr>
            <w:tcW w:w="1984" w:type="dxa"/>
          </w:tcPr>
          <w:p w14:paraId="1B3C2136" w14:textId="77777777" w:rsidR="00DC39A7" w:rsidRPr="00135DB2" w:rsidRDefault="00DC39A7">
            <w:pPr>
              <w:pStyle w:val="TableTextLeft"/>
              <w:cnfStyle w:val="000000000000" w:firstRow="0" w:lastRow="0" w:firstColumn="0" w:lastColumn="0" w:oddVBand="0" w:evenVBand="0" w:oddHBand="0" w:evenHBand="0" w:firstRowFirstColumn="0" w:firstRowLastColumn="0" w:lastRowFirstColumn="0" w:lastRowLastColumn="0"/>
              <w:rPr>
                <w:b w:val="0"/>
                <w:bCs w:val="0"/>
                <w:sz w:val="20"/>
              </w:rPr>
            </w:pPr>
            <w:r w:rsidRPr="00135DB2">
              <w:rPr>
                <w:b w:val="0"/>
                <w:bCs w:val="0"/>
                <w:sz w:val="20"/>
              </w:rPr>
              <w:t>18 December 2020</w:t>
            </w:r>
          </w:p>
        </w:tc>
      </w:tr>
      <w:tr w:rsidR="00DC39A7" w14:paraId="6D125B91" w14:textId="77777777" w:rsidTr="00135DB2">
        <w:tc>
          <w:tcPr>
            <w:cnfStyle w:val="001000000000" w:firstRow="0" w:lastRow="0" w:firstColumn="1" w:lastColumn="0" w:oddVBand="0" w:evenVBand="0" w:oddHBand="0" w:evenHBand="0" w:firstRowFirstColumn="0" w:firstRowLastColumn="0" w:lastRowFirstColumn="0" w:lastRowLastColumn="0"/>
            <w:tcW w:w="1134" w:type="dxa"/>
          </w:tcPr>
          <w:p w14:paraId="6D6171BE" w14:textId="77777777" w:rsidR="00DC39A7" w:rsidRPr="009473AB" w:rsidRDefault="00DC39A7">
            <w:pPr>
              <w:pStyle w:val="TableTextLeft"/>
              <w:rPr>
                <w:sz w:val="20"/>
              </w:rPr>
            </w:pPr>
            <w:r w:rsidRPr="009473AB">
              <w:rPr>
                <w:sz w:val="20"/>
              </w:rPr>
              <w:t>3.0</w:t>
            </w:r>
          </w:p>
        </w:tc>
        <w:tc>
          <w:tcPr>
            <w:tcW w:w="6521" w:type="dxa"/>
          </w:tcPr>
          <w:p w14:paraId="4E55713F" w14:textId="77777777" w:rsidR="00DC39A7" w:rsidRPr="00135DB2" w:rsidRDefault="00DC39A7">
            <w:pPr>
              <w:spacing w:before="40" w:after="40"/>
              <w:cnfStyle w:val="000000000000" w:firstRow="0" w:lastRow="0" w:firstColumn="0" w:lastColumn="0" w:oddVBand="0" w:evenVBand="0" w:oddHBand="0" w:evenHBand="0" w:firstRowFirstColumn="0" w:firstRowLastColumn="0" w:lastRowFirstColumn="0" w:lastRowLastColumn="0"/>
              <w:rPr>
                <w:b w:val="0"/>
                <w:bCs w:val="0"/>
              </w:rPr>
            </w:pPr>
            <w:r w:rsidRPr="00135DB2">
              <w:rPr>
                <w:b w:val="0"/>
                <w:bCs w:val="0"/>
              </w:rPr>
              <w:t>Introduced amendments to make this document easier to use, including, without limitation, changes to:</w:t>
            </w:r>
          </w:p>
          <w:p w14:paraId="3EE65507" w14:textId="77777777" w:rsidR="00DC39A7" w:rsidRPr="00135DB2" w:rsidRDefault="00DC39A7" w:rsidP="006C4A9E">
            <w:pPr>
              <w:pStyle w:val="ListParagraph"/>
              <w:numPr>
                <w:ilvl w:val="0"/>
                <w:numId w:val="13"/>
              </w:numPr>
              <w:spacing w:before="40" w:after="40" w:line="220" w:lineRule="atLeast"/>
              <w:ind w:right="113"/>
              <w:cnfStyle w:val="000000000000" w:firstRow="0" w:lastRow="0" w:firstColumn="0" w:lastColumn="0" w:oddVBand="0" w:evenVBand="0" w:oddHBand="0" w:evenHBand="0" w:firstRowFirstColumn="0" w:firstRowLastColumn="0" w:lastRowFirstColumn="0" w:lastRowLastColumn="0"/>
              <w:rPr>
                <w:b w:val="0"/>
                <w:bCs w:val="0"/>
              </w:rPr>
            </w:pPr>
            <w:r w:rsidRPr="00135DB2">
              <w:rPr>
                <w:b w:val="0"/>
                <w:bCs w:val="0"/>
              </w:rPr>
              <w:t>allow for a single project to include multiple essentially identical upgrades at multiple essentially identical premises</w:t>
            </w:r>
          </w:p>
          <w:p w14:paraId="2558D0E6" w14:textId="77777777" w:rsidR="00DC39A7" w:rsidRPr="00135DB2" w:rsidRDefault="00DC39A7" w:rsidP="006C4A9E">
            <w:pPr>
              <w:pStyle w:val="ListParagraph"/>
              <w:numPr>
                <w:ilvl w:val="0"/>
                <w:numId w:val="13"/>
              </w:numPr>
              <w:spacing w:before="40" w:after="40" w:line="220" w:lineRule="atLeast"/>
              <w:ind w:right="113"/>
              <w:cnfStyle w:val="000000000000" w:firstRow="0" w:lastRow="0" w:firstColumn="0" w:lastColumn="0" w:oddVBand="0" w:evenVBand="0" w:oddHBand="0" w:evenHBand="0" w:firstRowFirstColumn="0" w:firstRowLastColumn="0" w:lastRowFirstColumn="0" w:lastRowLastColumn="0"/>
              <w:rPr>
                <w:b w:val="0"/>
                <w:bCs w:val="0"/>
              </w:rPr>
            </w:pPr>
            <w:r w:rsidRPr="00135DB2">
              <w:rPr>
                <w:b w:val="0"/>
                <w:bCs w:val="0"/>
              </w:rPr>
              <w:t>the use of non-uniform utility data</w:t>
            </w:r>
          </w:p>
          <w:p w14:paraId="1DEDBD81" w14:textId="77777777" w:rsidR="00DC39A7" w:rsidRPr="00135DB2" w:rsidRDefault="00DC39A7" w:rsidP="006C4A9E">
            <w:pPr>
              <w:pStyle w:val="ListParagraph"/>
              <w:numPr>
                <w:ilvl w:val="0"/>
                <w:numId w:val="13"/>
              </w:numPr>
              <w:spacing w:before="40" w:after="40" w:line="220" w:lineRule="atLeast"/>
              <w:ind w:right="113"/>
              <w:cnfStyle w:val="000000000000" w:firstRow="0" w:lastRow="0" w:firstColumn="0" w:lastColumn="0" w:oddVBand="0" w:evenVBand="0" w:oddHBand="0" w:evenHBand="0" w:firstRowFirstColumn="0" w:firstRowLastColumn="0" w:lastRowFirstColumn="0" w:lastRowLastColumn="0"/>
              <w:rPr>
                <w:b w:val="0"/>
                <w:bCs w:val="0"/>
              </w:rPr>
            </w:pPr>
            <w:r w:rsidRPr="00135DB2">
              <w:rPr>
                <w:b w:val="0"/>
                <w:bCs w:val="0"/>
              </w:rPr>
              <w:t>the use of different measurement frequencies for different measurement boundaries</w:t>
            </w:r>
          </w:p>
          <w:p w14:paraId="14C8FAF0" w14:textId="4B01C4F5" w:rsidR="00DC39A7" w:rsidRPr="00135DB2" w:rsidRDefault="00DC39A7" w:rsidP="006C4A9E">
            <w:pPr>
              <w:pStyle w:val="ListParagraph"/>
              <w:numPr>
                <w:ilvl w:val="0"/>
                <w:numId w:val="13"/>
              </w:numPr>
              <w:spacing w:before="40" w:after="40" w:line="220" w:lineRule="atLeast"/>
              <w:ind w:right="113"/>
              <w:cnfStyle w:val="000000000000" w:firstRow="0" w:lastRow="0" w:firstColumn="0" w:lastColumn="0" w:oddVBand="0" w:evenVBand="0" w:oddHBand="0" w:evenHBand="0" w:firstRowFirstColumn="0" w:firstRowLastColumn="0" w:lastRowFirstColumn="0" w:lastRowLastColumn="0"/>
              <w:rPr>
                <w:b w:val="0"/>
                <w:bCs w:val="0"/>
              </w:rPr>
            </w:pPr>
            <w:r w:rsidRPr="00135DB2">
              <w:rPr>
                <w:b w:val="0"/>
                <w:bCs w:val="0"/>
              </w:rPr>
              <w:t>enabling multiple methods of certificate creation as appropriate for each measurement boundary.</w:t>
            </w:r>
          </w:p>
        </w:tc>
        <w:tc>
          <w:tcPr>
            <w:tcW w:w="1984" w:type="dxa"/>
          </w:tcPr>
          <w:p w14:paraId="7D4F7A43" w14:textId="77777777" w:rsidR="00DC39A7" w:rsidRPr="00135DB2" w:rsidRDefault="00DC39A7">
            <w:pPr>
              <w:pStyle w:val="TableTextLeft"/>
              <w:cnfStyle w:val="000000000000" w:firstRow="0" w:lastRow="0" w:firstColumn="0" w:lastColumn="0" w:oddVBand="0" w:evenVBand="0" w:oddHBand="0" w:evenHBand="0" w:firstRowFirstColumn="0" w:firstRowLastColumn="0" w:lastRowFirstColumn="0" w:lastRowLastColumn="0"/>
              <w:rPr>
                <w:b w:val="0"/>
                <w:bCs w:val="0"/>
                <w:sz w:val="20"/>
              </w:rPr>
            </w:pPr>
            <w:r w:rsidRPr="00135DB2">
              <w:rPr>
                <w:b w:val="0"/>
                <w:bCs w:val="0"/>
                <w:sz w:val="20"/>
              </w:rPr>
              <w:t>12 September 2019</w:t>
            </w:r>
          </w:p>
        </w:tc>
      </w:tr>
      <w:tr w:rsidR="00DC39A7" w14:paraId="0D24C38D" w14:textId="77777777" w:rsidTr="00135DB2">
        <w:tc>
          <w:tcPr>
            <w:cnfStyle w:val="001000000000" w:firstRow="0" w:lastRow="0" w:firstColumn="1" w:lastColumn="0" w:oddVBand="0" w:evenVBand="0" w:oddHBand="0" w:evenHBand="0" w:firstRowFirstColumn="0" w:firstRowLastColumn="0" w:lastRowFirstColumn="0" w:lastRowLastColumn="0"/>
            <w:tcW w:w="1134" w:type="dxa"/>
          </w:tcPr>
          <w:p w14:paraId="744FB3FF" w14:textId="77777777" w:rsidR="00DC39A7" w:rsidRPr="009473AB" w:rsidRDefault="00DC39A7">
            <w:pPr>
              <w:pStyle w:val="TableTextLeft"/>
              <w:rPr>
                <w:sz w:val="20"/>
              </w:rPr>
            </w:pPr>
            <w:r w:rsidRPr="009473AB">
              <w:rPr>
                <w:sz w:val="20"/>
              </w:rPr>
              <w:t>2.0</w:t>
            </w:r>
          </w:p>
        </w:tc>
        <w:tc>
          <w:tcPr>
            <w:tcW w:w="6521" w:type="dxa"/>
          </w:tcPr>
          <w:p w14:paraId="30B93440" w14:textId="77777777" w:rsidR="00DC39A7" w:rsidRPr="00135DB2" w:rsidRDefault="00DC39A7">
            <w:pPr>
              <w:pStyle w:val="TableTextLeft"/>
              <w:cnfStyle w:val="000000000000" w:firstRow="0" w:lastRow="0" w:firstColumn="0" w:lastColumn="0" w:oddVBand="0" w:evenVBand="0" w:oddHBand="0" w:evenHBand="0" w:firstRowFirstColumn="0" w:firstRowLastColumn="0" w:lastRowFirstColumn="0" w:lastRowLastColumn="0"/>
              <w:rPr>
                <w:b w:val="0"/>
                <w:bCs w:val="0"/>
                <w:sz w:val="20"/>
              </w:rPr>
            </w:pPr>
            <w:r w:rsidRPr="00135DB2">
              <w:rPr>
                <w:b w:val="0"/>
                <w:bCs w:val="0"/>
                <w:sz w:val="20"/>
              </w:rPr>
              <w:t>Revised to align with the introduction of the Victorian Energy Efficient Target Regulations 2018.</w:t>
            </w:r>
          </w:p>
        </w:tc>
        <w:tc>
          <w:tcPr>
            <w:tcW w:w="1984" w:type="dxa"/>
          </w:tcPr>
          <w:p w14:paraId="4C164368" w14:textId="77777777" w:rsidR="00DC39A7" w:rsidRPr="00135DB2" w:rsidRDefault="00DC39A7">
            <w:pPr>
              <w:pStyle w:val="TableTextLeft"/>
              <w:cnfStyle w:val="000000000000" w:firstRow="0" w:lastRow="0" w:firstColumn="0" w:lastColumn="0" w:oddVBand="0" w:evenVBand="0" w:oddHBand="0" w:evenHBand="0" w:firstRowFirstColumn="0" w:firstRowLastColumn="0" w:lastRowFirstColumn="0" w:lastRowLastColumn="0"/>
              <w:rPr>
                <w:b w:val="0"/>
                <w:bCs w:val="0"/>
                <w:sz w:val="20"/>
              </w:rPr>
            </w:pPr>
            <w:r w:rsidRPr="00135DB2">
              <w:rPr>
                <w:b w:val="0"/>
                <w:bCs w:val="0"/>
                <w:sz w:val="20"/>
              </w:rPr>
              <w:t>10 December 2018</w:t>
            </w:r>
          </w:p>
        </w:tc>
      </w:tr>
      <w:tr w:rsidR="00DC39A7" w14:paraId="22E1F174" w14:textId="77777777" w:rsidTr="00135DB2">
        <w:tc>
          <w:tcPr>
            <w:cnfStyle w:val="001000000000" w:firstRow="0" w:lastRow="0" w:firstColumn="1" w:lastColumn="0" w:oddVBand="0" w:evenVBand="0" w:oddHBand="0" w:evenHBand="0" w:firstRowFirstColumn="0" w:firstRowLastColumn="0" w:lastRowFirstColumn="0" w:lastRowLastColumn="0"/>
            <w:tcW w:w="1134" w:type="dxa"/>
          </w:tcPr>
          <w:p w14:paraId="566EB8BC" w14:textId="77777777" w:rsidR="00DC39A7" w:rsidRPr="009473AB" w:rsidRDefault="00DC39A7">
            <w:pPr>
              <w:pStyle w:val="TableTextLeft"/>
              <w:rPr>
                <w:sz w:val="20"/>
              </w:rPr>
            </w:pPr>
            <w:r w:rsidRPr="009473AB">
              <w:rPr>
                <w:sz w:val="20"/>
              </w:rPr>
              <w:t>1.0</w:t>
            </w:r>
          </w:p>
        </w:tc>
        <w:tc>
          <w:tcPr>
            <w:tcW w:w="6521" w:type="dxa"/>
          </w:tcPr>
          <w:p w14:paraId="70B1ED32" w14:textId="366F0060" w:rsidR="00DC39A7" w:rsidRPr="00135DB2" w:rsidRDefault="00DC39A7">
            <w:pPr>
              <w:pStyle w:val="TableTextLeft"/>
              <w:cnfStyle w:val="000000000000" w:firstRow="0" w:lastRow="0" w:firstColumn="0" w:lastColumn="0" w:oddVBand="0" w:evenVBand="0" w:oddHBand="0" w:evenHBand="0" w:firstRowFirstColumn="0" w:firstRowLastColumn="0" w:lastRowFirstColumn="0" w:lastRowLastColumn="0"/>
              <w:rPr>
                <w:b w:val="0"/>
                <w:bCs w:val="0"/>
                <w:sz w:val="20"/>
              </w:rPr>
            </w:pPr>
            <w:r w:rsidRPr="00135DB2">
              <w:rPr>
                <w:b w:val="0"/>
                <w:bCs w:val="0"/>
                <w:sz w:val="20"/>
              </w:rPr>
              <w:t>Secretary approved</w:t>
            </w:r>
            <w:r w:rsidR="00184B3D" w:rsidRPr="00135DB2">
              <w:rPr>
                <w:b w:val="0"/>
                <w:bCs w:val="0"/>
                <w:sz w:val="20"/>
              </w:rPr>
              <w:t>.</w:t>
            </w:r>
          </w:p>
        </w:tc>
        <w:tc>
          <w:tcPr>
            <w:tcW w:w="1984" w:type="dxa"/>
          </w:tcPr>
          <w:p w14:paraId="74E57C64" w14:textId="7E8C433D" w:rsidR="00E7774B" w:rsidRPr="00135DB2" w:rsidRDefault="00DC39A7">
            <w:pPr>
              <w:pStyle w:val="TableTextLeft"/>
              <w:cnfStyle w:val="000000000000" w:firstRow="0" w:lastRow="0" w:firstColumn="0" w:lastColumn="0" w:oddVBand="0" w:evenVBand="0" w:oddHBand="0" w:evenHBand="0" w:firstRowFirstColumn="0" w:firstRowLastColumn="0" w:lastRowFirstColumn="0" w:lastRowLastColumn="0"/>
              <w:rPr>
                <w:b w:val="0"/>
                <w:bCs w:val="0"/>
                <w:sz w:val="20"/>
              </w:rPr>
            </w:pPr>
            <w:r w:rsidRPr="00135DB2">
              <w:rPr>
                <w:b w:val="0"/>
                <w:bCs w:val="0"/>
                <w:sz w:val="20"/>
              </w:rPr>
              <w:t>19 June 2017</w:t>
            </w:r>
          </w:p>
        </w:tc>
      </w:tr>
    </w:tbl>
    <w:p w14:paraId="0AC7CCB6" w14:textId="77777777" w:rsidR="00E40839" w:rsidRDefault="00E40839">
      <w:r>
        <w:br w:type="page"/>
      </w:r>
    </w:p>
    <w:p w14:paraId="3AAA0E54" w14:textId="216A6C41" w:rsidR="007A450F" w:rsidRDefault="007A450F" w:rsidP="00DC39A7">
      <w:pPr>
        <w:pStyle w:val="DisclaimerText"/>
        <w:framePr w:wrap="around" w:vAnchor="page" w:hAnchor="page" w:x="765" w:y="8701"/>
        <w:rPr>
          <w:noProof/>
        </w:rPr>
      </w:pPr>
    </w:p>
    <w:p w14:paraId="7C7721C5" w14:textId="77777777" w:rsidR="00DC39A7" w:rsidRDefault="00DC39A7" w:rsidP="00DC39A7">
      <w:pPr>
        <w:pStyle w:val="DisclaimerText"/>
        <w:framePr w:wrap="around" w:vAnchor="page" w:hAnchor="page" w:x="765" w:y="8701"/>
      </w:pPr>
      <w:r>
        <w:rPr>
          <w:noProof/>
        </w:rPr>
        <mc:AlternateContent>
          <mc:Choice Requires="wps">
            <w:drawing>
              <wp:inline distT="0" distB="0" distL="0" distR="0" wp14:anchorId="0905C660" wp14:editId="3D980BB2">
                <wp:extent cx="4512215" cy="1476000"/>
                <wp:effectExtent l="0" t="0" r="3175" b="0"/>
                <wp:docPr id="442537190" name="Acknowledgement" descr="We acknowledge and respect Victorian Traditional Owners as the original custodians of Victoria’s land and waters, their unique ability to care for Country and deep spiritual connection to it.&#10;We honour Elders past and present whose knowledge and wisdom has ensured the continuation of culture and traditional practices.&#10;The Department of Energy, Environment and Climate Action is committed to genuinely partnering with Victorian Traditional Owners and Victoria’s Aboriginal community to progress their aspiration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512215" cy="1476000"/>
                        </a:xfrm>
                        <a:custGeom>
                          <a:avLst/>
                          <a:gdLst>
                            <a:gd name="connsiteX0" fmla="*/ 0 w 3389661"/>
                            <a:gd name="connsiteY0" fmla="*/ 1106043 h 1106043"/>
                            <a:gd name="connsiteX1" fmla="*/ 0 w 3389661"/>
                            <a:gd name="connsiteY1" fmla="*/ 0 h 1106043"/>
                            <a:gd name="connsiteX2" fmla="*/ 3389662 w 3389661"/>
                            <a:gd name="connsiteY2" fmla="*/ 0 h 1106043"/>
                            <a:gd name="connsiteX3" fmla="*/ 2866835 w 3389661"/>
                            <a:gd name="connsiteY3" fmla="*/ 1106043 h 1106043"/>
                            <a:gd name="connsiteX4" fmla="*/ 0 w 3389661"/>
                            <a:gd name="connsiteY4" fmla="*/ 1106043 h 110604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389661" h="1106043">
                              <a:moveTo>
                                <a:pt x="0" y="1106043"/>
                              </a:moveTo>
                              <a:lnTo>
                                <a:pt x="0" y="0"/>
                              </a:lnTo>
                              <a:lnTo>
                                <a:pt x="3389662" y="0"/>
                              </a:lnTo>
                              <a:lnTo>
                                <a:pt x="2866835" y="1106043"/>
                              </a:lnTo>
                              <a:lnTo>
                                <a:pt x="0" y="1106043"/>
                              </a:lnTo>
                              <a:close/>
                            </a:path>
                          </a:pathLst>
                        </a:custGeom>
                        <a:solidFill>
                          <a:schemeClr val="tx2"/>
                        </a:solidFill>
                        <a:ln w="9525" cap="flat">
                          <a:noFill/>
                          <a:prstDash val="solid"/>
                          <a:miter/>
                        </a:ln>
                      </wps:spPr>
                      <wps:txbx>
                        <w:txbxContent>
                          <w:p w14:paraId="50017CF8" w14:textId="77777777" w:rsidR="00DC39A7" w:rsidRDefault="00DC39A7" w:rsidP="00DC39A7">
                            <w:pPr>
                              <w:pStyle w:val="SmallBodyText"/>
                            </w:pPr>
                            <w:r>
                              <w:t>We acknowledge and respect Victorian Traditional Owners as the original custodians of Victoria’s land and waters, their unique ability to care for Country and deep spiritual connection to it.</w:t>
                            </w:r>
                          </w:p>
                          <w:p w14:paraId="64241C4B" w14:textId="77777777" w:rsidR="00DC39A7" w:rsidRDefault="00DC39A7" w:rsidP="00DC39A7">
                            <w:pPr>
                              <w:pStyle w:val="SmallBodyText"/>
                            </w:pPr>
                            <w:r>
                              <w:t xml:space="preserve">We honour Elders past and present whose knowledge and wisdom </w:t>
                            </w:r>
                            <w:r>
                              <w:br/>
                              <w:t>has ensured the continuation of culture and traditional practices.</w:t>
                            </w:r>
                          </w:p>
                          <w:p w14:paraId="585E6028" w14:textId="77777777" w:rsidR="00DC39A7" w:rsidRDefault="00DC39A7" w:rsidP="00DC39A7">
                            <w:pPr>
                              <w:pStyle w:val="SmallBodyText"/>
                            </w:pPr>
                            <w:r>
                              <w:t>DEECA is committed to genuinely partnering with Victorian Traditional Owners and Victoria’s Aboriginal community to progress their aspirations.</w:t>
                            </w:r>
                          </w:p>
                        </w:txbxContent>
                      </wps:txbx>
                      <wps:bodyPr rot="0" spcFirstLastPara="0" vertOverflow="overflow" horzOverflow="overflow" vert="horz" wrap="square" lIns="180000" tIns="90000" rIns="504000" bIns="108000" numCol="1" spcCol="0" rtlCol="0" fromWordArt="0" anchor="t" anchorCtr="0" forceAA="0" compatLnSpc="1">
                        <a:prstTxWarp prst="textNoShape">
                          <a:avLst/>
                        </a:prstTxWarp>
                        <a:noAutofit/>
                      </wps:bodyPr>
                    </wps:wsp>
                  </a:graphicData>
                </a:graphic>
              </wp:inline>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w:pict w14:anchorId="36F8883C">
              <v:shape id="Acknowledgement" style="width:355.3pt;height:116.2pt;visibility:visible;mso-wrap-style:square;mso-left-percent:-10001;mso-top-percent:-10001;mso-position-horizontal:absolute;mso-position-horizontal-relative:char;mso-position-vertical:absolute;mso-position-vertical-relative:line;mso-left-percent:-10001;mso-top-percent:-10001;v-text-anchor:top" alt="We acknowledge and respect Victorian Traditional Owners as the original custodians of Victoria’s land and waters, their unique ability to care for Country and deep spiritual connection to it.&#10;We honour Elders past and present whose knowledge and wisdom has ensured the continuation of culture and traditional practices.&#10;The Department of Energy, Environment and Climate Action is committed to genuinely partnering with Victorian Traditional Owners and Victoria’s Aboriginal community to progress their aspirations." coordsize="3389661,1106043" o:spid="_x0000_s1026" fillcolor="#201547 [3215]" stroked="f" o:spt="100" adj="-11796480,,5400" path="m,1106043l,,3389662,,2866835,1106043,,110604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" w14:anchorId="0905C660">
                <v:stroke joinstyle="miter"/>
                <v:formulas/>
                <v:path textboxrect="0,0,3389661,1106043" arrowok="t" o:connecttype="custom" o:connectlocs="0,1476000;0,0;4512216,0;3816245,1476000;0,1476000" o:connectangles="0,0,0,0,0"/>
                <o:lock v:ext="edit" aspectratio="t"/>
                <v:textbox inset="5mm,2.5mm,14mm,3mm">
                  <w:txbxContent>
                    <w:p w:rsidR="00DC39A7" w:rsidP="00DC39A7" w:rsidRDefault="00DC39A7" w14:paraId="3455E10F" w14:textId="77777777">
                      <w:pPr>
                        <w:pStyle w:val="SmallBodyText"/>
                      </w:pPr>
                      <w:r>
                        <w:t>We acknowledge and respect Victorian Traditional Owners as the original custodians of Victoria’s land and waters, their unique ability to care for Country and deep spiritual connection to it.</w:t>
                      </w:r>
                    </w:p>
                    <w:p w:rsidR="00DC39A7" w:rsidP="00DC39A7" w:rsidRDefault="00DC39A7" w14:paraId="75E5A979" w14:textId="77777777">
                      <w:pPr>
                        <w:pStyle w:val="SmallBodyText"/>
                      </w:pPr>
                      <w:r>
                        <w:t xml:space="preserve">We honour Elders past and present whose knowledge and wisdom </w:t>
                      </w:r>
                      <w:r>
                        <w:br/>
                      </w:r>
                      <w:r>
                        <w:t>has ensured the continuation of culture and traditional practices.</w:t>
                      </w:r>
                    </w:p>
                    <w:p w:rsidR="00DC39A7" w:rsidP="00DC39A7" w:rsidRDefault="00DC39A7" w14:paraId="7E68AFF6" w14:textId="77777777">
                      <w:pPr>
                        <w:pStyle w:val="SmallBodyText"/>
                      </w:pPr>
                      <w:r>
                        <w:t>DEECA is committed to genuinely partnering with Victorian Traditional Owners and Victoria’s Aboriginal community to progress their aspirations.</w:t>
                      </w:r>
                    </w:p>
                  </w:txbxContent>
                </v:textbox>
                <w10:anchorlock/>
              </v:shape>
            </w:pict>
          </mc:Fallback>
        </mc:AlternateContent>
      </w:r>
      <w:r w:rsidRPr="00A1582B">
        <w:rPr>
          <w:noProof/>
        </w:rPr>
        <w:t xml:space="preserve"> </w:t>
      </w:r>
      <w:r>
        <w:rPr>
          <w:noProof/>
        </w:rPr>
        <w:drawing>
          <wp:anchor distT="0" distB="0" distL="114300" distR="114300" simplePos="0" relativeHeight="251658243" behindDoc="1" locked="1" layoutInCell="1" allowOverlap="1" wp14:anchorId="0D0575B2" wp14:editId="2580F2D3">
            <wp:simplePos x="0" y="0"/>
            <wp:positionH relativeFrom="margin">
              <wp:align>right</wp:align>
            </wp:positionH>
            <wp:positionV relativeFrom="paragraph">
              <wp:posOffset>0</wp:posOffset>
            </wp:positionV>
            <wp:extent cx="2296800" cy="1476000"/>
            <wp:effectExtent l="0" t="0" r="8255" b="0"/>
            <wp:wrapNone/>
            <wp:docPr id="586356646" name="Acknowledgement Artwor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Acknowledgement Artwork">
                      <a:extLst>
                        <a:ext uri="{C183D7F6-B498-43B3-948B-1728B52AA6E4}">
                          <adec:decorative xmlns:adec="http://schemas.microsoft.com/office/drawing/2017/decorative" val="1"/>
                        </a:ext>
                      </a:extLst>
                    </pic:cNvPr>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296800" cy="1476000"/>
                    </a:xfrm>
                    <a:prstGeom prst="rect">
                      <a:avLst/>
                    </a:prstGeom>
                  </pic:spPr>
                </pic:pic>
              </a:graphicData>
            </a:graphic>
            <wp14:sizeRelH relativeFrom="page">
              <wp14:pctWidth>0</wp14:pctWidth>
            </wp14:sizeRelH>
            <wp14:sizeRelV relativeFrom="page">
              <wp14:pctHeight>0</wp14:pctHeight>
            </wp14:sizeRelV>
          </wp:anchor>
        </w:drawing>
      </w:r>
    </w:p>
    <w:p w14:paraId="01578F96" w14:textId="591390E5" w:rsidR="00DC39A7" w:rsidRPr="006614E4" w:rsidRDefault="00DC39A7" w:rsidP="00DC39A7">
      <w:pPr>
        <w:pStyle w:val="DisclaimerTextLeft"/>
        <w:framePr w:wrap="around" w:vAnchor="page" w:hAnchor="page" w:x="765" w:y="8701"/>
      </w:pPr>
      <w:r w:rsidRPr="00576720">
        <w:t xml:space="preserve">© The State </w:t>
      </w:r>
      <w:r w:rsidRPr="006614E4">
        <w:t xml:space="preserve">of Victoria Department of </w:t>
      </w:r>
      <w:r>
        <w:t xml:space="preserve">Energy, </w:t>
      </w:r>
      <w:r w:rsidRPr="006614E4">
        <w:t>Environment</w:t>
      </w:r>
      <w:r>
        <w:t xml:space="preserve"> a</w:t>
      </w:r>
      <w:r w:rsidRPr="006614E4">
        <w:t xml:space="preserve">nd </w:t>
      </w:r>
      <w:r>
        <w:t>Climate Actio</w:t>
      </w:r>
      <w:r w:rsidR="007B7F0A">
        <w:t xml:space="preserve">n </w:t>
      </w:r>
      <w:r w:rsidR="00C710AE" w:rsidRPr="00952212">
        <w:t>September 2026</w:t>
      </w:r>
      <w:r w:rsidRPr="00952212">
        <w:t>.</w:t>
      </w:r>
    </w:p>
    <w:p w14:paraId="172C1B47" w14:textId="77777777" w:rsidR="00DC39A7" w:rsidRPr="00C87F39" w:rsidRDefault="00DC39A7" w:rsidP="00DC39A7">
      <w:pPr>
        <w:pStyle w:val="DisclaimerTextLeftBold"/>
        <w:framePr w:wrap="around" w:vAnchor="page" w:hAnchor="page" w:x="765" w:y="8701"/>
      </w:pPr>
      <w:r w:rsidRPr="00C87F39">
        <w:t>Creative Commons</w:t>
      </w:r>
    </w:p>
    <w:p w14:paraId="121F2599" w14:textId="77777777" w:rsidR="00DC39A7" w:rsidRPr="00973D7E" w:rsidRDefault="00DC39A7" w:rsidP="00DC39A7">
      <w:pPr>
        <w:pStyle w:val="DisclaimerTextLeft"/>
        <w:framePr w:wrap="around" w:vAnchor="page" w:hAnchor="page" w:x="765" w:y="8701"/>
        <w:rPr>
          <w:rFonts w:ascii="Arial Bold" w:hAnsi="Arial Bold"/>
        </w:rPr>
      </w:pPr>
      <w:r w:rsidRPr="00973D7E">
        <w:t xml:space="preserve">This work is licensed under a Creative Commons Attribution 4.0 International licence, visit the </w:t>
      </w:r>
      <w:hyperlink r:id="rId30" w:tooltip="Creative Commons website" w:history="1">
        <w:r w:rsidRPr="00973D7E">
          <w:rPr>
            <w:rStyle w:val="Hyperlink"/>
            <w:color w:val="232222" w:themeColor="text1"/>
          </w:rPr>
          <w:t>Creative Commons website</w:t>
        </w:r>
      </w:hyperlink>
      <w:r w:rsidRPr="00973D7E">
        <w:t xml:space="preserve"> (</w:t>
      </w:r>
      <w:hyperlink r:id="rId31" w:history="1">
        <w:r w:rsidRPr="00973D7E">
          <w:rPr>
            <w:rStyle w:val="Hyperlink"/>
            <w:color w:val="232222" w:themeColor="text1"/>
            <w:u w:val="none"/>
          </w:rPr>
          <w:t>http://creativecommons.org/licenses/by/4.0/</w:t>
        </w:r>
      </w:hyperlink>
      <w:r w:rsidRPr="00973D7E">
        <w:t>).</w:t>
      </w:r>
    </w:p>
    <w:p w14:paraId="4FF22367" w14:textId="77777777" w:rsidR="00DC39A7" w:rsidRPr="00973D7E" w:rsidRDefault="00DC39A7" w:rsidP="00DC39A7">
      <w:pPr>
        <w:pStyle w:val="DisclaimerTextLeft"/>
        <w:framePr w:wrap="around" w:vAnchor="page" w:hAnchor="page" w:x="765" w:y="8701"/>
        <w:rPr>
          <w:strike/>
        </w:rPr>
      </w:pPr>
      <w:r w:rsidRPr="00973D7E">
        <w:t>You are free to re-use the work under that licence, on the condition that you credit the State of Victoria as author. The licence does not apply to any images, photographs or branding, including the Victorian Coat of Arms, and the Victorian Government and Department logos.</w:t>
      </w:r>
    </w:p>
    <w:p w14:paraId="17450D2F" w14:textId="77777777" w:rsidR="00DC39A7" w:rsidRPr="00C87F39" w:rsidRDefault="00DC39A7" w:rsidP="00DC39A7">
      <w:pPr>
        <w:pStyle w:val="DisclaimerTextRightBold"/>
        <w:framePr w:wrap="around" w:vAnchor="page" w:hAnchor="page" w:x="765" w:y="8701"/>
      </w:pPr>
      <w:r w:rsidRPr="00C87F39">
        <w:t>Disclaimer</w:t>
      </w:r>
    </w:p>
    <w:p w14:paraId="4F178F4D" w14:textId="77777777" w:rsidR="00DC39A7" w:rsidRPr="006614E4" w:rsidRDefault="00DC39A7" w:rsidP="00DC39A7">
      <w:pPr>
        <w:pStyle w:val="DisclaimerTextRight"/>
        <w:framePr w:wrap="around" w:vAnchor="page" w:hAnchor="page" w:x="765" w:y="8701"/>
      </w:pPr>
      <w:r w:rsidRPr="006614E4">
        <w:t xml:space="preserve">This </w:t>
      </w:r>
      <w:r w:rsidRPr="00CB1C0B">
        <w:t>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r w:rsidRPr="006614E4">
        <w:t>.</w:t>
      </w:r>
    </w:p>
    <w:p w14:paraId="55E164E6" w14:textId="77777777" w:rsidR="00DC39A7" w:rsidRPr="00F15EE0" w:rsidRDefault="00DC39A7" w:rsidP="00DC39A7">
      <w:pPr>
        <w:pStyle w:val="DisclaimerTextRightBold12pt"/>
        <w:framePr w:wrap="around" w:vAnchor="page" w:hAnchor="page" w:x="765" w:y="8701"/>
      </w:pPr>
      <w:r w:rsidRPr="00F15EE0">
        <w:t>Accessibility</w:t>
      </w:r>
    </w:p>
    <w:p w14:paraId="42E8A2EC" w14:textId="509B4425" w:rsidR="00DC39A7" w:rsidRPr="000B497E" w:rsidRDefault="00DC39A7" w:rsidP="00DC39A7">
      <w:pPr>
        <w:pStyle w:val="DisclaimerTextRight12pt"/>
        <w:framePr w:wrap="around" w:vAnchor="page" w:hAnchor="page" w:x="765" w:y="8701"/>
      </w:pPr>
      <w:r w:rsidRPr="00CB1C0B">
        <w:t xml:space="preserve">To receive this document in an alternative format, phone the Customer Service Centre on 136 186, email </w:t>
      </w:r>
      <w:hyperlink r:id="rId32" w:history="1">
        <w:r w:rsidR="00A7305A" w:rsidRPr="004A2609">
          <w:rPr>
            <w:rStyle w:val="Hyperlink"/>
            <w:szCs w:val="24"/>
          </w:rPr>
          <w:t>customer.service@deeca.vic.gov.au</w:t>
        </w:r>
      </w:hyperlink>
      <w:r w:rsidRPr="00CB1C0B">
        <w:t>, or contact National Relay Service on 133 677. Available at</w:t>
      </w:r>
      <w:r w:rsidR="00C710AE">
        <w:t xml:space="preserve"> the</w:t>
      </w:r>
      <w:r w:rsidRPr="00CB1C0B">
        <w:t xml:space="preserve"> </w:t>
      </w:r>
      <w:hyperlink r:id="rId33" w:tooltip="Department of Energy, Environment and Climate Action website" w:history="1">
        <w:r w:rsidRPr="00CB1C0B">
          <w:rPr>
            <w:rStyle w:val="Hyperlink"/>
            <w:color w:val="232222" w:themeColor="text1"/>
            <w:szCs w:val="24"/>
          </w:rPr>
          <w:t>DEECA website</w:t>
        </w:r>
      </w:hyperlink>
      <w:r w:rsidRPr="00CB1C0B">
        <w:t xml:space="preserve"> (www.deeca.vic.gov.au)</w:t>
      </w:r>
      <w:r w:rsidRPr="000B497E">
        <w:t>.</w:t>
      </w:r>
      <w:r>
        <w:t xml:space="preserve"> </w:t>
      </w:r>
    </w:p>
    <w:p w14:paraId="71BF09A1" w14:textId="77777777" w:rsidR="00DC39A7" w:rsidRDefault="00DC39A7" w:rsidP="00474212">
      <w:pPr>
        <w:pStyle w:val="TOCHeading"/>
        <w:sectPr w:rsidR="00DC39A7">
          <w:pgSz w:w="11907" w:h="16839" w:code="9"/>
          <w:pgMar w:top="737" w:right="850" w:bottom="850" w:left="850" w:header="283" w:footer="283" w:gutter="0"/>
          <w:cols w:space="454"/>
          <w:noEndnote/>
          <w:docGrid w:linePitch="360"/>
        </w:sectPr>
      </w:pPr>
    </w:p>
    <w:p w14:paraId="2F6DF886" w14:textId="77777777" w:rsidR="00233D6B" w:rsidRPr="00F7242A" w:rsidRDefault="00233D6B" w:rsidP="00474212">
      <w:pPr>
        <w:pStyle w:val="TOCHeading"/>
      </w:pPr>
      <w:r w:rsidRPr="00474212">
        <w:lastRenderedPageBreak/>
        <w:t>Contents</w:t>
      </w:r>
      <w:bookmarkStart w:id="1" w:name="_TOCMarker"/>
      <w:bookmarkEnd w:id="1"/>
    </w:p>
    <w:p w14:paraId="3A02EE23" w14:textId="464C6C6D" w:rsidR="00BD6A34" w:rsidRDefault="00F13427">
      <w:pPr>
        <w:pStyle w:val="TOC1"/>
        <w:tabs>
          <w:tab w:val="left" w:pos="454"/>
        </w:tabs>
        <w:rPr>
          <w:rFonts w:eastAsiaTheme="minorEastAsia" w:cstheme="minorBidi"/>
          <w:b w:val="0"/>
          <w:color w:val="auto"/>
          <w:kern w:val="2"/>
          <w14:ligatures w14:val="standardContextual"/>
        </w:rPr>
      </w:pPr>
      <w:r>
        <w:fldChar w:fldCharType="begin"/>
      </w:r>
      <w:r>
        <w:instrText>TOC \o "1-1" \z \u \h</w:instrText>
      </w:r>
      <w:r>
        <w:fldChar w:fldCharType="separate"/>
      </w:r>
      <w:hyperlink w:anchor="_Toc239413184" w:history="1">
        <w:r w:rsidR="00BD6A34" w:rsidRPr="0077549B">
          <w:rPr>
            <w:rStyle w:val="Hyperlink"/>
          </w:rPr>
          <w:t>1</w:t>
        </w:r>
        <w:r w:rsidR="00BD6A34">
          <w:rPr>
            <w:rFonts w:eastAsiaTheme="minorEastAsia" w:cstheme="minorBidi"/>
            <w:b w:val="0"/>
            <w:color w:val="auto"/>
            <w:kern w:val="2"/>
            <w14:ligatures w14:val="standardContextual"/>
          </w:rPr>
          <w:tab/>
        </w:r>
        <w:r w:rsidR="00BD6A34" w:rsidRPr="0077549B">
          <w:rPr>
            <w:rStyle w:val="Hyperlink"/>
          </w:rPr>
          <w:t>Introduction</w:t>
        </w:r>
        <w:r w:rsidR="00BD6A34">
          <w:rPr>
            <w:webHidden/>
          </w:rPr>
          <w:tab/>
        </w:r>
        <w:r w:rsidR="00BD6A34">
          <w:rPr>
            <w:webHidden/>
          </w:rPr>
          <w:fldChar w:fldCharType="begin"/>
        </w:r>
        <w:r w:rsidR="00BD6A34">
          <w:rPr>
            <w:webHidden/>
          </w:rPr>
          <w:instrText xml:space="preserve"> PAGEREF _Toc239413184 \h </w:instrText>
        </w:r>
        <w:r w:rsidR="00BD6A34">
          <w:rPr>
            <w:webHidden/>
          </w:rPr>
        </w:r>
        <w:r w:rsidR="00BD6A34">
          <w:rPr>
            <w:webHidden/>
          </w:rPr>
          <w:fldChar w:fldCharType="separate"/>
        </w:r>
        <w:r w:rsidR="00BD6A34">
          <w:rPr>
            <w:webHidden/>
          </w:rPr>
          <w:t>5</w:t>
        </w:r>
        <w:r w:rsidR="00BD6A34">
          <w:rPr>
            <w:webHidden/>
          </w:rPr>
          <w:fldChar w:fldCharType="end"/>
        </w:r>
      </w:hyperlink>
    </w:p>
    <w:p w14:paraId="1D768F61" w14:textId="7E5417FD" w:rsidR="00BD6A34" w:rsidRDefault="00BD6A34">
      <w:pPr>
        <w:pStyle w:val="TOC1"/>
        <w:tabs>
          <w:tab w:val="left" w:pos="454"/>
        </w:tabs>
        <w:rPr>
          <w:rFonts w:eastAsiaTheme="minorEastAsia" w:cstheme="minorBidi"/>
          <w:b w:val="0"/>
          <w:color w:val="auto"/>
          <w:kern w:val="2"/>
          <w14:ligatures w14:val="standardContextual"/>
        </w:rPr>
      </w:pPr>
      <w:hyperlink w:anchor="_Toc239413185" w:history="1">
        <w:r w:rsidRPr="0077549B">
          <w:rPr>
            <w:rStyle w:val="Hyperlink"/>
          </w:rPr>
          <w:t>2</w:t>
        </w:r>
        <w:r>
          <w:rPr>
            <w:rFonts w:eastAsiaTheme="minorEastAsia" w:cstheme="minorBidi"/>
            <w:b w:val="0"/>
            <w:color w:val="auto"/>
            <w:kern w:val="2"/>
            <w14:ligatures w14:val="standardContextual"/>
          </w:rPr>
          <w:tab/>
        </w:r>
        <w:r w:rsidRPr="0077549B">
          <w:rPr>
            <w:rStyle w:val="Hyperlink"/>
          </w:rPr>
          <w:t>Variables and terms for all methods</w:t>
        </w:r>
        <w:r>
          <w:rPr>
            <w:webHidden/>
          </w:rPr>
          <w:tab/>
        </w:r>
        <w:r>
          <w:rPr>
            <w:webHidden/>
          </w:rPr>
          <w:fldChar w:fldCharType="begin"/>
        </w:r>
        <w:r>
          <w:rPr>
            <w:webHidden/>
          </w:rPr>
          <w:instrText xml:space="preserve"> PAGEREF _Toc239413185 \h </w:instrText>
        </w:r>
        <w:r>
          <w:rPr>
            <w:webHidden/>
          </w:rPr>
        </w:r>
        <w:r>
          <w:rPr>
            <w:webHidden/>
          </w:rPr>
          <w:fldChar w:fldCharType="separate"/>
        </w:r>
        <w:r>
          <w:rPr>
            <w:webHidden/>
          </w:rPr>
          <w:t>6</w:t>
        </w:r>
        <w:r>
          <w:rPr>
            <w:webHidden/>
          </w:rPr>
          <w:fldChar w:fldCharType="end"/>
        </w:r>
      </w:hyperlink>
    </w:p>
    <w:p w14:paraId="68674DD5" w14:textId="7ADFA92C" w:rsidR="00BD6A34" w:rsidRDefault="00BD6A34">
      <w:pPr>
        <w:pStyle w:val="TOC1"/>
        <w:tabs>
          <w:tab w:val="left" w:pos="454"/>
        </w:tabs>
        <w:rPr>
          <w:rFonts w:eastAsiaTheme="minorEastAsia" w:cstheme="minorBidi"/>
          <w:b w:val="0"/>
          <w:color w:val="auto"/>
          <w:kern w:val="2"/>
          <w14:ligatures w14:val="standardContextual"/>
        </w:rPr>
      </w:pPr>
      <w:hyperlink w:anchor="_Toc239413186" w:history="1">
        <w:r w:rsidRPr="0077549B">
          <w:rPr>
            <w:rStyle w:val="Hyperlink"/>
          </w:rPr>
          <w:t>3</w:t>
        </w:r>
        <w:r>
          <w:rPr>
            <w:rFonts w:eastAsiaTheme="minorEastAsia" w:cstheme="minorBidi"/>
            <w:b w:val="0"/>
            <w:color w:val="auto"/>
            <w:kern w:val="2"/>
            <w14:ligatures w14:val="standardContextual"/>
          </w:rPr>
          <w:tab/>
        </w:r>
        <w:r w:rsidRPr="0077549B">
          <w:rPr>
            <w:rStyle w:val="Hyperlink"/>
          </w:rPr>
          <w:t>Measurement and Verification (M&amp;V)</w:t>
        </w:r>
        <w:r>
          <w:rPr>
            <w:webHidden/>
          </w:rPr>
          <w:tab/>
        </w:r>
        <w:r>
          <w:rPr>
            <w:webHidden/>
          </w:rPr>
          <w:fldChar w:fldCharType="begin"/>
        </w:r>
        <w:r>
          <w:rPr>
            <w:webHidden/>
          </w:rPr>
          <w:instrText xml:space="preserve"> PAGEREF _Toc239413186 \h </w:instrText>
        </w:r>
        <w:r>
          <w:rPr>
            <w:webHidden/>
          </w:rPr>
        </w:r>
        <w:r>
          <w:rPr>
            <w:webHidden/>
          </w:rPr>
          <w:fldChar w:fldCharType="separate"/>
        </w:r>
        <w:r>
          <w:rPr>
            <w:webHidden/>
          </w:rPr>
          <w:t>14</w:t>
        </w:r>
        <w:r>
          <w:rPr>
            <w:webHidden/>
          </w:rPr>
          <w:fldChar w:fldCharType="end"/>
        </w:r>
      </w:hyperlink>
    </w:p>
    <w:p w14:paraId="5E21DD29" w14:textId="0AE66365" w:rsidR="00BD6A34" w:rsidRDefault="00BD6A34">
      <w:pPr>
        <w:pStyle w:val="TOC1"/>
        <w:tabs>
          <w:tab w:val="left" w:pos="454"/>
        </w:tabs>
        <w:rPr>
          <w:rFonts w:eastAsiaTheme="minorEastAsia" w:cstheme="minorBidi"/>
          <w:b w:val="0"/>
          <w:color w:val="auto"/>
          <w:kern w:val="2"/>
          <w14:ligatures w14:val="standardContextual"/>
        </w:rPr>
      </w:pPr>
      <w:hyperlink w:anchor="_Toc239413187" w:history="1">
        <w:r w:rsidRPr="0077549B">
          <w:rPr>
            <w:rStyle w:val="Hyperlink"/>
          </w:rPr>
          <w:t>4</w:t>
        </w:r>
        <w:r>
          <w:rPr>
            <w:rFonts w:eastAsiaTheme="minorEastAsia" w:cstheme="minorBidi"/>
            <w:b w:val="0"/>
            <w:color w:val="auto"/>
            <w:kern w:val="2"/>
            <w14:ligatures w14:val="standardContextual"/>
          </w:rPr>
          <w:tab/>
        </w:r>
        <w:r w:rsidRPr="0077549B">
          <w:rPr>
            <w:rStyle w:val="Hyperlink"/>
          </w:rPr>
          <w:t>Weather normalised whole of site electricity measurement (option C)</w:t>
        </w:r>
        <w:r>
          <w:rPr>
            <w:webHidden/>
          </w:rPr>
          <w:tab/>
        </w:r>
        <w:r>
          <w:rPr>
            <w:webHidden/>
          </w:rPr>
          <w:fldChar w:fldCharType="begin"/>
        </w:r>
        <w:r>
          <w:rPr>
            <w:webHidden/>
          </w:rPr>
          <w:instrText xml:space="preserve"> PAGEREF _Toc239413187 \h </w:instrText>
        </w:r>
        <w:r>
          <w:rPr>
            <w:webHidden/>
          </w:rPr>
        </w:r>
        <w:r>
          <w:rPr>
            <w:webHidden/>
          </w:rPr>
          <w:fldChar w:fldCharType="separate"/>
        </w:r>
        <w:r>
          <w:rPr>
            <w:webHidden/>
          </w:rPr>
          <w:t>19</w:t>
        </w:r>
        <w:r>
          <w:rPr>
            <w:webHidden/>
          </w:rPr>
          <w:fldChar w:fldCharType="end"/>
        </w:r>
      </w:hyperlink>
    </w:p>
    <w:p w14:paraId="542E669A" w14:textId="182B4517" w:rsidR="00BD6A34" w:rsidRDefault="00BD6A34">
      <w:pPr>
        <w:pStyle w:val="TOC1"/>
        <w:tabs>
          <w:tab w:val="left" w:pos="454"/>
        </w:tabs>
        <w:rPr>
          <w:rFonts w:eastAsiaTheme="minorEastAsia" w:cstheme="minorBidi"/>
          <w:b w:val="0"/>
          <w:color w:val="auto"/>
          <w:kern w:val="2"/>
          <w14:ligatures w14:val="standardContextual"/>
        </w:rPr>
      </w:pPr>
      <w:hyperlink w:anchor="_Toc239413188" w:history="1">
        <w:r w:rsidRPr="0077549B">
          <w:rPr>
            <w:rStyle w:val="Hyperlink"/>
          </w:rPr>
          <w:t>5</w:t>
        </w:r>
        <w:r>
          <w:rPr>
            <w:rFonts w:eastAsiaTheme="minorEastAsia" w:cstheme="minorBidi"/>
            <w:b w:val="0"/>
            <w:color w:val="auto"/>
            <w:kern w:val="2"/>
            <w14:ligatures w14:val="standardContextual"/>
          </w:rPr>
          <w:tab/>
        </w:r>
        <w:r w:rsidRPr="0077549B">
          <w:rPr>
            <w:rStyle w:val="Hyperlink"/>
          </w:rPr>
          <w:t>Weather normalised whole of site gas measurement (option C)</w:t>
        </w:r>
        <w:r>
          <w:rPr>
            <w:webHidden/>
          </w:rPr>
          <w:tab/>
        </w:r>
        <w:r>
          <w:rPr>
            <w:webHidden/>
          </w:rPr>
          <w:fldChar w:fldCharType="begin"/>
        </w:r>
        <w:r>
          <w:rPr>
            <w:webHidden/>
          </w:rPr>
          <w:instrText xml:space="preserve"> PAGEREF _Toc239413188 \h </w:instrText>
        </w:r>
        <w:r>
          <w:rPr>
            <w:webHidden/>
          </w:rPr>
        </w:r>
        <w:r>
          <w:rPr>
            <w:webHidden/>
          </w:rPr>
          <w:fldChar w:fldCharType="separate"/>
        </w:r>
        <w:r>
          <w:rPr>
            <w:webHidden/>
          </w:rPr>
          <w:t>21</w:t>
        </w:r>
        <w:r>
          <w:rPr>
            <w:webHidden/>
          </w:rPr>
          <w:fldChar w:fldCharType="end"/>
        </w:r>
      </w:hyperlink>
    </w:p>
    <w:p w14:paraId="132313B1" w14:textId="3E2187A7" w:rsidR="00BD6A34" w:rsidRDefault="00BD6A34">
      <w:pPr>
        <w:pStyle w:val="TOC1"/>
        <w:tabs>
          <w:tab w:val="left" w:pos="454"/>
        </w:tabs>
        <w:rPr>
          <w:rFonts w:eastAsiaTheme="minorEastAsia" w:cstheme="minorBidi"/>
          <w:b w:val="0"/>
          <w:color w:val="auto"/>
          <w:kern w:val="2"/>
          <w14:ligatures w14:val="standardContextual"/>
        </w:rPr>
      </w:pPr>
      <w:hyperlink w:anchor="_Toc239413189" w:history="1">
        <w:r w:rsidRPr="0077549B">
          <w:rPr>
            <w:rStyle w:val="Hyperlink"/>
          </w:rPr>
          <w:t>6</w:t>
        </w:r>
        <w:r>
          <w:rPr>
            <w:rFonts w:eastAsiaTheme="minorEastAsia" w:cstheme="minorBidi"/>
            <w:b w:val="0"/>
            <w:color w:val="auto"/>
            <w:kern w:val="2"/>
            <w14:ligatures w14:val="standardContextual"/>
          </w:rPr>
          <w:tab/>
        </w:r>
        <w:r w:rsidRPr="0077549B">
          <w:rPr>
            <w:rStyle w:val="Hyperlink"/>
          </w:rPr>
          <w:t>Retrofit isolation for non-seasonal motors and rotating equipment (option B)</w:t>
        </w:r>
        <w:r>
          <w:rPr>
            <w:webHidden/>
          </w:rPr>
          <w:tab/>
        </w:r>
        <w:r>
          <w:rPr>
            <w:webHidden/>
          </w:rPr>
          <w:fldChar w:fldCharType="begin"/>
        </w:r>
        <w:r>
          <w:rPr>
            <w:webHidden/>
          </w:rPr>
          <w:instrText xml:space="preserve"> PAGEREF _Toc239413189 \h </w:instrText>
        </w:r>
        <w:r>
          <w:rPr>
            <w:webHidden/>
          </w:rPr>
        </w:r>
        <w:r>
          <w:rPr>
            <w:webHidden/>
          </w:rPr>
          <w:fldChar w:fldCharType="separate"/>
        </w:r>
        <w:r>
          <w:rPr>
            <w:webHidden/>
          </w:rPr>
          <w:t>24</w:t>
        </w:r>
        <w:r>
          <w:rPr>
            <w:webHidden/>
          </w:rPr>
          <w:fldChar w:fldCharType="end"/>
        </w:r>
      </w:hyperlink>
    </w:p>
    <w:p w14:paraId="43B71670" w14:textId="5868B42D" w:rsidR="00BD6A34" w:rsidRDefault="00BD6A34">
      <w:pPr>
        <w:pStyle w:val="TOC1"/>
        <w:tabs>
          <w:tab w:val="left" w:pos="454"/>
        </w:tabs>
        <w:rPr>
          <w:rFonts w:eastAsiaTheme="minorEastAsia" w:cstheme="minorBidi"/>
          <w:b w:val="0"/>
          <w:color w:val="auto"/>
          <w:kern w:val="2"/>
          <w14:ligatures w14:val="standardContextual"/>
        </w:rPr>
      </w:pPr>
      <w:hyperlink w:anchor="_Toc239413190" w:history="1">
        <w:r w:rsidRPr="0077549B">
          <w:rPr>
            <w:rStyle w:val="Hyperlink"/>
          </w:rPr>
          <w:t>7</w:t>
        </w:r>
        <w:r>
          <w:rPr>
            <w:rFonts w:eastAsiaTheme="minorEastAsia" w:cstheme="minorBidi"/>
            <w:b w:val="0"/>
            <w:color w:val="auto"/>
            <w:kern w:val="2"/>
            <w14:ligatures w14:val="standardContextual"/>
          </w:rPr>
          <w:tab/>
        </w:r>
        <w:r w:rsidRPr="0077549B">
          <w:rPr>
            <w:rStyle w:val="Hyperlink"/>
          </w:rPr>
          <w:t>Solar PV direct measurement</w:t>
        </w:r>
        <w:r>
          <w:rPr>
            <w:webHidden/>
          </w:rPr>
          <w:tab/>
        </w:r>
        <w:r>
          <w:rPr>
            <w:webHidden/>
          </w:rPr>
          <w:fldChar w:fldCharType="begin"/>
        </w:r>
        <w:r>
          <w:rPr>
            <w:webHidden/>
          </w:rPr>
          <w:instrText xml:space="preserve"> PAGEREF _Toc239413190 \h </w:instrText>
        </w:r>
        <w:r>
          <w:rPr>
            <w:webHidden/>
          </w:rPr>
        </w:r>
        <w:r>
          <w:rPr>
            <w:webHidden/>
          </w:rPr>
          <w:fldChar w:fldCharType="separate"/>
        </w:r>
        <w:r>
          <w:rPr>
            <w:webHidden/>
          </w:rPr>
          <w:t>28</w:t>
        </w:r>
        <w:r>
          <w:rPr>
            <w:webHidden/>
          </w:rPr>
          <w:fldChar w:fldCharType="end"/>
        </w:r>
      </w:hyperlink>
    </w:p>
    <w:p w14:paraId="61E495CF" w14:textId="5C125829" w:rsidR="00BD6A34" w:rsidRDefault="00BD6A34">
      <w:pPr>
        <w:pStyle w:val="TOC1"/>
        <w:tabs>
          <w:tab w:val="left" w:pos="454"/>
        </w:tabs>
        <w:rPr>
          <w:rFonts w:eastAsiaTheme="minorEastAsia" w:cstheme="minorBidi"/>
          <w:b w:val="0"/>
          <w:color w:val="auto"/>
          <w:kern w:val="2"/>
          <w14:ligatures w14:val="standardContextual"/>
        </w:rPr>
      </w:pPr>
      <w:hyperlink w:anchor="_Toc239413191" w:history="1">
        <w:r w:rsidRPr="0077549B">
          <w:rPr>
            <w:rStyle w:val="Hyperlink"/>
          </w:rPr>
          <w:t>8</w:t>
        </w:r>
        <w:r>
          <w:rPr>
            <w:rFonts w:eastAsiaTheme="minorEastAsia" w:cstheme="minorBidi"/>
            <w:b w:val="0"/>
            <w:color w:val="auto"/>
            <w:kern w:val="2"/>
            <w14:ligatures w14:val="standardContextual"/>
          </w:rPr>
          <w:tab/>
        </w:r>
        <w:r w:rsidRPr="0077549B">
          <w:rPr>
            <w:rStyle w:val="Hyperlink"/>
          </w:rPr>
          <w:t>Electrification direct measurement</w:t>
        </w:r>
        <w:r>
          <w:rPr>
            <w:webHidden/>
          </w:rPr>
          <w:tab/>
        </w:r>
        <w:r>
          <w:rPr>
            <w:webHidden/>
          </w:rPr>
          <w:fldChar w:fldCharType="begin"/>
        </w:r>
        <w:r>
          <w:rPr>
            <w:webHidden/>
          </w:rPr>
          <w:instrText xml:space="preserve"> PAGEREF _Toc239413191 \h </w:instrText>
        </w:r>
        <w:r>
          <w:rPr>
            <w:webHidden/>
          </w:rPr>
        </w:r>
        <w:r>
          <w:rPr>
            <w:webHidden/>
          </w:rPr>
          <w:fldChar w:fldCharType="separate"/>
        </w:r>
        <w:r>
          <w:rPr>
            <w:webHidden/>
          </w:rPr>
          <w:t>30</w:t>
        </w:r>
        <w:r>
          <w:rPr>
            <w:webHidden/>
          </w:rPr>
          <w:fldChar w:fldCharType="end"/>
        </w:r>
      </w:hyperlink>
    </w:p>
    <w:p w14:paraId="19541F36" w14:textId="430DBA58" w:rsidR="00BD6A34" w:rsidRDefault="00BD6A34">
      <w:pPr>
        <w:pStyle w:val="TOC1"/>
        <w:tabs>
          <w:tab w:val="left" w:pos="454"/>
        </w:tabs>
        <w:rPr>
          <w:rFonts w:eastAsiaTheme="minorEastAsia" w:cstheme="minorBidi"/>
          <w:b w:val="0"/>
          <w:color w:val="auto"/>
          <w:kern w:val="2"/>
          <w14:ligatures w14:val="standardContextual"/>
        </w:rPr>
      </w:pPr>
      <w:hyperlink w:anchor="_Toc239413192" w:history="1">
        <w:r w:rsidRPr="0077549B">
          <w:rPr>
            <w:rStyle w:val="Hyperlink"/>
          </w:rPr>
          <w:t>9</w:t>
        </w:r>
        <w:r>
          <w:rPr>
            <w:rFonts w:eastAsiaTheme="minorEastAsia" w:cstheme="minorBidi"/>
            <w:b w:val="0"/>
            <w:color w:val="auto"/>
            <w:kern w:val="2"/>
            <w14:ligatures w14:val="standardContextual"/>
          </w:rPr>
          <w:tab/>
        </w:r>
        <w:r w:rsidRPr="0077549B">
          <w:rPr>
            <w:rStyle w:val="Hyperlink"/>
          </w:rPr>
          <w:t>Electric thermal energy storage (eTES) direct measurement</w:t>
        </w:r>
        <w:r>
          <w:rPr>
            <w:webHidden/>
          </w:rPr>
          <w:tab/>
        </w:r>
        <w:r>
          <w:rPr>
            <w:webHidden/>
          </w:rPr>
          <w:fldChar w:fldCharType="begin"/>
        </w:r>
        <w:r>
          <w:rPr>
            <w:webHidden/>
          </w:rPr>
          <w:instrText xml:space="preserve"> PAGEREF _Toc239413192 \h </w:instrText>
        </w:r>
        <w:r>
          <w:rPr>
            <w:webHidden/>
          </w:rPr>
        </w:r>
        <w:r>
          <w:rPr>
            <w:webHidden/>
          </w:rPr>
          <w:fldChar w:fldCharType="separate"/>
        </w:r>
        <w:r>
          <w:rPr>
            <w:webHidden/>
          </w:rPr>
          <w:t>32</w:t>
        </w:r>
        <w:r>
          <w:rPr>
            <w:webHidden/>
          </w:rPr>
          <w:fldChar w:fldCharType="end"/>
        </w:r>
      </w:hyperlink>
    </w:p>
    <w:p w14:paraId="4B3E1B81" w14:textId="5F6661FD" w:rsidR="00BD6A34" w:rsidRDefault="00BD6A34" w:rsidP="00BD6A34">
      <w:pPr>
        <w:pStyle w:val="TOC1"/>
        <w:tabs>
          <w:tab w:val="left" w:pos="426"/>
        </w:tabs>
        <w:rPr>
          <w:rFonts w:eastAsiaTheme="minorEastAsia" w:cstheme="minorBidi"/>
          <w:b w:val="0"/>
          <w:color w:val="auto"/>
          <w:kern w:val="2"/>
          <w14:ligatures w14:val="standardContextual"/>
        </w:rPr>
      </w:pPr>
      <w:hyperlink w:anchor="_Toc239413193" w:history="1">
        <w:r w:rsidRPr="0077549B">
          <w:rPr>
            <w:rStyle w:val="Hyperlink"/>
          </w:rPr>
          <w:t>10</w:t>
        </w:r>
        <w:r>
          <w:rPr>
            <w:rFonts w:eastAsiaTheme="minorEastAsia" w:cstheme="minorBidi"/>
            <w:b w:val="0"/>
            <w:color w:val="auto"/>
            <w:kern w:val="2"/>
            <w14:ligatures w14:val="standardContextual"/>
          </w:rPr>
          <w:tab/>
        </w:r>
        <w:r w:rsidRPr="0077549B">
          <w:rPr>
            <w:rStyle w:val="Hyperlink"/>
          </w:rPr>
          <w:t>Heat demand reduction avoided energy</w:t>
        </w:r>
        <w:r>
          <w:rPr>
            <w:webHidden/>
          </w:rPr>
          <w:tab/>
        </w:r>
        <w:r>
          <w:rPr>
            <w:webHidden/>
          </w:rPr>
          <w:fldChar w:fldCharType="begin"/>
        </w:r>
        <w:r>
          <w:rPr>
            <w:webHidden/>
          </w:rPr>
          <w:instrText xml:space="preserve"> PAGEREF _Toc239413193 \h </w:instrText>
        </w:r>
        <w:r>
          <w:rPr>
            <w:webHidden/>
          </w:rPr>
        </w:r>
        <w:r>
          <w:rPr>
            <w:webHidden/>
          </w:rPr>
          <w:fldChar w:fldCharType="separate"/>
        </w:r>
        <w:r>
          <w:rPr>
            <w:webHidden/>
          </w:rPr>
          <w:t>35</w:t>
        </w:r>
        <w:r>
          <w:rPr>
            <w:webHidden/>
          </w:rPr>
          <w:fldChar w:fldCharType="end"/>
        </w:r>
      </w:hyperlink>
    </w:p>
    <w:p w14:paraId="28B2093E" w14:textId="5A6F21BD" w:rsidR="00BD6A34" w:rsidRDefault="00BD6A34" w:rsidP="00BD6A34">
      <w:pPr>
        <w:pStyle w:val="TOC1"/>
        <w:tabs>
          <w:tab w:val="left" w:pos="426"/>
        </w:tabs>
        <w:rPr>
          <w:rFonts w:eastAsiaTheme="minorEastAsia" w:cstheme="minorBidi"/>
          <w:b w:val="0"/>
          <w:color w:val="auto"/>
          <w:kern w:val="2"/>
          <w14:ligatures w14:val="standardContextual"/>
        </w:rPr>
      </w:pPr>
      <w:hyperlink w:anchor="_Toc239413194" w:history="1">
        <w:r w:rsidRPr="0077549B">
          <w:rPr>
            <w:rStyle w:val="Hyperlink"/>
          </w:rPr>
          <w:t>11</w:t>
        </w:r>
        <w:r>
          <w:rPr>
            <w:rFonts w:eastAsiaTheme="minorEastAsia" w:cstheme="minorBidi"/>
            <w:b w:val="0"/>
            <w:color w:val="auto"/>
            <w:kern w:val="2"/>
            <w14:ligatures w14:val="standardContextual"/>
          </w:rPr>
          <w:tab/>
        </w:r>
        <w:r w:rsidRPr="0077549B">
          <w:rPr>
            <w:rStyle w:val="Hyperlink"/>
          </w:rPr>
          <w:t>Gas Efficiency Improvement direct measurement</w:t>
        </w:r>
        <w:r>
          <w:rPr>
            <w:webHidden/>
          </w:rPr>
          <w:tab/>
        </w:r>
        <w:r>
          <w:rPr>
            <w:webHidden/>
          </w:rPr>
          <w:fldChar w:fldCharType="begin"/>
        </w:r>
        <w:r>
          <w:rPr>
            <w:webHidden/>
          </w:rPr>
          <w:instrText xml:space="preserve"> PAGEREF _Toc239413194 \h </w:instrText>
        </w:r>
        <w:r>
          <w:rPr>
            <w:webHidden/>
          </w:rPr>
        </w:r>
        <w:r>
          <w:rPr>
            <w:webHidden/>
          </w:rPr>
          <w:fldChar w:fldCharType="separate"/>
        </w:r>
        <w:r>
          <w:rPr>
            <w:webHidden/>
          </w:rPr>
          <w:t>38</w:t>
        </w:r>
        <w:r>
          <w:rPr>
            <w:webHidden/>
          </w:rPr>
          <w:fldChar w:fldCharType="end"/>
        </w:r>
      </w:hyperlink>
    </w:p>
    <w:p w14:paraId="51196025" w14:textId="06E837FB" w:rsidR="00BD6A34" w:rsidRDefault="00BD6A34" w:rsidP="00BD6A34">
      <w:pPr>
        <w:pStyle w:val="TOC1"/>
        <w:tabs>
          <w:tab w:val="left" w:pos="426"/>
        </w:tabs>
        <w:rPr>
          <w:rFonts w:eastAsiaTheme="minorEastAsia" w:cstheme="minorBidi"/>
          <w:b w:val="0"/>
          <w:color w:val="auto"/>
          <w:kern w:val="2"/>
          <w14:ligatures w14:val="standardContextual"/>
        </w:rPr>
      </w:pPr>
      <w:hyperlink w:anchor="_Toc239413195" w:history="1">
        <w:r w:rsidRPr="0077549B">
          <w:rPr>
            <w:rStyle w:val="Hyperlink"/>
          </w:rPr>
          <w:t>12</w:t>
        </w:r>
        <w:r>
          <w:rPr>
            <w:rFonts w:eastAsiaTheme="minorEastAsia" w:cstheme="minorBidi"/>
            <w:b w:val="0"/>
            <w:color w:val="auto"/>
            <w:kern w:val="2"/>
            <w14:ligatures w14:val="standardContextual"/>
          </w:rPr>
          <w:tab/>
        </w:r>
        <w:r w:rsidRPr="0077549B">
          <w:rPr>
            <w:rStyle w:val="Hyperlink"/>
          </w:rPr>
          <w:t>Behind the meter biogas direct measurement</w:t>
        </w:r>
        <w:r>
          <w:rPr>
            <w:webHidden/>
          </w:rPr>
          <w:tab/>
        </w:r>
        <w:r>
          <w:rPr>
            <w:webHidden/>
          </w:rPr>
          <w:fldChar w:fldCharType="begin"/>
        </w:r>
        <w:r>
          <w:rPr>
            <w:webHidden/>
          </w:rPr>
          <w:instrText xml:space="preserve"> PAGEREF _Toc239413195 \h </w:instrText>
        </w:r>
        <w:r>
          <w:rPr>
            <w:webHidden/>
          </w:rPr>
        </w:r>
        <w:r>
          <w:rPr>
            <w:webHidden/>
          </w:rPr>
          <w:fldChar w:fldCharType="separate"/>
        </w:r>
        <w:r>
          <w:rPr>
            <w:webHidden/>
          </w:rPr>
          <w:t>41</w:t>
        </w:r>
        <w:r>
          <w:rPr>
            <w:webHidden/>
          </w:rPr>
          <w:fldChar w:fldCharType="end"/>
        </w:r>
      </w:hyperlink>
    </w:p>
    <w:p w14:paraId="4A43A24F" w14:textId="558A565D" w:rsidR="002B6635" w:rsidRDefault="00F13427" w:rsidP="00FA1A51">
      <w:pPr>
        <w:pStyle w:val="TOC1"/>
        <w:tabs>
          <w:tab w:val="left" w:pos="567"/>
        </w:tabs>
        <w:ind w:left="142"/>
        <w:rPr>
          <w:rFonts w:eastAsiaTheme="majorEastAsia"/>
        </w:rPr>
      </w:pPr>
      <w:r>
        <w:rPr>
          <w:rFonts w:eastAsiaTheme="majorEastAsia"/>
        </w:rPr>
        <w:fldChar w:fldCharType="end"/>
      </w:r>
    </w:p>
    <w:p w14:paraId="27110993" w14:textId="77777777" w:rsidR="006A090F" w:rsidRPr="006A090F" w:rsidRDefault="006A090F" w:rsidP="00FA1A51">
      <w:pPr>
        <w:pStyle w:val="BodyText"/>
        <w:tabs>
          <w:tab w:val="left" w:pos="567"/>
        </w:tabs>
        <w:ind w:left="142"/>
        <w:rPr>
          <w:rFonts w:eastAsiaTheme="majorEastAsia"/>
        </w:rPr>
      </w:pPr>
    </w:p>
    <w:p w14:paraId="426F6FBD" w14:textId="77777777" w:rsidR="002E31E7" w:rsidRDefault="002E31E7" w:rsidP="00FA1A51">
      <w:pPr>
        <w:pStyle w:val="NoSpacing"/>
        <w:tabs>
          <w:tab w:val="left" w:pos="567"/>
        </w:tabs>
        <w:ind w:left="142"/>
      </w:pPr>
      <w:bookmarkStart w:id="2" w:name="_Toc4060449"/>
      <w:bookmarkStart w:id="3" w:name="_Toc132706726"/>
      <w:bookmarkStart w:id="4" w:name="_Toc132706771"/>
      <w:bookmarkStart w:id="5" w:name="_Toc132706781"/>
      <w:bookmarkStart w:id="6" w:name="_Toc132706789"/>
      <w:bookmarkStart w:id="7" w:name="_Toc132706796"/>
      <w:bookmarkStart w:id="8" w:name="_Toc132706835"/>
      <w:bookmarkStart w:id="9" w:name="_Toc132707234"/>
      <w:bookmarkStart w:id="10" w:name="_Toc132707345"/>
      <w:bookmarkStart w:id="11" w:name="_Toc132707652"/>
      <w:bookmarkStart w:id="12" w:name="_Toc132707671"/>
      <w:bookmarkStart w:id="13" w:name="_Toc132815935"/>
      <w:bookmarkStart w:id="14" w:name="_Toc132815952"/>
    </w:p>
    <w:p w14:paraId="45526F73" w14:textId="77777777" w:rsidR="002E31E7" w:rsidRDefault="002E31E7" w:rsidP="002E31E7">
      <w:pPr>
        <w:pStyle w:val="NoSpacing"/>
        <w:sectPr w:rsidR="002E31E7">
          <w:pgSz w:w="11907" w:h="16839" w:code="9"/>
          <w:pgMar w:top="737" w:right="850" w:bottom="850" w:left="850" w:header="283" w:footer="283" w:gutter="0"/>
          <w:cols w:space="454"/>
          <w:noEndnote/>
          <w:docGrid w:linePitch="360"/>
        </w:sectPr>
      </w:pPr>
    </w:p>
    <w:p w14:paraId="689AE746" w14:textId="77777777" w:rsidR="00EA3B00" w:rsidRPr="00C4364B" w:rsidRDefault="00EA3B00" w:rsidP="004B55BB">
      <w:pPr>
        <w:pStyle w:val="Heading1"/>
        <w:ind w:left="426"/>
      </w:pPr>
      <w:bookmarkStart w:id="15" w:name="_Toc75862236"/>
      <w:bookmarkStart w:id="16" w:name="_Toc200577482"/>
      <w:bookmarkStart w:id="17" w:name="_Toc232605507"/>
      <w:bookmarkStart w:id="18" w:name="_Toc239413184"/>
      <w:bookmarkEnd w:id="2"/>
      <w:bookmarkEnd w:id="3"/>
      <w:bookmarkEnd w:id="4"/>
      <w:bookmarkEnd w:id="5"/>
      <w:bookmarkEnd w:id="6"/>
      <w:bookmarkEnd w:id="7"/>
      <w:bookmarkEnd w:id="8"/>
      <w:bookmarkEnd w:id="9"/>
      <w:bookmarkEnd w:id="10"/>
      <w:bookmarkEnd w:id="11"/>
      <w:bookmarkEnd w:id="12"/>
      <w:bookmarkEnd w:id="13"/>
      <w:bookmarkEnd w:id="14"/>
      <w:r>
        <w:lastRenderedPageBreak/>
        <w:t>Introduction</w:t>
      </w:r>
      <w:bookmarkEnd w:id="15"/>
      <w:bookmarkEnd w:id="16"/>
      <w:bookmarkEnd w:id="17"/>
      <w:bookmarkEnd w:id="18"/>
    </w:p>
    <w:p w14:paraId="19A74B43" w14:textId="6DFEFFDE" w:rsidR="00EA3B00" w:rsidRDefault="00E14C8E" w:rsidP="00EA3B00">
      <w:pPr>
        <w:pStyle w:val="IntroFeatureText"/>
      </w:pPr>
      <w:r w:rsidRPr="00E14C8E">
        <w:t xml:space="preserve">This document </w:t>
      </w:r>
      <w:r>
        <w:t xml:space="preserve">(the specifications) </w:t>
      </w:r>
      <w:r w:rsidRPr="00E14C8E">
        <w:t xml:space="preserve">sets out the methods and variables for the Measurement and Verification method and specified measurement methods </w:t>
      </w:r>
      <w:r w:rsidR="00DF7E43">
        <w:t xml:space="preserve">for project-based activities in </w:t>
      </w:r>
      <w:r w:rsidRPr="00E14C8E">
        <w:t>the Victorian Energy Upgrades program.</w:t>
      </w:r>
      <w:r w:rsidR="00EA3B00" w:rsidRPr="007519FC">
        <w:t xml:space="preserve"> </w:t>
      </w:r>
    </w:p>
    <w:p w14:paraId="41FF1338" w14:textId="67387088" w:rsidR="00EA3B00" w:rsidRPr="00747A21" w:rsidRDefault="00EA3B00" w:rsidP="00747A21">
      <w:pPr>
        <w:pStyle w:val="BodyText"/>
      </w:pPr>
      <w:r w:rsidRPr="00747A21">
        <w:t xml:space="preserve">These specifications are made by the Secretary </w:t>
      </w:r>
      <w:r w:rsidR="00747A21" w:rsidRPr="00747A21">
        <w:t xml:space="preserve">of the Department of Energy, Environment and Climate Action </w:t>
      </w:r>
      <w:r w:rsidRPr="00747A21">
        <w:t xml:space="preserve">under regulation 18 of the </w:t>
      </w:r>
      <w:r w:rsidRPr="00E37634">
        <w:rPr>
          <w:i/>
        </w:rPr>
        <w:t>Victorian Energy Efficiency Target (Project-Based Activities) Regulations 2017</w:t>
      </w:r>
      <w:r w:rsidRPr="00747A21">
        <w:t>.</w:t>
      </w:r>
    </w:p>
    <w:p w14:paraId="719128ED" w14:textId="77777777" w:rsidR="00EA3B00" w:rsidRPr="00050253" w:rsidRDefault="00EA3B00" w:rsidP="00EA3B00">
      <w:pPr>
        <w:pStyle w:val="Heading2"/>
        <w:spacing w:line="260" w:lineRule="exact"/>
      </w:pPr>
      <w:bookmarkStart w:id="19" w:name="_Toc75862237"/>
      <w:bookmarkStart w:id="20" w:name="_Toc200577483"/>
      <w:bookmarkStart w:id="21" w:name="_Toc232605508"/>
      <w:r>
        <w:t>Purpose</w:t>
      </w:r>
      <w:bookmarkEnd w:id="19"/>
      <w:bookmarkEnd w:id="20"/>
      <w:bookmarkEnd w:id="21"/>
    </w:p>
    <w:p w14:paraId="68DC0747" w14:textId="0FF0637F" w:rsidR="00EA3B00" w:rsidRPr="007519FC" w:rsidRDefault="004A4153" w:rsidP="00EA3B00">
      <w:pPr>
        <w:pStyle w:val="BodyText"/>
      </w:pPr>
      <w:r w:rsidRPr="004A4153">
        <w:t>This document specifies how to calculate emissions reductions (in tonnes of carbon dioxide equivalent) from prescribed activities using Measurement and Verification and specified measurement methods</w:t>
      </w:r>
      <w:r w:rsidR="001470B3">
        <w:t>.</w:t>
      </w:r>
      <w:r w:rsidR="00EA3B00" w:rsidRPr="007519FC">
        <w:t xml:space="preserve"> </w:t>
      </w:r>
    </w:p>
    <w:p w14:paraId="5C10204F" w14:textId="77777777" w:rsidR="00EA3B00" w:rsidRPr="00050253" w:rsidRDefault="00EA3B00" w:rsidP="00EA3B00">
      <w:pPr>
        <w:pStyle w:val="Heading2"/>
      </w:pPr>
      <w:bookmarkStart w:id="22" w:name="_Toc75862238"/>
      <w:bookmarkStart w:id="23" w:name="_Toc200577484"/>
      <w:bookmarkStart w:id="24" w:name="_Toc232605509"/>
      <w:r>
        <w:t>Legislation and responsibilities</w:t>
      </w:r>
      <w:bookmarkEnd w:id="22"/>
      <w:bookmarkEnd w:id="23"/>
      <w:bookmarkEnd w:id="24"/>
    </w:p>
    <w:p w14:paraId="71B457A7" w14:textId="77777777" w:rsidR="00EA3B00" w:rsidRPr="007519FC" w:rsidRDefault="00EA3B00" w:rsidP="00EA3B00">
      <w:pPr>
        <w:pStyle w:val="BodyText"/>
      </w:pPr>
      <w:r w:rsidRPr="007519FC">
        <w:t xml:space="preserve">The Victorian Energy Upgrades program is enabled by the </w:t>
      </w:r>
      <w:r w:rsidRPr="00E37634">
        <w:rPr>
          <w:i/>
        </w:rPr>
        <w:t>Victorian Energy Efficiency Target (VEET) Act 2007</w:t>
      </w:r>
      <w:r w:rsidRPr="007519FC">
        <w:t xml:space="preserve">, the </w:t>
      </w:r>
      <w:r w:rsidRPr="00E37634">
        <w:rPr>
          <w:i/>
        </w:rPr>
        <w:t xml:space="preserve">Victorian Energy Efficiency Target Regulations 2018 </w:t>
      </w:r>
      <w:r w:rsidRPr="007519FC">
        <w:t>(the VEET Regulations 20</w:t>
      </w:r>
      <w:r>
        <w:t>1</w:t>
      </w:r>
      <w:r w:rsidRPr="007519FC">
        <w:t>8</w:t>
      </w:r>
      <w:r w:rsidRPr="00E37634">
        <w:rPr>
          <w:i/>
        </w:rPr>
        <w:t>)</w:t>
      </w:r>
      <w:r w:rsidRPr="007519FC">
        <w:t xml:space="preserve">, the </w:t>
      </w:r>
      <w:r w:rsidRPr="00E37634">
        <w:rPr>
          <w:i/>
        </w:rPr>
        <w:t>Victorian Energy Efficiency Target (Project-Based Activities) Regulations 2017</w:t>
      </w:r>
      <w:r w:rsidRPr="007519FC">
        <w:t xml:space="preserve"> (the VEET PBA Regulations 2017) and the </w:t>
      </w:r>
      <w:r w:rsidRPr="00E37634">
        <w:rPr>
          <w:i/>
        </w:rPr>
        <w:t>Victorian Energy Efficiency Target Guidelines</w:t>
      </w:r>
      <w:r w:rsidRPr="007519FC">
        <w:t xml:space="preserve"> (the Guidelines).</w:t>
      </w:r>
    </w:p>
    <w:p w14:paraId="2E93A385" w14:textId="29BA6E62" w:rsidR="00EA3B00" w:rsidRDefault="00EA3B00" w:rsidP="00EA3B00">
      <w:pPr>
        <w:pStyle w:val="BodyText"/>
      </w:pPr>
      <w:r>
        <w:t xml:space="preserve">The </w:t>
      </w:r>
      <w:r w:rsidR="00747A21" w:rsidRPr="00747A21">
        <w:t xml:space="preserve">Department of Energy, Environment and Climate Action </w:t>
      </w:r>
      <w:r>
        <w:t>(the department) supports the Minister in overseeing the Victorian Energy Upgrades legislation.</w:t>
      </w:r>
    </w:p>
    <w:p w14:paraId="70F4F6E9" w14:textId="35A967CB" w:rsidR="00EA3B00" w:rsidRPr="00974A61" w:rsidRDefault="00EA3B00" w:rsidP="00EA3B00">
      <w:pPr>
        <w:pStyle w:val="BodyText"/>
      </w:pPr>
      <w:r>
        <w:t xml:space="preserve">This document sets out the rules for defining the methods and variables to be used when carrying out a prescribed activity using the Measurement and Verification method </w:t>
      </w:r>
      <w:r w:rsidR="698C0A11">
        <w:t>and Specified Measurement Methods</w:t>
      </w:r>
      <w:r>
        <w:t xml:space="preserve"> for the purpose set out in the PBA Regulations. </w:t>
      </w:r>
      <w:r w:rsidRPr="00CE0119">
        <w:t>This document applies the DE</w:t>
      </w:r>
      <w:r w:rsidR="00747A21" w:rsidRPr="00CE0119">
        <w:t>ECA</w:t>
      </w:r>
      <w:r w:rsidRPr="00CE0119">
        <w:t xml:space="preserve"> publication </w:t>
      </w:r>
      <w:r w:rsidRPr="00CE0119">
        <w:rPr>
          <w:i/>
          <w:iCs/>
        </w:rPr>
        <w:t>Accounting for COVID-19 Under VEU (2021)</w:t>
      </w:r>
      <w:r w:rsidRPr="00CE0119">
        <w:t xml:space="preserve"> as amended from time to time, which specifies how rules for defining methods and variables should be amended during a State of Emergency</w:t>
      </w:r>
      <w:r w:rsidR="00CE0119">
        <w:t>,</w:t>
      </w:r>
      <w:r w:rsidRPr="00CE0119">
        <w:t xml:space="preserve"> State of Disaster</w:t>
      </w:r>
      <w:r w:rsidR="00CE0119" w:rsidRPr="00CE0119">
        <w:t xml:space="preserve"> </w:t>
      </w:r>
      <w:r w:rsidR="00CE0119">
        <w:t>or applied to non-routine events</w:t>
      </w:r>
      <w:r w:rsidRPr="00CE0119">
        <w:t>.</w:t>
      </w:r>
      <w:r>
        <w:t xml:space="preserve"> </w:t>
      </w:r>
    </w:p>
    <w:p w14:paraId="00B1416F" w14:textId="77777777" w:rsidR="00EA3B00" w:rsidRPr="007519FC" w:rsidRDefault="00EA3B00" w:rsidP="00EA3B00">
      <w:pPr>
        <w:pStyle w:val="BodyText"/>
      </w:pPr>
      <w:r w:rsidRPr="007519FC">
        <w:t xml:space="preserve">The Essential Services Commission (ESC) is the administrator of the Victorian Energy Upgrades program and is responsible for the Guidelines. Participants must also comply with the ESC’s </w:t>
      </w:r>
      <w:bookmarkStart w:id="25" w:name="_Hlk526336953"/>
      <w:r>
        <w:t>requirements</w:t>
      </w:r>
      <w:bookmarkEnd w:id="25"/>
      <w:r w:rsidRPr="007519FC">
        <w:t xml:space="preserve">, which are published on their website at </w:t>
      </w:r>
      <w:r>
        <w:t>www.esc.vic.gov.au/veu</w:t>
      </w:r>
      <w:r w:rsidRPr="007519FC">
        <w:t>.</w:t>
      </w:r>
    </w:p>
    <w:p w14:paraId="2B27EB4F" w14:textId="41261B2B" w:rsidR="00EA3B00" w:rsidRPr="007519FC" w:rsidRDefault="00EA3B00" w:rsidP="00EA3B00">
      <w:pPr>
        <w:pStyle w:val="BodyText"/>
      </w:pPr>
      <w:r w:rsidRPr="007519FC">
        <w:t>This document should be read in conjunction with the Act, Regulations and material published by the ESC.</w:t>
      </w:r>
    </w:p>
    <w:p w14:paraId="357B0114" w14:textId="04B9570E" w:rsidR="00EA3B00" w:rsidRPr="00050253" w:rsidRDefault="00EA3B00" w:rsidP="00EA3B00">
      <w:pPr>
        <w:pStyle w:val="Heading2"/>
        <w:spacing w:line="260" w:lineRule="exact"/>
      </w:pPr>
      <w:bookmarkStart w:id="26" w:name="_Toc75862239"/>
      <w:bookmarkStart w:id="27" w:name="_Toc200577485"/>
      <w:bookmarkStart w:id="28" w:name="_Toc232605510"/>
      <w:r>
        <w:t>Using this document</w:t>
      </w:r>
      <w:bookmarkEnd w:id="26"/>
      <w:bookmarkEnd w:id="27"/>
      <w:bookmarkEnd w:id="28"/>
    </w:p>
    <w:p w14:paraId="0BD31189" w14:textId="4F61627F" w:rsidR="00EF755F" w:rsidRDefault="00C633C8" w:rsidP="00EA3B00">
      <w:pPr>
        <w:pStyle w:val="BodyText"/>
      </w:pPr>
      <w:r w:rsidRPr="00E37634">
        <w:t xml:space="preserve">Section 2 </w:t>
      </w:r>
      <w:r w:rsidR="003B1775" w:rsidRPr="00E37634">
        <w:t xml:space="preserve">titled </w:t>
      </w:r>
      <w:r w:rsidR="003B1775">
        <w:t>‘</w:t>
      </w:r>
      <w:r w:rsidR="00D92526" w:rsidRPr="00E37634">
        <w:t>Variables and terms for all methods</w:t>
      </w:r>
      <w:r w:rsidR="003B1775">
        <w:t>’</w:t>
      </w:r>
      <w:r w:rsidR="00EA3B00" w:rsidRPr="004A61F0">
        <w:t xml:space="preserve"> lists </w:t>
      </w:r>
      <w:r w:rsidR="00EF755F">
        <w:t xml:space="preserve">the </w:t>
      </w:r>
      <w:r w:rsidR="00E72F6A">
        <w:t xml:space="preserve">general </w:t>
      </w:r>
      <w:r w:rsidR="00EF755F">
        <w:t>definitions</w:t>
      </w:r>
      <w:r w:rsidR="00B153AF">
        <w:t xml:space="preserve">, </w:t>
      </w:r>
      <w:r w:rsidR="00EF755F">
        <w:t>terms</w:t>
      </w:r>
      <w:r w:rsidR="00B153AF">
        <w:t>, methods and requirements for</w:t>
      </w:r>
      <w:r w:rsidR="00EF755F">
        <w:t xml:space="preserve"> </w:t>
      </w:r>
      <w:r w:rsidR="00D92526">
        <w:t>all</w:t>
      </w:r>
      <w:r w:rsidR="00EA3B00" w:rsidRPr="004A61F0">
        <w:t xml:space="preserve"> </w:t>
      </w:r>
      <w:r w:rsidR="00EA3B00">
        <w:t xml:space="preserve">methods </w:t>
      </w:r>
      <w:r w:rsidR="00C5539D">
        <w:t>under these specifications</w:t>
      </w:r>
      <w:r w:rsidR="003B1775">
        <w:t>.</w:t>
      </w:r>
    </w:p>
    <w:p w14:paraId="46430C60" w14:textId="0973597B" w:rsidR="00A8305A" w:rsidRDefault="003B1775" w:rsidP="00A8305A">
      <w:pPr>
        <w:pStyle w:val="BodyText"/>
      </w:pPr>
      <w:r>
        <w:t xml:space="preserve">Section 3 titled ‘Measurement and verification (M&amp;V)’ </w:t>
      </w:r>
      <w:r w:rsidR="00A8305A" w:rsidRPr="00724070">
        <w:t>sets out</w:t>
      </w:r>
      <w:r w:rsidR="00A8305A">
        <w:t xml:space="preserve"> the method and variables applicable to all projects</w:t>
      </w:r>
      <w:r w:rsidR="000265B0">
        <w:t xml:space="preserve"> that are not following a specified measurement method. All projects must </w:t>
      </w:r>
      <w:r w:rsidR="00A8305A">
        <w:t>provide a scoping plan, a project plan and a project impact report.</w:t>
      </w:r>
    </w:p>
    <w:p w14:paraId="07D95183" w14:textId="33323A2D" w:rsidR="000265B0" w:rsidRDefault="000265B0" w:rsidP="00A8305A">
      <w:pPr>
        <w:pStyle w:val="BodyText"/>
      </w:pPr>
      <w:r>
        <w:t>Section</w:t>
      </w:r>
      <w:r w:rsidR="00E766BA">
        <w:t>s</w:t>
      </w:r>
      <w:r>
        <w:t xml:space="preserve"> 4 </w:t>
      </w:r>
      <w:r w:rsidR="00E41D2C">
        <w:t>to 12 contain specified measurement methods</w:t>
      </w:r>
      <w:r w:rsidR="00594A67">
        <w:t xml:space="preserve">. Projects following the specified measurement methods </w:t>
      </w:r>
      <w:r w:rsidR="006E1498">
        <w:t xml:space="preserve">(SMM) </w:t>
      </w:r>
      <w:r w:rsidR="00594A67">
        <w:t>require a scoping plan and project impact report. The methods available are:</w:t>
      </w:r>
    </w:p>
    <w:p w14:paraId="6A4E855D" w14:textId="28EE944F" w:rsidR="006D4DB0" w:rsidRDefault="00ED2377">
      <w:pPr>
        <w:pStyle w:val="BodyText"/>
        <w:numPr>
          <w:ilvl w:val="0"/>
          <w:numId w:val="99"/>
        </w:numPr>
      </w:pPr>
      <w:r>
        <w:t>SMM1</w:t>
      </w:r>
      <w:r w:rsidR="006E1498">
        <w:t>:</w:t>
      </w:r>
      <w:r>
        <w:t xml:space="preserve"> </w:t>
      </w:r>
      <w:r w:rsidR="006D4DB0" w:rsidRPr="006D4DB0">
        <w:t>Weather normalised whole of site electricity measurement (option C)</w:t>
      </w:r>
    </w:p>
    <w:p w14:paraId="4B3F6C6D" w14:textId="0E516E9B" w:rsidR="006D4DB0" w:rsidRDefault="006E1498">
      <w:pPr>
        <w:pStyle w:val="BodyText"/>
        <w:numPr>
          <w:ilvl w:val="0"/>
          <w:numId w:val="99"/>
        </w:numPr>
      </w:pPr>
      <w:r>
        <w:t xml:space="preserve">SMM2: </w:t>
      </w:r>
      <w:r w:rsidR="006D4DB0" w:rsidRPr="006D4DB0">
        <w:t>Weather normalised whole of site gas measurement (option C)</w:t>
      </w:r>
    </w:p>
    <w:p w14:paraId="37CA78D3" w14:textId="3A352B92" w:rsidR="006D4DB0" w:rsidRDefault="006E1498">
      <w:pPr>
        <w:pStyle w:val="BodyText"/>
        <w:numPr>
          <w:ilvl w:val="0"/>
          <w:numId w:val="99"/>
        </w:numPr>
      </w:pPr>
      <w:r>
        <w:t xml:space="preserve">SMM3: </w:t>
      </w:r>
      <w:r w:rsidR="006D4DB0" w:rsidRPr="006D4DB0">
        <w:t>Retrofit isolation for non-seasonal motors and rotating equipment (option B)</w:t>
      </w:r>
    </w:p>
    <w:p w14:paraId="4E41EDFC" w14:textId="291C5072" w:rsidR="006D4DB0" w:rsidRDefault="006E1498">
      <w:pPr>
        <w:pStyle w:val="BodyText"/>
        <w:numPr>
          <w:ilvl w:val="0"/>
          <w:numId w:val="99"/>
        </w:numPr>
      </w:pPr>
      <w:r>
        <w:t xml:space="preserve">SMM4: </w:t>
      </w:r>
      <w:r w:rsidR="005723CE">
        <w:t>Solar PV direct measurement</w:t>
      </w:r>
    </w:p>
    <w:p w14:paraId="7294D2FD" w14:textId="41349AE5" w:rsidR="006D4DB0" w:rsidRDefault="006E1498">
      <w:pPr>
        <w:pStyle w:val="BodyText"/>
        <w:numPr>
          <w:ilvl w:val="0"/>
          <w:numId w:val="99"/>
        </w:numPr>
      </w:pPr>
      <w:r>
        <w:t xml:space="preserve">SMM5: </w:t>
      </w:r>
      <w:r w:rsidR="006D4DB0" w:rsidRPr="006D4DB0">
        <w:t>Electrification direct measurement</w:t>
      </w:r>
    </w:p>
    <w:p w14:paraId="24B19FB9" w14:textId="67F3A033" w:rsidR="006D4DB0" w:rsidRDefault="006E1498">
      <w:pPr>
        <w:pStyle w:val="BodyText"/>
        <w:numPr>
          <w:ilvl w:val="0"/>
          <w:numId w:val="99"/>
        </w:numPr>
      </w:pPr>
      <w:r>
        <w:t xml:space="preserve">SMM6: </w:t>
      </w:r>
      <w:r w:rsidR="006D4DB0" w:rsidRPr="006D4DB0">
        <w:t>Electric Thermal Energy Storage (eTES) direct measurement</w:t>
      </w:r>
    </w:p>
    <w:p w14:paraId="2EC827DE" w14:textId="5A49EF8F" w:rsidR="006D4DB0" w:rsidRDefault="006E1498">
      <w:pPr>
        <w:pStyle w:val="BodyText"/>
        <w:numPr>
          <w:ilvl w:val="0"/>
          <w:numId w:val="99"/>
        </w:numPr>
      </w:pPr>
      <w:r>
        <w:t xml:space="preserve">SMM7: </w:t>
      </w:r>
      <w:r w:rsidR="005723CE">
        <w:t>Heat demand reduction avoided energy</w:t>
      </w:r>
    </w:p>
    <w:p w14:paraId="578363CC" w14:textId="56CE12E2" w:rsidR="006D4DB0" w:rsidRDefault="006E1498">
      <w:pPr>
        <w:pStyle w:val="BodyText"/>
        <w:numPr>
          <w:ilvl w:val="0"/>
          <w:numId w:val="99"/>
        </w:numPr>
      </w:pPr>
      <w:r>
        <w:t xml:space="preserve">SMM8: </w:t>
      </w:r>
      <w:r w:rsidR="006D4DB0" w:rsidRPr="006D4DB0">
        <w:t xml:space="preserve">Gas efficiency </w:t>
      </w:r>
      <w:r w:rsidR="005723CE">
        <w:t>improvement direct measurement</w:t>
      </w:r>
    </w:p>
    <w:p w14:paraId="75399D92" w14:textId="2449C223" w:rsidR="006D4DB0" w:rsidRDefault="006E1498">
      <w:pPr>
        <w:pStyle w:val="BodyText"/>
        <w:numPr>
          <w:ilvl w:val="0"/>
          <w:numId w:val="99"/>
        </w:numPr>
      </w:pPr>
      <w:r>
        <w:t xml:space="preserve">SMM9: </w:t>
      </w:r>
      <w:r w:rsidR="006D4DB0" w:rsidRPr="006D4DB0">
        <w:t>Behind the meter biogas</w:t>
      </w:r>
      <w:r w:rsidR="005723CE">
        <w:t xml:space="preserve"> direct measurement</w:t>
      </w:r>
    </w:p>
    <w:p w14:paraId="2E4907C3" w14:textId="04C41846" w:rsidR="00747A21" w:rsidRPr="00C639A0" w:rsidRDefault="0041101D" w:rsidP="00E37634">
      <w:pPr>
        <w:pStyle w:val="Heading1"/>
        <w:ind w:left="426"/>
      </w:pPr>
      <w:bookmarkStart w:id="29" w:name="_Toc232605511"/>
      <w:bookmarkStart w:id="30" w:name="_Toc232605656"/>
      <w:bookmarkStart w:id="31" w:name="_Toc232605512"/>
      <w:bookmarkStart w:id="32" w:name="_Toc232605657"/>
      <w:bookmarkStart w:id="33" w:name="_Toc232605513"/>
      <w:bookmarkStart w:id="34" w:name="_Toc232605658"/>
      <w:bookmarkStart w:id="35" w:name="_Toc232605514"/>
      <w:bookmarkStart w:id="36" w:name="_Toc232605659"/>
      <w:bookmarkStart w:id="37" w:name="_Toc232605515"/>
      <w:bookmarkStart w:id="38" w:name="_Toc232605660"/>
      <w:bookmarkStart w:id="39" w:name="_Toc232605516"/>
      <w:bookmarkStart w:id="40" w:name="_Toc232605661"/>
      <w:bookmarkStart w:id="41" w:name="_Toc232605517"/>
      <w:bookmarkStart w:id="42" w:name="_Toc232605662"/>
      <w:bookmarkStart w:id="43" w:name="_Toc232605518"/>
      <w:bookmarkStart w:id="44" w:name="_Toc232605663"/>
      <w:bookmarkStart w:id="45" w:name="_Toc232605519"/>
      <w:bookmarkStart w:id="46" w:name="_Toc232605664"/>
      <w:bookmarkStart w:id="47" w:name="_Toc232600122"/>
      <w:bookmarkStart w:id="48" w:name="_Toc232600665"/>
      <w:bookmarkStart w:id="49" w:name="_Toc232600900"/>
      <w:bookmarkStart w:id="50" w:name="_Toc232602320"/>
      <w:bookmarkStart w:id="51" w:name="_Toc232605520"/>
      <w:bookmarkStart w:id="52" w:name="_Toc232605665"/>
      <w:bookmarkStart w:id="53" w:name="_Toc200577486"/>
      <w:bookmarkStart w:id="54" w:name="_Toc232605521"/>
      <w:bookmarkStart w:id="55" w:name="_Toc239413185"/>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lastRenderedPageBreak/>
        <w:t>Variables and terms for all methods</w:t>
      </w:r>
      <w:bookmarkEnd w:id="53"/>
      <w:bookmarkEnd w:id="54"/>
      <w:bookmarkEnd w:id="55"/>
    </w:p>
    <w:p w14:paraId="42BB82B4" w14:textId="617D3A2E" w:rsidR="00747A21" w:rsidRDefault="00747A21" w:rsidP="00A6385C">
      <w:pPr>
        <w:pStyle w:val="Heading2"/>
      </w:pPr>
      <w:bookmarkStart w:id="56" w:name="_Toc75862241"/>
      <w:bookmarkStart w:id="57" w:name="_Toc200577487"/>
      <w:bookmarkStart w:id="58" w:name="_Toc232605522"/>
      <w:r>
        <w:t>Definitions</w:t>
      </w:r>
      <w:bookmarkEnd w:id="56"/>
      <w:bookmarkEnd w:id="57"/>
      <w:bookmarkEnd w:id="58"/>
      <w:r w:rsidR="002B0480">
        <w:t xml:space="preserve"> </w:t>
      </w:r>
    </w:p>
    <w:p w14:paraId="22A95D3B" w14:textId="5FB5620E" w:rsidR="00820681" w:rsidRPr="00724070" w:rsidRDefault="00820681" w:rsidP="00747A21">
      <w:pPr>
        <w:pStyle w:val="BodyText"/>
        <w:rPr>
          <w:i/>
        </w:rPr>
      </w:pPr>
      <w:r w:rsidRPr="00724070">
        <w:rPr>
          <w:b/>
          <w:i/>
        </w:rPr>
        <w:t>Annual creation</w:t>
      </w:r>
      <w:r w:rsidR="00C451AA" w:rsidRPr="00724070">
        <w:rPr>
          <w:b/>
          <w:i/>
        </w:rPr>
        <w:t xml:space="preserve"> or top up</w:t>
      </w:r>
      <w:r w:rsidR="0079189E" w:rsidRPr="00724070">
        <w:rPr>
          <w:bCs/>
          <w:i/>
        </w:rPr>
        <w:t xml:space="preserve"> </w:t>
      </w:r>
      <w:r w:rsidR="0079189E" w:rsidRPr="00724070">
        <w:rPr>
          <w:iCs/>
        </w:rPr>
        <w:t xml:space="preserve">means the annual energy savings from which VEECs can be calculated and created using measured annual energy consumption. To determine the annual energy savings from which VEECs can be created, a baseline model for each measurement boundary </w:t>
      </w:r>
      <w:r w:rsidR="00DF1712">
        <w:rPr>
          <w:iCs/>
        </w:rPr>
        <w:t>which establishes the</w:t>
      </w:r>
      <w:r w:rsidR="0079189E" w:rsidRPr="00724070">
        <w:rPr>
          <w:iCs/>
        </w:rPr>
        <w:t xml:space="preserve"> </w:t>
      </w:r>
      <w:r w:rsidR="00D132A1">
        <w:rPr>
          <w:iCs/>
        </w:rPr>
        <w:t>baseline period</w:t>
      </w:r>
      <w:r w:rsidR="0079189E" w:rsidRPr="00724070">
        <w:rPr>
          <w:iCs/>
        </w:rPr>
        <w:t xml:space="preserve"> and the energy consumed in that measurement boundary during the reporting period must be measured and compared</w:t>
      </w:r>
      <w:r w:rsidR="00013462">
        <w:rPr>
          <w:iCs/>
        </w:rPr>
        <w:t>;</w:t>
      </w:r>
    </w:p>
    <w:p w14:paraId="1E4C35A0" w14:textId="4C7FA44D" w:rsidR="006D0575" w:rsidRDefault="006D0575" w:rsidP="00747A21">
      <w:pPr>
        <w:pStyle w:val="BodyText"/>
      </w:pPr>
      <w:r w:rsidRPr="1C39C620">
        <w:rPr>
          <w:b/>
          <w:bCs/>
          <w:i/>
          <w:iCs/>
        </w:rPr>
        <w:t xml:space="preserve">Counted savings </w:t>
      </w:r>
      <w:r w:rsidR="00C36D32">
        <w:t xml:space="preserve">means the reduction of carbon dioxide equivalent (in tonnes) of greenhouse gases represented by certificates created in respect of upgrades undertaken within the measurement boundary </w:t>
      </w:r>
      <w:r w:rsidR="00E768AD" w:rsidRPr="002131AB">
        <w:t xml:space="preserve">during project </w:t>
      </w:r>
      <w:r w:rsidR="002131AB">
        <w:t>baseline and operating period</w:t>
      </w:r>
      <w:r w:rsidR="00013462">
        <w:t>;</w:t>
      </w:r>
    </w:p>
    <w:p w14:paraId="5AFE2278" w14:textId="57CF096B" w:rsidR="008B361A" w:rsidRPr="0079189E" w:rsidRDefault="008B361A" w:rsidP="00747A21">
      <w:pPr>
        <w:pStyle w:val="BodyText"/>
      </w:pPr>
      <w:r w:rsidRPr="00C236B0">
        <w:rPr>
          <w:b/>
          <w:bCs/>
          <w:i/>
          <w:iCs/>
        </w:rPr>
        <w:t>Baseline period</w:t>
      </w:r>
      <w:r>
        <w:t xml:space="preserve"> means</w:t>
      </w:r>
      <w:r w:rsidR="00083A3A">
        <w:t xml:space="preserve">, in relation to a measurement boundary, </w:t>
      </w:r>
      <w:r w:rsidR="005C0ACD">
        <w:t xml:space="preserve">typically </w:t>
      </w:r>
      <w:r w:rsidR="00083A3A">
        <w:t>a</w:t>
      </w:r>
      <w:r w:rsidR="00883A6C">
        <w:t xml:space="preserve"> 12-month</w:t>
      </w:r>
      <w:r w:rsidR="00D132A1">
        <w:t xml:space="preserve"> period </w:t>
      </w:r>
      <w:r w:rsidR="00883A6C">
        <w:t xml:space="preserve">of measurement that </w:t>
      </w:r>
      <w:r w:rsidR="000904E1">
        <w:t xml:space="preserve">occurs </w:t>
      </w:r>
      <w:r w:rsidR="00083A3A">
        <w:t xml:space="preserve">before the </w:t>
      </w:r>
      <w:r w:rsidR="00FB24AD" w:rsidRPr="00FB24AD">
        <w:t>energy efficiency measures have been installed</w:t>
      </w:r>
      <w:r w:rsidR="000904E1">
        <w:t xml:space="preserve">, to establish a reasonably </w:t>
      </w:r>
      <w:r w:rsidR="006A3C04">
        <w:t xml:space="preserve">accurate and reliable estimate of the measured energy consumption </w:t>
      </w:r>
      <w:r w:rsidR="00265933">
        <w:t>from which a</w:t>
      </w:r>
      <w:r w:rsidR="006A3C04">
        <w:t xml:space="preserve"> baseline </w:t>
      </w:r>
      <w:r w:rsidR="00A450AA">
        <w:t xml:space="preserve">energy </w:t>
      </w:r>
      <w:r w:rsidR="006A3C04">
        <w:t>model</w:t>
      </w:r>
      <w:r w:rsidR="00265933">
        <w:t xml:space="preserve"> can be developed</w:t>
      </w:r>
      <w:r w:rsidR="00013462">
        <w:t>;</w:t>
      </w:r>
    </w:p>
    <w:p w14:paraId="27EA0D43" w14:textId="7CE310B9" w:rsidR="0020297C" w:rsidRDefault="0020297C" w:rsidP="00747A21">
      <w:pPr>
        <w:pStyle w:val="BodyText"/>
        <w:rPr>
          <w:bCs/>
          <w:iCs/>
        </w:rPr>
      </w:pPr>
      <w:r w:rsidRPr="0079189E">
        <w:rPr>
          <w:b/>
          <w:i/>
        </w:rPr>
        <w:t>Effective range</w:t>
      </w:r>
      <w:r w:rsidRPr="0079189E">
        <w:rPr>
          <w:bCs/>
          <w:iCs/>
        </w:rPr>
        <w:t xml:space="preserve"> means </w:t>
      </w:r>
      <w:r w:rsidR="00B97CF5" w:rsidRPr="0079189E">
        <w:rPr>
          <w:bCs/>
          <w:iCs/>
        </w:rPr>
        <w:t xml:space="preserve">the range of values of the variable used to develop the baseline and operating models, </w:t>
      </w:r>
      <w:r w:rsidR="005C3A4E" w:rsidRPr="0079189E">
        <w:rPr>
          <w:bCs/>
          <w:iCs/>
        </w:rPr>
        <w:t>(</w:t>
      </w:r>
      <w:r w:rsidR="00B97CF5" w:rsidRPr="0079189E">
        <w:rPr>
          <w:bCs/>
          <w:iCs/>
        </w:rPr>
        <w:t>i.e. the maximum and the minimum values</w:t>
      </w:r>
      <w:r w:rsidR="005C3A4E" w:rsidRPr="0079189E">
        <w:rPr>
          <w:bCs/>
          <w:iCs/>
        </w:rPr>
        <w:t>)</w:t>
      </w:r>
      <w:r w:rsidR="00B97CF5" w:rsidRPr="0079189E">
        <w:rPr>
          <w:bCs/>
          <w:iCs/>
        </w:rPr>
        <w:t xml:space="preserve"> and </w:t>
      </w:r>
      <w:r w:rsidR="005C3A4E" w:rsidRPr="0079189E">
        <w:rPr>
          <w:bCs/>
          <w:iCs/>
        </w:rPr>
        <w:t>the values of any</w:t>
      </w:r>
      <w:r w:rsidR="00B97CF5" w:rsidRPr="0079189E">
        <w:rPr>
          <w:bCs/>
          <w:iCs/>
        </w:rPr>
        <w:t xml:space="preserve"> tolerance</w:t>
      </w:r>
      <w:r w:rsidR="005C3A4E" w:rsidRPr="0079189E">
        <w:rPr>
          <w:bCs/>
          <w:iCs/>
        </w:rPr>
        <w:t>s the relevant method allows</w:t>
      </w:r>
      <w:r w:rsidR="00013462">
        <w:rPr>
          <w:bCs/>
          <w:iCs/>
        </w:rPr>
        <w:t>;</w:t>
      </w:r>
    </w:p>
    <w:p w14:paraId="66AFC929" w14:textId="77777777" w:rsidR="001B4F78" w:rsidRDefault="001B4F78" w:rsidP="001B4F78">
      <w:pPr>
        <w:pStyle w:val="BodyText"/>
        <w:rPr>
          <w:b/>
          <w:bCs/>
          <w:i/>
          <w:iCs/>
        </w:rPr>
      </w:pPr>
      <w:r w:rsidRPr="6D850B9A">
        <w:rPr>
          <w:b/>
          <w:bCs/>
          <w:i/>
          <w:iCs/>
        </w:rPr>
        <w:t>Eligible range</w:t>
      </w:r>
      <w:r w:rsidRPr="00AB388E">
        <w:rPr>
          <w:i/>
          <w:iCs/>
        </w:rPr>
        <w:t xml:space="preserve"> </w:t>
      </w:r>
      <w:r w:rsidRPr="001B4F78">
        <w:t>means the range of independent variable values within which energy savings can be calculated;</w:t>
      </w:r>
    </w:p>
    <w:p w14:paraId="669CFE05" w14:textId="4E0D1452" w:rsidR="000916E9" w:rsidRPr="0079189E" w:rsidRDefault="000916E9" w:rsidP="00747A21">
      <w:pPr>
        <w:pStyle w:val="BodyText"/>
        <w:rPr>
          <w:bCs/>
          <w:iCs/>
        </w:rPr>
      </w:pPr>
      <w:r w:rsidRPr="0079189E">
        <w:rPr>
          <w:b/>
          <w:i/>
        </w:rPr>
        <w:t>Emissions factor</w:t>
      </w:r>
      <w:r w:rsidRPr="0079189E">
        <w:rPr>
          <w:bCs/>
          <w:iCs/>
        </w:rPr>
        <w:t xml:space="preserve"> means the </w:t>
      </w:r>
      <w:r w:rsidR="00C451AA" w:rsidRPr="0079189E">
        <w:rPr>
          <w:bCs/>
          <w:iCs/>
        </w:rPr>
        <w:t xml:space="preserve">variable used to determine the equivalent number </w:t>
      </w:r>
      <w:r w:rsidR="00C451AA" w:rsidRPr="0079189E" w:rsidDel="00B14B1F">
        <w:rPr>
          <w:bCs/>
          <w:iCs/>
        </w:rPr>
        <w:t xml:space="preserve">(in tonnes) </w:t>
      </w:r>
      <w:r w:rsidR="00C451AA" w:rsidRPr="0079189E">
        <w:rPr>
          <w:bCs/>
          <w:iCs/>
        </w:rPr>
        <w:t>of greenhouse gas</w:t>
      </w:r>
      <w:r w:rsidR="00B3444F" w:rsidRPr="0079189E">
        <w:rPr>
          <w:bCs/>
          <w:iCs/>
        </w:rPr>
        <w:t xml:space="preserve">es avoided by a given amount of energy use avoided. </w:t>
      </w:r>
      <w:r w:rsidRPr="0079189E">
        <w:rPr>
          <w:bCs/>
          <w:iCs/>
        </w:rPr>
        <w:t>That is:</w:t>
      </w:r>
    </w:p>
    <w:p w14:paraId="26834475" w14:textId="5FADE391" w:rsidR="000916E9" w:rsidRPr="0029241A" w:rsidRDefault="000916E9">
      <w:pPr>
        <w:pStyle w:val="ListParagraph"/>
        <w:numPr>
          <w:ilvl w:val="0"/>
          <w:numId w:val="79"/>
        </w:numPr>
        <w:spacing w:line="120" w:lineRule="atLeast"/>
        <w:rPr>
          <w:rFonts w:ascii="Arial" w:hAnsi="Arial"/>
        </w:rPr>
      </w:pPr>
      <w:r w:rsidRPr="008E3DDF">
        <w:rPr>
          <w:rFonts w:ascii="Arial" w:hAnsi="Arial"/>
        </w:rPr>
        <w:t xml:space="preserve">for electricity when energy savings are calculated using </w:t>
      </w:r>
      <w:r w:rsidR="00C451AA" w:rsidRPr="008E3DDF">
        <w:rPr>
          <w:rFonts w:ascii="Arial" w:hAnsi="Arial"/>
        </w:rPr>
        <w:t xml:space="preserve">a </w:t>
      </w:r>
      <w:r w:rsidRPr="008E3DDF">
        <w:rPr>
          <w:rFonts w:ascii="Arial" w:hAnsi="Arial"/>
        </w:rPr>
        <w:t>forward creation</w:t>
      </w:r>
      <w:r w:rsidR="00C451AA" w:rsidRPr="008E3DDF">
        <w:rPr>
          <w:rFonts w:ascii="Arial" w:hAnsi="Arial"/>
        </w:rPr>
        <w:t xml:space="preserve"> method</w:t>
      </w:r>
      <w:r w:rsidRPr="008E3DDF">
        <w:rPr>
          <w:rFonts w:ascii="Arial" w:hAnsi="Arial"/>
        </w:rPr>
        <w:t xml:space="preserve"> with an implementation start time</w:t>
      </w:r>
      <w:r w:rsidR="00FE395D">
        <w:rPr>
          <w:rFonts w:ascii="Arial" w:hAnsi="Arial"/>
        </w:rPr>
        <w:t>:</w:t>
      </w:r>
      <w:r w:rsidRPr="008E3DDF">
        <w:rPr>
          <w:rFonts w:ascii="Arial" w:hAnsi="Arial"/>
        </w:rPr>
        <w:t xml:space="preserve"> </w:t>
      </w:r>
      <w:r w:rsidRPr="008E3DDF">
        <w:rPr>
          <w:rFonts w:ascii="Arial" w:hAnsi="Arial"/>
        </w:rPr>
        <w:br/>
      </w:r>
      <w:r w:rsidR="0029241A">
        <w:rPr>
          <w:rFonts w:ascii="Arial" w:hAnsi="Arial"/>
        </w:rPr>
        <w:t xml:space="preserve">- </w:t>
      </w:r>
      <w:r w:rsidRPr="008E3DDF">
        <w:rPr>
          <w:rFonts w:ascii="Arial" w:hAnsi="Arial"/>
        </w:rPr>
        <w:t>between 1 August 2021 and 31 January 2022 is 0.9546 (T CO2-e/MWh)</w:t>
      </w:r>
      <w:r w:rsidR="002C2A2B">
        <w:rPr>
          <w:rFonts w:ascii="Arial" w:hAnsi="Arial"/>
        </w:rPr>
        <w:t>;</w:t>
      </w:r>
      <w:r w:rsidRPr="0029241A">
        <w:rPr>
          <w:rFonts w:ascii="Arial" w:hAnsi="Arial"/>
        </w:rPr>
        <w:br/>
        <w:t>- between 1 February 2022 and 31 January 2023 is 0.8142 (T CO2-e/MWh)</w:t>
      </w:r>
      <w:r w:rsidR="002C2A2B">
        <w:rPr>
          <w:rFonts w:ascii="Arial" w:hAnsi="Arial"/>
        </w:rPr>
        <w:t>;</w:t>
      </w:r>
      <w:r w:rsidRPr="0029241A">
        <w:rPr>
          <w:rFonts w:ascii="Arial" w:hAnsi="Arial"/>
        </w:rPr>
        <w:br/>
        <w:t>- between 1 February 2023 and 31 January 2024 is 0.6738 (T CO2-e/MWh)</w:t>
      </w:r>
      <w:r w:rsidR="002C2A2B">
        <w:rPr>
          <w:rFonts w:ascii="Arial" w:hAnsi="Arial"/>
        </w:rPr>
        <w:t>;</w:t>
      </w:r>
      <w:r w:rsidRPr="0029241A">
        <w:rPr>
          <w:rFonts w:ascii="Arial" w:hAnsi="Arial"/>
        </w:rPr>
        <w:br/>
        <w:t>- between 1 February 2024 and 31 January 2025 is 0.5334 (T CO2-e/MWh)</w:t>
      </w:r>
      <w:r w:rsidR="002C2A2B">
        <w:rPr>
          <w:rFonts w:ascii="Arial" w:hAnsi="Arial"/>
        </w:rPr>
        <w:t>;</w:t>
      </w:r>
      <w:r w:rsidRPr="0029241A">
        <w:rPr>
          <w:rFonts w:ascii="Arial" w:hAnsi="Arial"/>
        </w:rPr>
        <w:br/>
        <w:t>- after 1 February 2025 is 0.3930 (T CO2-e/MWh)</w:t>
      </w:r>
      <w:r w:rsidR="002C2A2B">
        <w:rPr>
          <w:rFonts w:ascii="Arial" w:hAnsi="Arial"/>
        </w:rPr>
        <w:t>.</w:t>
      </w:r>
    </w:p>
    <w:p w14:paraId="6A5363BA" w14:textId="5993E768" w:rsidR="0029241A" w:rsidRPr="0029241A" w:rsidRDefault="000916E9">
      <w:pPr>
        <w:pStyle w:val="ListParagraph"/>
        <w:keepNext/>
        <w:keepLines/>
        <w:numPr>
          <w:ilvl w:val="0"/>
          <w:numId w:val="79"/>
        </w:numPr>
        <w:spacing w:line="120" w:lineRule="atLeast"/>
        <w:rPr>
          <w:rFonts w:ascii="Arial" w:hAnsi="Arial"/>
        </w:rPr>
      </w:pPr>
      <w:r w:rsidRPr="0029241A">
        <w:rPr>
          <w:rFonts w:ascii="Arial" w:hAnsi="Arial"/>
        </w:rPr>
        <w:t xml:space="preserve">for electricity when energy savings are calculated using </w:t>
      </w:r>
      <w:r w:rsidR="00C451AA" w:rsidRPr="0029241A">
        <w:rPr>
          <w:rFonts w:ascii="Arial" w:hAnsi="Arial"/>
        </w:rPr>
        <w:t xml:space="preserve">an </w:t>
      </w:r>
      <w:r w:rsidRPr="0029241A">
        <w:rPr>
          <w:rFonts w:ascii="Arial" w:hAnsi="Arial"/>
        </w:rPr>
        <w:t>annual creation or top up</w:t>
      </w:r>
      <w:r w:rsidR="00C451AA" w:rsidRPr="0029241A">
        <w:rPr>
          <w:rFonts w:ascii="Arial" w:hAnsi="Arial"/>
        </w:rPr>
        <w:t xml:space="preserve"> method</w:t>
      </w:r>
      <w:r w:rsidRPr="0029241A">
        <w:rPr>
          <w:rFonts w:ascii="Arial" w:hAnsi="Arial"/>
        </w:rPr>
        <w:t xml:space="preserve"> with the first time interval</w:t>
      </w:r>
      <w:r w:rsidR="0029241A" w:rsidRPr="0029241A">
        <w:rPr>
          <w:rFonts w:ascii="Arial" w:hAnsi="Arial"/>
        </w:rPr>
        <w:t>:</w:t>
      </w:r>
    </w:p>
    <w:p w14:paraId="4245B46C" w14:textId="4D298695" w:rsidR="0029241A" w:rsidRDefault="000916E9" w:rsidP="00112CC6">
      <w:pPr>
        <w:pStyle w:val="ListParagraph"/>
        <w:keepNext/>
        <w:keepLines/>
        <w:spacing w:line="120" w:lineRule="atLeast"/>
        <w:ind w:left="1077"/>
        <w:rPr>
          <w:rFonts w:ascii="Arial" w:hAnsi="Arial"/>
        </w:rPr>
      </w:pPr>
      <w:r w:rsidRPr="0029241A">
        <w:rPr>
          <w:rFonts w:ascii="Arial" w:hAnsi="Arial"/>
        </w:rPr>
        <w:t>- between 1 August 2021 and 31 January 2022 is 0.98 (T CO2-e/MWh)</w:t>
      </w:r>
      <w:r w:rsidR="002C2A2B">
        <w:rPr>
          <w:rFonts w:ascii="Arial" w:hAnsi="Arial"/>
        </w:rPr>
        <w:t>;</w:t>
      </w:r>
      <w:r w:rsidRPr="0029241A">
        <w:rPr>
          <w:rFonts w:ascii="Arial" w:hAnsi="Arial"/>
        </w:rPr>
        <w:br/>
        <w:t>- between 1 February 2022 and 31 January 2023 is 0.96 (T CO2-e/MWh)</w:t>
      </w:r>
      <w:r w:rsidR="002C2A2B">
        <w:rPr>
          <w:rFonts w:ascii="Arial" w:hAnsi="Arial"/>
        </w:rPr>
        <w:t>;</w:t>
      </w:r>
      <w:r w:rsidRPr="0029241A">
        <w:rPr>
          <w:rFonts w:ascii="Arial" w:hAnsi="Arial"/>
        </w:rPr>
        <w:br/>
        <w:t>- between 1 February 2023 and 31 January 2024 is 0.85 (T CO2-e/MWh)</w:t>
      </w:r>
      <w:r w:rsidR="002C2A2B">
        <w:rPr>
          <w:rFonts w:ascii="Arial" w:hAnsi="Arial"/>
        </w:rPr>
        <w:t>;</w:t>
      </w:r>
      <w:r w:rsidRPr="0029241A">
        <w:rPr>
          <w:rFonts w:ascii="Arial" w:hAnsi="Arial"/>
        </w:rPr>
        <w:br/>
        <w:t>- between 1 February 2024 and 31 January 2025 is 0.79 (T CO2-e/MWh)</w:t>
      </w:r>
      <w:r w:rsidR="002C2A2B">
        <w:rPr>
          <w:rFonts w:ascii="Arial" w:hAnsi="Arial"/>
        </w:rPr>
        <w:t>;</w:t>
      </w:r>
      <w:r w:rsidRPr="0029241A">
        <w:rPr>
          <w:rFonts w:ascii="Arial" w:hAnsi="Arial"/>
        </w:rPr>
        <w:br/>
        <w:t>- between 1 February 2025 and January 202</w:t>
      </w:r>
      <w:r w:rsidR="008A07BA">
        <w:rPr>
          <w:rFonts w:ascii="Arial" w:hAnsi="Arial"/>
        </w:rPr>
        <w:t>6</w:t>
      </w:r>
      <w:r w:rsidRPr="0029241A">
        <w:rPr>
          <w:rFonts w:ascii="Arial" w:hAnsi="Arial"/>
        </w:rPr>
        <w:t xml:space="preserve"> is 0.77 (T CO2-e/MWh)</w:t>
      </w:r>
      <w:r w:rsidR="002C2A2B">
        <w:rPr>
          <w:rFonts w:ascii="Arial" w:hAnsi="Arial"/>
        </w:rPr>
        <w:t>;</w:t>
      </w:r>
    </w:p>
    <w:p w14:paraId="31AADF9E" w14:textId="77777777" w:rsidR="00D03F3D" w:rsidRDefault="0029241A" w:rsidP="00D03F3D">
      <w:pPr>
        <w:pStyle w:val="ListParagraph"/>
        <w:keepNext/>
        <w:keepLines/>
        <w:spacing w:line="120" w:lineRule="atLeast"/>
        <w:ind w:left="1077"/>
        <w:rPr>
          <w:rFonts w:ascii="Arial" w:hAnsi="Arial"/>
        </w:rPr>
      </w:pPr>
      <w:r>
        <w:rPr>
          <w:rFonts w:ascii="Arial" w:hAnsi="Arial"/>
        </w:rPr>
        <w:t xml:space="preserve">- </w:t>
      </w:r>
      <w:r w:rsidR="00D03F3D" w:rsidRPr="0029241A">
        <w:rPr>
          <w:rFonts w:ascii="Arial" w:hAnsi="Arial"/>
        </w:rPr>
        <w:t>between 1 February 202</w:t>
      </w:r>
      <w:r w:rsidR="00D03F3D">
        <w:rPr>
          <w:rFonts w:ascii="Arial" w:hAnsi="Arial"/>
        </w:rPr>
        <w:t>6</w:t>
      </w:r>
      <w:r w:rsidR="00D03F3D" w:rsidRPr="0029241A">
        <w:rPr>
          <w:rFonts w:ascii="Arial" w:hAnsi="Arial"/>
        </w:rPr>
        <w:t xml:space="preserve"> and January 202</w:t>
      </w:r>
      <w:r w:rsidR="00D03F3D">
        <w:rPr>
          <w:rFonts w:ascii="Arial" w:hAnsi="Arial"/>
        </w:rPr>
        <w:t>7</w:t>
      </w:r>
      <w:r w:rsidR="00D03F3D" w:rsidRPr="0029241A">
        <w:rPr>
          <w:rFonts w:ascii="Arial" w:hAnsi="Arial"/>
        </w:rPr>
        <w:t xml:space="preserve"> is 0.7</w:t>
      </w:r>
      <w:r w:rsidR="00D03F3D">
        <w:rPr>
          <w:rFonts w:ascii="Arial" w:hAnsi="Arial"/>
        </w:rPr>
        <w:t>8</w:t>
      </w:r>
      <w:r w:rsidR="00D03F3D" w:rsidRPr="0029241A">
        <w:rPr>
          <w:rFonts w:ascii="Arial" w:hAnsi="Arial"/>
        </w:rPr>
        <w:t xml:space="preserve"> (T CO2-e/MWh)</w:t>
      </w:r>
      <w:r w:rsidR="00D03F3D">
        <w:rPr>
          <w:rFonts w:ascii="Arial" w:hAnsi="Arial"/>
        </w:rPr>
        <w:t>;</w:t>
      </w:r>
    </w:p>
    <w:p w14:paraId="263F76E3" w14:textId="34F316CF" w:rsidR="00112CC6" w:rsidRDefault="0029241A" w:rsidP="00112CC6">
      <w:pPr>
        <w:pStyle w:val="ListParagraph"/>
        <w:keepNext/>
        <w:keepLines/>
        <w:spacing w:line="120" w:lineRule="atLeast"/>
        <w:ind w:left="1077"/>
        <w:rPr>
          <w:rFonts w:ascii="Arial" w:hAnsi="Arial"/>
        </w:rPr>
      </w:pPr>
      <w:r>
        <w:rPr>
          <w:rFonts w:ascii="Arial" w:hAnsi="Arial"/>
        </w:rPr>
        <w:t xml:space="preserve">- </w:t>
      </w:r>
      <w:r w:rsidR="000916E9" w:rsidRPr="0010372B">
        <w:rPr>
          <w:rFonts w:ascii="Arial" w:hAnsi="Arial"/>
        </w:rPr>
        <w:t xml:space="preserve">after 1 February </w:t>
      </w:r>
      <w:r w:rsidR="00D03F3D" w:rsidRPr="0010372B">
        <w:rPr>
          <w:rFonts w:ascii="Arial" w:hAnsi="Arial"/>
        </w:rPr>
        <w:t>202</w:t>
      </w:r>
      <w:r w:rsidR="00D03F3D">
        <w:rPr>
          <w:rFonts w:ascii="Arial" w:hAnsi="Arial"/>
        </w:rPr>
        <w:t>7</w:t>
      </w:r>
      <w:r w:rsidR="00D03F3D" w:rsidRPr="0010372B">
        <w:rPr>
          <w:rFonts w:ascii="Arial" w:hAnsi="Arial"/>
        </w:rPr>
        <w:t xml:space="preserve"> is to be confirmed</w:t>
      </w:r>
      <w:r w:rsidR="00D03F3D">
        <w:rPr>
          <w:rFonts w:ascii="Arial" w:hAnsi="Arial"/>
        </w:rPr>
        <w:t>.</w:t>
      </w:r>
    </w:p>
    <w:p w14:paraId="27612A08" w14:textId="0903A183" w:rsidR="00780687" w:rsidRDefault="000916E9">
      <w:pPr>
        <w:pStyle w:val="ListParagraph"/>
        <w:keepNext/>
        <w:keepLines/>
        <w:numPr>
          <w:ilvl w:val="0"/>
          <w:numId w:val="79"/>
        </w:numPr>
        <w:spacing w:line="120" w:lineRule="atLeast"/>
        <w:rPr>
          <w:rFonts w:ascii="Arial" w:hAnsi="Arial"/>
        </w:rPr>
      </w:pPr>
      <w:r w:rsidRPr="00780687">
        <w:rPr>
          <w:rFonts w:ascii="Arial" w:hAnsi="Arial"/>
        </w:rPr>
        <w:t>for natural gas is 0.05523 (T CO2-e/GJ);</w:t>
      </w:r>
    </w:p>
    <w:p w14:paraId="2D3A6E7E" w14:textId="6B57CAA5" w:rsidR="000916E9" w:rsidRPr="00112CC6" w:rsidRDefault="000916E9">
      <w:pPr>
        <w:pStyle w:val="ListParagraph"/>
        <w:keepNext/>
        <w:keepLines/>
        <w:numPr>
          <w:ilvl w:val="0"/>
          <w:numId w:val="79"/>
        </w:numPr>
        <w:spacing w:line="120" w:lineRule="atLeast"/>
        <w:rPr>
          <w:rFonts w:ascii="Arial" w:hAnsi="Arial"/>
        </w:rPr>
      </w:pPr>
      <w:r w:rsidRPr="00112CC6">
        <w:rPr>
          <w:rFonts w:ascii="Arial" w:hAnsi="Arial"/>
        </w:rPr>
        <w:t>for liquefied petroleum gas is 0.0642 (T CO2-e/GJ);</w:t>
      </w:r>
    </w:p>
    <w:p w14:paraId="35AD91D8" w14:textId="220614A7" w:rsidR="000916E9" w:rsidRPr="00112CC6" w:rsidRDefault="000916E9">
      <w:pPr>
        <w:pStyle w:val="ListParagraph"/>
        <w:keepNext/>
        <w:keepLines/>
        <w:numPr>
          <w:ilvl w:val="0"/>
          <w:numId w:val="79"/>
        </w:numPr>
        <w:spacing w:line="120" w:lineRule="atLeast"/>
        <w:rPr>
          <w:rFonts w:ascii="Arial" w:hAnsi="Arial"/>
        </w:rPr>
      </w:pPr>
      <w:r w:rsidRPr="00112CC6">
        <w:rPr>
          <w:rFonts w:ascii="Arial" w:hAnsi="Arial"/>
        </w:rPr>
        <w:t>for solar, wind, hydroelectric, geothermal and ocean energy is zero;</w:t>
      </w:r>
    </w:p>
    <w:p w14:paraId="56012EF9" w14:textId="6CBED76B" w:rsidR="000916E9" w:rsidRPr="00F8100C" w:rsidRDefault="000916E9">
      <w:pPr>
        <w:pStyle w:val="ListParagraph"/>
        <w:keepNext/>
        <w:keepLines/>
        <w:numPr>
          <w:ilvl w:val="0"/>
          <w:numId w:val="79"/>
        </w:numPr>
        <w:spacing w:line="120" w:lineRule="atLeast"/>
        <w:rPr>
          <w:u w:val="single"/>
        </w:rPr>
      </w:pPr>
      <w:r w:rsidRPr="00112CC6">
        <w:rPr>
          <w:rFonts w:ascii="Arial" w:hAnsi="Arial"/>
        </w:rPr>
        <w:t>for any other renewable energy is the relevant emissions factor for the renewable energy listed in Section 2.1 of the National Greenhouse Accounts Factors published by the Commonwealth Department of the Environment in August 2016</w:t>
      </w:r>
      <w:r w:rsidR="006B2737">
        <w:rPr>
          <w:rFonts w:ascii="Arial" w:hAnsi="Arial"/>
        </w:rPr>
        <w:t>;</w:t>
      </w:r>
    </w:p>
    <w:p w14:paraId="6B8C6E71" w14:textId="7DFFC459" w:rsidR="006B2737" w:rsidRPr="00E37634" w:rsidRDefault="006B2737">
      <w:pPr>
        <w:pStyle w:val="ListParagraph"/>
        <w:keepNext/>
        <w:keepLines/>
        <w:numPr>
          <w:ilvl w:val="0"/>
          <w:numId w:val="79"/>
        </w:numPr>
        <w:spacing w:line="120" w:lineRule="atLeast"/>
        <w:rPr>
          <w:bCs/>
          <w:iCs/>
          <w:u w:val="single"/>
        </w:rPr>
      </w:pPr>
      <w:r>
        <w:rPr>
          <w:rFonts w:ascii="Arial" w:hAnsi="Arial"/>
        </w:rPr>
        <w:t>for electric thermal energy storage direct measurement and behind the meter biogas direct measurement, the emissions factors are defined in each Specified measurement method.</w:t>
      </w:r>
    </w:p>
    <w:p w14:paraId="7B22FD38" w14:textId="348479BB" w:rsidR="002C3FD9" w:rsidRDefault="002C3FD9" w:rsidP="002C3FD9">
      <w:pPr>
        <w:pStyle w:val="BodyText"/>
        <w:rPr>
          <w:bCs/>
          <w:iCs/>
        </w:rPr>
      </w:pPr>
      <w:r>
        <w:rPr>
          <w:b/>
          <w:i/>
        </w:rPr>
        <w:t xml:space="preserve">Estimate of the mean </w:t>
      </w:r>
      <w:r w:rsidRPr="004B1D44">
        <w:rPr>
          <w:bCs/>
          <w:iCs/>
        </w:rPr>
        <w:t xml:space="preserve">means </w:t>
      </w:r>
      <w:r>
        <w:rPr>
          <w:bCs/>
          <w:iCs/>
        </w:rPr>
        <w:t xml:space="preserve">a model </w:t>
      </w:r>
      <w:r w:rsidRPr="004B1D44">
        <w:rPr>
          <w:bCs/>
          <w:iCs/>
        </w:rPr>
        <w:t>based on the values of the measured energy consumption within the measurement boundary during the baseline period (for a baseline energy model) or operating period (for an operating energy model), where site constants are at their normal values and where the coefficient of variation of the measured energy consumption over the period is less than 15%; and</w:t>
      </w:r>
      <w:r>
        <w:rPr>
          <w:bCs/>
          <w:iCs/>
        </w:rPr>
        <w:t xml:space="preserve"> </w:t>
      </w:r>
      <w:r w:rsidRPr="004B1D44">
        <w:rPr>
          <w:bCs/>
          <w:iCs/>
        </w:rPr>
        <w:t>is based on at least 80% of the total number of time intervals in the baseline period (for a baseline energy model) or the operating period (for an operating energy model)</w:t>
      </w:r>
      <w:r w:rsidR="002C2A2B">
        <w:rPr>
          <w:bCs/>
          <w:iCs/>
        </w:rPr>
        <w:t>;</w:t>
      </w:r>
    </w:p>
    <w:p w14:paraId="5BA2B750" w14:textId="705B0400" w:rsidR="006C54C4" w:rsidRDefault="006C54C4" w:rsidP="003B0A33">
      <w:pPr>
        <w:pStyle w:val="BodyText"/>
        <w:rPr>
          <w:bCs/>
          <w:iCs/>
        </w:rPr>
      </w:pPr>
      <w:r w:rsidRPr="00724070">
        <w:rPr>
          <w:b/>
          <w:i/>
        </w:rPr>
        <w:t>Forward creation</w:t>
      </w:r>
      <w:r w:rsidRPr="00724070">
        <w:rPr>
          <w:bCs/>
          <w:iCs/>
        </w:rPr>
        <w:t xml:space="preserve"> </w:t>
      </w:r>
      <w:r w:rsidR="0079189E" w:rsidRPr="00724070">
        <w:rPr>
          <w:bCs/>
        </w:rPr>
        <w:t xml:space="preserve">means </w:t>
      </w:r>
      <w:r w:rsidR="0079189E" w:rsidRPr="00510C33">
        <w:rPr>
          <w:bCs/>
        </w:rPr>
        <w:t>using normal year</w:t>
      </w:r>
      <w:r w:rsidR="00822784" w:rsidRPr="00510C33">
        <w:rPr>
          <w:bCs/>
        </w:rPr>
        <w:t xml:space="preserve"> or measured energy savings</w:t>
      </w:r>
      <w:r w:rsidR="0079189E" w:rsidRPr="00510C33">
        <w:rPr>
          <w:bCs/>
        </w:rPr>
        <w:t xml:space="preserve"> </w:t>
      </w:r>
      <w:r w:rsidR="0079189E" w:rsidRPr="00724070">
        <w:rPr>
          <w:bCs/>
        </w:rPr>
        <w:t>for calculating and creating up to 10 years of VEECs at once. To determine the energy savings for future years from which VEECs can be created, a baseline energy model (before the project) and an operating energy model (from the operating period after the project) are compared once they are normalised</w:t>
      </w:r>
      <w:r w:rsidR="002C2A2B">
        <w:rPr>
          <w:bCs/>
        </w:rPr>
        <w:t>;</w:t>
      </w:r>
    </w:p>
    <w:p w14:paraId="528C358F" w14:textId="6EB57600" w:rsidR="00747A21" w:rsidRDefault="00747A21" w:rsidP="00747A21">
      <w:pPr>
        <w:pStyle w:val="BodyText"/>
      </w:pPr>
      <w:r w:rsidRPr="009D5B6D">
        <w:rPr>
          <w:b/>
          <w:bCs/>
          <w:i/>
          <w:iCs/>
        </w:rPr>
        <w:t xml:space="preserve">Impacted </w:t>
      </w:r>
      <w:r>
        <w:rPr>
          <w:b/>
          <w:bCs/>
          <w:i/>
          <w:iCs/>
        </w:rPr>
        <w:t>Project</w:t>
      </w:r>
      <w:r>
        <w:t xml:space="preserve"> means a Project where a State of Emergency</w:t>
      </w:r>
      <w:r w:rsidR="00961997">
        <w:t xml:space="preserve"> or</w:t>
      </w:r>
      <w:r>
        <w:t xml:space="preserve"> State of Disaster has had a material impact on one or more measurement boundaries used to calculate the reduction in greenhouse gases for that Project</w:t>
      </w:r>
      <w:r w:rsidR="002C2A2B">
        <w:t>;</w:t>
      </w:r>
      <w:r>
        <w:t xml:space="preserve"> </w:t>
      </w:r>
    </w:p>
    <w:p w14:paraId="67EF87D0" w14:textId="427CBD89" w:rsidR="00747A21" w:rsidRPr="009D5B6D" w:rsidRDefault="00747A21" w:rsidP="00747A21">
      <w:pPr>
        <w:pStyle w:val="BodyText"/>
      </w:pPr>
      <w:r w:rsidRPr="009D5B6D">
        <w:rPr>
          <w:b/>
          <w:bCs/>
          <w:i/>
          <w:iCs/>
        </w:rPr>
        <w:lastRenderedPageBreak/>
        <w:t>Implementation Start Time</w:t>
      </w:r>
      <w:r>
        <w:rPr>
          <w:b/>
          <w:bCs/>
          <w:i/>
          <w:iCs/>
        </w:rPr>
        <w:t xml:space="preserve"> </w:t>
      </w:r>
      <w:r>
        <w:t xml:space="preserve">has the same meaning as in the </w:t>
      </w:r>
      <w:r w:rsidR="00B02D0B" w:rsidRPr="008B2706">
        <w:rPr>
          <w:i/>
          <w:iCs/>
        </w:rPr>
        <w:t>Victorian Energy Efficiency Target Project Based Activities Regulations 2017</w:t>
      </w:r>
      <w:r w:rsidR="002C2A2B">
        <w:t>;</w:t>
      </w:r>
    </w:p>
    <w:p w14:paraId="7F00ACE8" w14:textId="0D6DCA00" w:rsidR="00C477D1" w:rsidRDefault="00C477D1" w:rsidP="00C477D1">
      <w:pPr>
        <w:pStyle w:val="BodyText"/>
        <w:rPr>
          <w:bCs/>
          <w:iCs/>
        </w:rPr>
      </w:pPr>
      <w:r w:rsidRPr="008C63DC">
        <w:rPr>
          <w:b/>
          <w:i/>
        </w:rPr>
        <w:t>Interactive savings</w:t>
      </w:r>
      <w:r w:rsidR="004F5750">
        <w:rPr>
          <w:bCs/>
          <w:iCs/>
        </w:rPr>
        <w:t xml:space="preserve">, or </w:t>
      </w:r>
      <w:r w:rsidR="004F5750" w:rsidRPr="004F5750">
        <w:rPr>
          <w:b/>
          <w:i/>
        </w:rPr>
        <w:t>interactive effects</w:t>
      </w:r>
      <w:r w:rsidR="00D0123C">
        <w:rPr>
          <w:b/>
          <w:i/>
        </w:rPr>
        <w:t>,</w:t>
      </w:r>
      <w:r w:rsidR="004F5750">
        <w:rPr>
          <w:bCs/>
          <w:iCs/>
        </w:rPr>
        <w:t xml:space="preserve"> </w:t>
      </w:r>
      <w:r>
        <w:rPr>
          <w:bCs/>
          <w:iCs/>
        </w:rPr>
        <w:t xml:space="preserve">means </w:t>
      </w:r>
      <w:r w:rsidRPr="0014343C">
        <w:rPr>
          <w:bCs/>
          <w:iCs/>
        </w:rPr>
        <w:t>energy savings</w:t>
      </w:r>
      <w:r w:rsidR="004F5750">
        <w:rPr>
          <w:bCs/>
          <w:iCs/>
        </w:rPr>
        <w:t xml:space="preserve"> (posi</w:t>
      </w:r>
      <w:r w:rsidR="00D0123C">
        <w:rPr>
          <w:bCs/>
          <w:iCs/>
        </w:rPr>
        <w:t>tive or negative)</w:t>
      </w:r>
      <w:r w:rsidRPr="0014343C">
        <w:rPr>
          <w:bCs/>
          <w:iCs/>
        </w:rPr>
        <w:t xml:space="preserve"> attributable to the upgrade that are outside the measurement boundary</w:t>
      </w:r>
      <w:r w:rsidR="002C2A2B">
        <w:rPr>
          <w:bCs/>
          <w:iCs/>
        </w:rPr>
        <w:t>;</w:t>
      </w:r>
    </w:p>
    <w:p w14:paraId="54EFE210" w14:textId="2D11E8FB" w:rsidR="00783134" w:rsidRDefault="00783134" w:rsidP="00747A21">
      <w:pPr>
        <w:pStyle w:val="BodyText"/>
        <w:rPr>
          <w:b/>
          <w:i/>
        </w:rPr>
      </w:pPr>
      <w:r w:rsidRPr="00724070">
        <w:rPr>
          <w:b/>
          <w:i/>
        </w:rPr>
        <w:t xml:space="preserve">Measured energy consumption </w:t>
      </w:r>
      <w:r w:rsidR="00E47DDE" w:rsidRPr="00724070">
        <w:rPr>
          <w:bCs/>
          <w:iCs/>
        </w:rPr>
        <w:t xml:space="preserve">means the </w:t>
      </w:r>
      <w:r w:rsidR="00FF2768" w:rsidRPr="00724070">
        <w:rPr>
          <w:bCs/>
          <w:iCs/>
        </w:rPr>
        <w:t xml:space="preserve">energy consumed by all products </w:t>
      </w:r>
      <w:r w:rsidR="00950CB4" w:rsidRPr="00724070">
        <w:rPr>
          <w:bCs/>
          <w:iCs/>
        </w:rPr>
        <w:t xml:space="preserve">at </w:t>
      </w:r>
      <w:r w:rsidR="008E049F" w:rsidRPr="00724070">
        <w:rPr>
          <w:bCs/>
          <w:iCs/>
        </w:rPr>
        <w:t>a</w:t>
      </w:r>
      <w:r w:rsidR="00950CB4" w:rsidRPr="00724070">
        <w:rPr>
          <w:bCs/>
          <w:iCs/>
        </w:rPr>
        <w:t xml:space="preserve"> </w:t>
      </w:r>
      <w:r w:rsidR="008E049F" w:rsidRPr="00724070">
        <w:rPr>
          <w:bCs/>
          <w:iCs/>
        </w:rPr>
        <w:t>P</w:t>
      </w:r>
      <w:r w:rsidR="00950CB4" w:rsidRPr="00724070">
        <w:rPr>
          <w:bCs/>
          <w:iCs/>
        </w:rPr>
        <w:t xml:space="preserve">remises </w:t>
      </w:r>
      <w:r w:rsidR="00FF2768" w:rsidRPr="00724070">
        <w:rPr>
          <w:bCs/>
          <w:iCs/>
        </w:rPr>
        <w:t xml:space="preserve">that </w:t>
      </w:r>
      <w:r w:rsidR="00917302" w:rsidRPr="00724070">
        <w:rPr>
          <w:bCs/>
          <w:iCs/>
        </w:rPr>
        <w:t xml:space="preserve">is measured within the </w:t>
      </w:r>
      <w:r w:rsidR="00E72BA7" w:rsidRPr="00724070">
        <w:rPr>
          <w:bCs/>
          <w:iCs/>
        </w:rPr>
        <w:t>measurement boundary</w:t>
      </w:r>
      <w:r w:rsidR="002C2A2B">
        <w:rPr>
          <w:bCs/>
          <w:iCs/>
        </w:rPr>
        <w:t>;</w:t>
      </w:r>
    </w:p>
    <w:p w14:paraId="279B8FFE" w14:textId="1878BDD9" w:rsidR="009244D0" w:rsidRDefault="007936EC" w:rsidP="00747A21">
      <w:pPr>
        <w:pStyle w:val="BodyText"/>
        <w:rPr>
          <w:bCs/>
          <w:iCs/>
        </w:rPr>
      </w:pPr>
      <w:r w:rsidRPr="00C20BFA">
        <w:rPr>
          <w:b/>
          <w:i/>
        </w:rPr>
        <w:t>Non-routine event</w:t>
      </w:r>
      <w:r>
        <w:rPr>
          <w:b/>
          <w:i/>
        </w:rPr>
        <w:t>s</w:t>
      </w:r>
      <w:r w:rsidRPr="00C20BFA">
        <w:rPr>
          <w:b/>
          <w:i/>
        </w:rPr>
        <w:t xml:space="preserve"> </w:t>
      </w:r>
      <w:r w:rsidRPr="00590193">
        <w:rPr>
          <w:bCs/>
          <w:iCs/>
        </w:rPr>
        <w:t>are unexpected</w:t>
      </w:r>
      <w:r w:rsidR="001A27B3">
        <w:rPr>
          <w:bCs/>
          <w:iCs/>
        </w:rPr>
        <w:t>, or infrequent</w:t>
      </w:r>
      <w:r w:rsidR="00B270BC">
        <w:rPr>
          <w:bCs/>
          <w:iCs/>
        </w:rPr>
        <w:t xml:space="preserve"> </w:t>
      </w:r>
      <w:r w:rsidRPr="00590193">
        <w:rPr>
          <w:bCs/>
          <w:iCs/>
        </w:rPr>
        <w:t xml:space="preserve">changes in energy use within the </w:t>
      </w:r>
      <w:r>
        <w:rPr>
          <w:bCs/>
          <w:iCs/>
        </w:rPr>
        <w:t>measurement</w:t>
      </w:r>
      <w:r w:rsidRPr="00590193">
        <w:rPr>
          <w:bCs/>
          <w:iCs/>
        </w:rPr>
        <w:t xml:space="preserve"> boundary that result from changes that are not accounted for in the energy savings calculations and not related to the </w:t>
      </w:r>
      <w:r>
        <w:rPr>
          <w:bCs/>
          <w:iCs/>
        </w:rPr>
        <w:t>upgrade</w:t>
      </w:r>
      <w:r w:rsidR="002C2A2B">
        <w:rPr>
          <w:bCs/>
          <w:iCs/>
        </w:rPr>
        <w:t>;</w:t>
      </w:r>
    </w:p>
    <w:p w14:paraId="6B3A20BC" w14:textId="2939AAD5" w:rsidR="00747A21" w:rsidRDefault="00747A21" w:rsidP="00747A21">
      <w:pPr>
        <w:pStyle w:val="BodyText"/>
      </w:pPr>
      <w:r>
        <w:rPr>
          <w:b/>
          <w:i/>
        </w:rPr>
        <w:t>Premises</w:t>
      </w:r>
      <w:r>
        <w:t xml:space="preserve"> has the same meaning as in the </w:t>
      </w:r>
      <w:r w:rsidR="00750DCA" w:rsidRPr="00E37634">
        <w:rPr>
          <w:i/>
        </w:rPr>
        <w:t>Victorian Energy Efficiency Target Act 2007</w:t>
      </w:r>
      <w:r w:rsidR="002C2A2B">
        <w:t>;</w:t>
      </w:r>
    </w:p>
    <w:p w14:paraId="10F6E6B3" w14:textId="245B8127" w:rsidR="00C477D1" w:rsidRDefault="00C477D1" w:rsidP="00C477D1">
      <w:pPr>
        <w:pStyle w:val="BodyText"/>
      </w:pPr>
      <w:r w:rsidRPr="1C39C620">
        <w:rPr>
          <w:b/>
          <w:bCs/>
          <w:i/>
          <w:iCs/>
        </w:rPr>
        <w:t>Project</w:t>
      </w:r>
      <w:r>
        <w:t xml:space="preserve"> means the </w:t>
      </w:r>
      <w:r w:rsidR="00887A0F">
        <w:t>prescribed activity</w:t>
      </w:r>
      <w:r w:rsidR="002F4394">
        <w:t>,</w:t>
      </w:r>
      <w:r w:rsidR="00887A0F">
        <w:t xml:space="preserve"> </w:t>
      </w:r>
      <w:r>
        <w:t>which is described in the applications for the scoping approval</w:t>
      </w:r>
      <w:r w:rsidR="002F4394">
        <w:t xml:space="preserve"> and </w:t>
      </w:r>
      <w:r w:rsidR="009C1077">
        <w:t xml:space="preserve">project </w:t>
      </w:r>
      <w:r w:rsidR="002F4394">
        <w:t>impact report</w:t>
      </w:r>
      <w:r w:rsidR="004D29EE">
        <w:t>,</w:t>
      </w:r>
      <w:r>
        <w:t xml:space="preserve"> and project plan approval</w:t>
      </w:r>
      <w:r w:rsidR="004D29EE">
        <w:t xml:space="preserve"> if required,</w:t>
      </w:r>
      <w:r>
        <w:t xml:space="preserve"> </w:t>
      </w:r>
      <w:r w:rsidR="00CF55F7">
        <w:t xml:space="preserve">as defined in </w:t>
      </w:r>
      <w:r>
        <w:t xml:space="preserve">the </w:t>
      </w:r>
      <w:r w:rsidR="00750DCA" w:rsidRPr="00E37634">
        <w:rPr>
          <w:i/>
        </w:rPr>
        <w:t>Victorian Energy Efficiency Target</w:t>
      </w:r>
      <w:r w:rsidRPr="00E37634">
        <w:rPr>
          <w:i/>
        </w:rPr>
        <w:t xml:space="preserve"> </w:t>
      </w:r>
      <w:r w:rsidR="00750DCA" w:rsidRPr="00E37634">
        <w:rPr>
          <w:i/>
        </w:rPr>
        <w:t>Project Based Activities</w:t>
      </w:r>
      <w:r w:rsidRPr="00E37634">
        <w:rPr>
          <w:i/>
        </w:rPr>
        <w:t xml:space="preserve"> Regulations 2017</w:t>
      </w:r>
      <w:r w:rsidR="002C2A2B">
        <w:t>;</w:t>
      </w:r>
    </w:p>
    <w:p w14:paraId="70F31C0A" w14:textId="77777777" w:rsidR="00AE3460" w:rsidRPr="005E10B6" w:rsidRDefault="00AE3460" w:rsidP="00AE3460">
      <w:pPr>
        <w:pStyle w:val="BodyText"/>
        <w:ind w:right="851"/>
      </w:pPr>
      <w:r w:rsidRPr="005E10B6">
        <w:rPr>
          <w:b/>
          <w:bCs/>
          <w:i/>
          <w:iCs/>
        </w:rPr>
        <w:t>Renewable energy</w:t>
      </w:r>
      <w:r w:rsidRPr="005E10B6">
        <w:t xml:space="preserve"> has the meaning of the PBA Regulations. For the avoidance of doubt, the following terms in the definition have the following meaning: </w:t>
      </w:r>
    </w:p>
    <w:p w14:paraId="3987A46B" w14:textId="77777777" w:rsidR="00AE3460" w:rsidRPr="005E10B6" w:rsidRDefault="00AE3460" w:rsidP="00AE3460">
      <w:pPr>
        <w:pStyle w:val="ListBullet"/>
        <w:ind w:right="851"/>
      </w:pPr>
      <w:r w:rsidRPr="005E10B6">
        <w:t>Energy crops include algal biomass produced via algal farming, and</w:t>
      </w:r>
    </w:p>
    <w:p w14:paraId="23BB6F38" w14:textId="77777777" w:rsidR="00AE3460" w:rsidRPr="005E10B6" w:rsidRDefault="00AE3460" w:rsidP="00AE3460">
      <w:pPr>
        <w:pStyle w:val="ListBullet"/>
        <w:ind w:right="851"/>
      </w:pPr>
      <w:r w:rsidRPr="005E10B6">
        <w:t xml:space="preserve">Food waste includes used cooking oil and fats. </w:t>
      </w:r>
    </w:p>
    <w:p w14:paraId="14F66030" w14:textId="4A924130" w:rsidR="00AD1915" w:rsidRDefault="00AD1915" w:rsidP="00747A21">
      <w:pPr>
        <w:pStyle w:val="BodyText"/>
        <w:rPr>
          <w:b/>
          <w:i/>
        </w:rPr>
      </w:pPr>
      <w:r>
        <w:rPr>
          <w:b/>
          <w:i/>
        </w:rPr>
        <w:t xml:space="preserve">Site constant </w:t>
      </w:r>
      <w:r w:rsidR="002F6B41" w:rsidRPr="004B1D44">
        <w:rPr>
          <w:bCs/>
          <w:iCs/>
        </w:rPr>
        <w:t>means a parameter of the measurement boundary that affects the energy consumed within the measurement boundary but does not vary under normal operating conditions</w:t>
      </w:r>
      <w:r w:rsidR="002C2A2B">
        <w:rPr>
          <w:bCs/>
          <w:iCs/>
        </w:rPr>
        <w:t>;</w:t>
      </w:r>
    </w:p>
    <w:p w14:paraId="3006B4E6" w14:textId="0B068EB4" w:rsidR="00747A21" w:rsidRPr="0011740C" w:rsidRDefault="00747A21" w:rsidP="00747A21">
      <w:pPr>
        <w:pStyle w:val="BodyText"/>
        <w:rPr>
          <w:b/>
          <w:iCs/>
        </w:rPr>
      </w:pPr>
      <w:r>
        <w:rPr>
          <w:b/>
          <w:i/>
        </w:rPr>
        <w:t>State of Disaster</w:t>
      </w:r>
      <w:r w:rsidRPr="0011740C">
        <w:rPr>
          <w:bCs/>
          <w:iCs/>
        </w:rPr>
        <w:t xml:space="preserve"> has the same meaning as in the </w:t>
      </w:r>
      <w:r w:rsidRPr="00E37634">
        <w:rPr>
          <w:i/>
        </w:rPr>
        <w:t>Emergency Management Act 1986</w:t>
      </w:r>
      <w:r w:rsidR="002C2A2B">
        <w:rPr>
          <w:bCs/>
          <w:iCs/>
        </w:rPr>
        <w:t>;</w:t>
      </w:r>
    </w:p>
    <w:p w14:paraId="0C56A4EA" w14:textId="159D3F46" w:rsidR="00747A21" w:rsidRDefault="00747A21" w:rsidP="00747A21">
      <w:pPr>
        <w:pStyle w:val="BodyText"/>
        <w:rPr>
          <w:bCs/>
          <w:iCs/>
        </w:rPr>
      </w:pPr>
      <w:r>
        <w:rPr>
          <w:b/>
          <w:i/>
        </w:rPr>
        <w:t>State of Emergency</w:t>
      </w:r>
      <w:r w:rsidRPr="0011740C">
        <w:rPr>
          <w:bCs/>
          <w:iCs/>
        </w:rPr>
        <w:t xml:space="preserve"> has the same meaning as in the </w:t>
      </w:r>
      <w:r w:rsidRPr="00E37634">
        <w:rPr>
          <w:i/>
        </w:rPr>
        <w:t>Public Health and Wellbeing Act 2008</w:t>
      </w:r>
      <w:r w:rsidR="002C2A2B">
        <w:rPr>
          <w:bCs/>
          <w:iCs/>
        </w:rPr>
        <w:t>;</w:t>
      </w:r>
    </w:p>
    <w:p w14:paraId="14AC8A3B" w14:textId="428C2432" w:rsidR="00747A21" w:rsidRDefault="00747A21" w:rsidP="00747A21">
      <w:pPr>
        <w:pStyle w:val="BodyText"/>
      </w:pPr>
      <w:r w:rsidRPr="00E16174">
        <w:rPr>
          <w:b/>
          <w:i/>
        </w:rPr>
        <w:t>Upgrade</w:t>
      </w:r>
      <w:r>
        <w:t xml:space="preserve"> means the change to equipment, controls, and/or behaviour, or the set of changes to equipment, controls, and/or behaviour as part of the Project.</w:t>
      </w:r>
    </w:p>
    <w:p w14:paraId="71828160" w14:textId="77777777" w:rsidR="00747A21" w:rsidRPr="00C97362" w:rsidRDefault="00747A21" w:rsidP="00747A21">
      <w:pPr>
        <w:pStyle w:val="BodyText"/>
      </w:pPr>
    </w:p>
    <w:p w14:paraId="2F8BD169" w14:textId="405AD268" w:rsidR="00814024" w:rsidRDefault="00814024" w:rsidP="00747A21">
      <w:pPr>
        <w:pStyle w:val="Heading2"/>
        <w:spacing w:line="260" w:lineRule="exact"/>
      </w:pPr>
      <w:bookmarkStart w:id="59" w:name="_Toc200577488"/>
      <w:bookmarkStart w:id="60" w:name="_Toc232605523"/>
      <w:bookmarkStart w:id="61" w:name="_Toc75862242"/>
      <w:r>
        <w:t xml:space="preserve">General </w:t>
      </w:r>
      <w:r w:rsidR="00F52EB7">
        <w:t>terms</w:t>
      </w:r>
      <w:r>
        <w:t xml:space="preserve"> and requirements for all methods</w:t>
      </w:r>
      <w:bookmarkEnd w:id="59"/>
      <w:bookmarkEnd w:id="60"/>
    </w:p>
    <w:p w14:paraId="2240F802" w14:textId="09442220" w:rsidR="00597AF7" w:rsidRPr="00C034DD" w:rsidRDefault="00597AF7" w:rsidP="00597AF7">
      <w:pPr>
        <w:pStyle w:val="Heading3"/>
      </w:pPr>
      <w:bookmarkStart w:id="62" w:name="_Toc188540982"/>
      <w:bookmarkStart w:id="63" w:name="_Toc200577489"/>
      <w:r>
        <w:t>Limits on forward creation</w:t>
      </w:r>
      <w:bookmarkEnd w:id="62"/>
      <w:bookmarkEnd w:id="63"/>
      <w:r>
        <w:t xml:space="preserve"> </w:t>
      </w:r>
    </w:p>
    <w:p w14:paraId="31772FBB" w14:textId="77777777" w:rsidR="00597AF7" w:rsidRPr="00543482" w:rsidRDefault="00597AF7" w:rsidP="006C4A9E">
      <w:pPr>
        <w:pStyle w:val="ListNumber"/>
        <w:numPr>
          <w:ilvl w:val="0"/>
          <w:numId w:val="20"/>
        </w:numPr>
        <w:jc w:val="left"/>
        <w:rPr>
          <w:kern w:val="32"/>
        </w:rPr>
      </w:pPr>
      <w:r w:rsidRPr="00543482">
        <w:t xml:space="preserve">A certificate cannot be created using </w:t>
      </w:r>
      <w:r>
        <w:t>a forward creation method</w:t>
      </w:r>
      <w:r w:rsidRPr="00543482">
        <w:t xml:space="preserve"> for a prescribed activity if:</w:t>
      </w:r>
    </w:p>
    <w:p w14:paraId="446EEBF4" w14:textId="77777777" w:rsidR="00597AF7" w:rsidRPr="004B1D44" w:rsidRDefault="00597AF7" w:rsidP="006C4A9E">
      <w:pPr>
        <w:pStyle w:val="ListNumber2"/>
        <w:numPr>
          <w:ilvl w:val="0"/>
          <w:numId w:val="25"/>
        </w:numPr>
        <w:jc w:val="left"/>
        <w:rPr>
          <w:kern w:val="32"/>
        </w:rPr>
      </w:pPr>
      <w:r w:rsidRPr="00543482">
        <w:t xml:space="preserve">creating the certificate would result in more than 50,000 certificates being created </w:t>
      </w:r>
      <w:r>
        <w:t xml:space="preserve">up front </w:t>
      </w:r>
      <w:r w:rsidRPr="00543482">
        <w:t xml:space="preserve">for the </w:t>
      </w:r>
      <w:r>
        <w:t>prescribed activity in a single project</w:t>
      </w:r>
      <w:r w:rsidRPr="00543482">
        <w:t>; or</w:t>
      </w:r>
    </w:p>
    <w:p w14:paraId="7EC7CB11" w14:textId="77777777" w:rsidR="003E5A44" w:rsidRPr="003E5A44" w:rsidRDefault="003E5A44" w:rsidP="006C4A9E">
      <w:pPr>
        <w:pStyle w:val="ListNumber2"/>
        <w:numPr>
          <w:ilvl w:val="0"/>
          <w:numId w:val="25"/>
        </w:numPr>
        <w:rPr>
          <w:kern w:val="32"/>
        </w:rPr>
      </w:pPr>
      <w:r w:rsidRPr="003E5A44">
        <w:rPr>
          <w:kern w:val="32"/>
        </w:rPr>
        <w:t>certificates have previously been created for the upgrade using annual creation; or</w:t>
      </w:r>
    </w:p>
    <w:p w14:paraId="51C656EB" w14:textId="77777777" w:rsidR="003E5A44" w:rsidRDefault="003E5A44" w:rsidP="006C4A9E">
      <w:pPr>
        <w:pStyle w:val="ListNumber2"/>
        <w:numPr>
          <w:ilvl w:val="0"/>
          <w:numId w:val="25"/>
        </w:numPr>
        <w:rPr>
          <w:kern w:val="32"/>
        </w:rPr>
      </w:pPr>
      <w:r w:rsidRPr="003E5A44">
        <w:rPr>
          <w:kern w:val="32"/>
        </w:rPr>
        <w:t>certificates have previously been created for the prescribed activity for the same premises using forward creation three times.</w:t>
      </w:r>
    </w:p>
    <w:p w14:paraId="5BF49FB7" w14:textId="467FFB06" w:rsidR="009B3AD3" w:rsidRDefault="00962615" w:rsidP="006C4A9E">
      <w:pPr>
        <w:pStyle w:val="ListNumber"/>
        <w:numPr>
          <w:ilvl w:val="0"/>
          <w:numId w:val="20"/>
        </w:numPr>
        <w:jc w:val="left"/>
      </w:pPr>
      <w:r>
        <w:t>The m</w:t>
      </w:r>
      <w:r w:rsidR="009B3AD3">
        <w:t>aximum time period for forward creation</w:t>
      </w:r>
      <w:r>
        <w:t xml:space="preserve"> is</w:t>
      </w:r>
      <w:r w:rsidR="000640D5">
        <w:t>:</w:t>
      </w:r>
    </w:p>
    <w:p w14:paraId="52A023B2" w14:textId="568F77F1" w:rsidR="009B3AD3" w:rsidRDefault="000640D5" w:rsidP="006C4A9E">
      <w:pPr>
        <w:pStyle w:val="ListNumber2"/>
        <w:numPr>
          <w:ilvl w:val="0"/>
          <w:numId w:val="27"/>
        </w:numPr>
        <w:jc w:val="left"/>
      </w:pPr>
      <w:r>
        <w:t>s</w:t>
      </w:r>
      <w:r w:rsidR="009B3AD3">
        <w:t xml:space="preserve">ubject to </w:t>
      </w:r>
      <w:r w:rsidR="002B6B96">
        <w:t>(b)</w:t>
      </w:r>
      <w:r w:rsidR="009B3AD3">
        <w:t xml:space="preserve"> below, in relation to a Project, forward creation is permitted for ten years from the implementation start time of that Project</w:t>
      </w:r>
      <w:r w:rsidR="00EA66C3">
        <w:t>; or</w:t>
      </w:r>
    </w:p>
    <w:p w14:paraId="648632F0" w14:textId="453094EE" w:rsidR="009B3AD3" w:rsidRDefault="000640D5" w:rsidP="006C4A9E">
      <w:pPr>
        <w:pStyle w:val="ListNumber2"/>
        <w:numPr>
          <w:ilvl w:val="0"/>
          <w:numId w:val="27"/>
        </w:numPr>
        <w:jc w:val="left"/>
      </w:pPr>
      <w:r>
        <w:t>i</w:t>
      </w:r>
      <w:r w:rsidR="009B3AD3">
        <w:t xml:space="preserve">n relation to an Impacted Project, forward creation of certificates is permitted for ten years from the commencement of the operating period. </w:t>
      </w:r>
    </w:p>
    <w:p w14:paraId="6575ED6A" w14:textId="77777777" w:rsidR="009B3AD3" w:rsidRPr="003E5A44" w:rsidRDefault="009B3AD3" w:rsidP="004B1D44">
      <w:pPr>
        <w:pStyle w:val="ListNumber2"/>
        <w:rPr>
          <w:kern w:val="32"/>
        </w:rPr>
      </w:pPr>
    </w:p>
    <w:p w14:paraId="0CE4DECE" w14:textId="77777777" w:rsidR="007033F7" w:rsidRDefault="007033F7" w:rsidP="007033F7">
      <w:pPr>
        <w:pStyle w:val="Heading3"/>
      </w:pPr>
      <w:bookmarkStart w:id="64" w:name="_Toc188540983"/>
      <w:bookmarkStart w:id="65" w:name="_Toc200577490"/>
      <w:r w:rsidRPr="003E0798">
        <w:t>Time at which prescribed activity is undertaken and reduction in greenhouse gas emissions occurs</w:t>
      </w:r>
      <w:bookmarkEnd w:id="64"/>
      <w:bookmarkEnd w:id="65"/>
    </w:p>
    <w:p w14:paraId="434443A0" w14:textId="77777777" w:rsidR="007033F7" w:rsidRDefault="007033F7" w:rsidP="006C4A9E">
      <w:pPr>
        <w:pStyle w:val="BodyText"/>
        <w:numPr>
          <w:ilvl w:val="0"/>
          <w:numId w:val="31"/>
        </w:numPr>
        <w:spacing w:before="60"/>
        <w:jc w:val="left"/>
      </w:pPr>
      <w:r>
        <w:t>The project is taken to have been undertaken at the end of:</w:t>
      </w:r>
    </w:p>
    <w:p w14:paraId="2CE33335" w14:textId="23685CC0" w:rsidR="007033F7" w:rsidRDefault="007033F7" w:rsidP="006C4A9E">
      <w:pPr>
        <w:pStyle w:val="BodyText"/>
        <w:numPr>
          <w:ilvl w:val="1"/>
          <w:numId w:val="31"/>
        </w:numPr>
        <w:spacing w:before="60"/>
        <w:jc w:val="left"/>
      </w:pPr>
      <w:r>
        <w:t>for the purposes of creating certificates using a reduction in greenhouse gases calculated using a forward creation method — the operating period of the measurement boundary to complete works</w:t>
      </w:r>
      <w:r w:rsidR="004F340D">
        <w:t xml:space="preserve"> that was chronologically last to complete </w:t>
      </w:r>
      <w:r w:rsidR="004F340D" w:rsidRPr="005C7E66">
        <w:t>works</w:t>
      </w:r>
      <w:r>
        <w:t>; or</w:t>
      </w:r>
    </w:p>
    <w:p w14:paraId="0E7423C9" w14:textId="43D89390" w:rsidR="007033F7" w:rsidRDefault="007033F7" w:rsidP="006C4A9E">
      <w:pPr>
        <w:pStyle w:val="BodyText"/>
        <w:numPr>
          <w:ilvl w:val="1"/>
          <w:numId w:val="31"/>
        </w:numPr>
        <w:spacing w:before="60"/>
        <w:jc w:val="left"/>
      </w:pPr>
      <w:r>
        <w:lastRenderedPageBreak/>
        <w:t>for the purposes of creating certificates using a reduction in greenhouse gases calculated using an annual creation or top up — the reporting period of the measurement boundary to complete works.</w:t>
      </w:r>
    </w:p>
    <w:p w14:paraId="188D80BB" w14:textId="77777777" w:rsidR="007033F7" w:rsidRDefault="007033F7" w:rsidP="006C4A9E">
      <w:pPr>
        <w:pStyle w:val="BodyText"/>
        <w:numPr>
          <w:ilvl w:val="0"/>
          <w:numId w:val="31"/>
        </w:numPr>
        <w:spacing w:before="60"/>
        <w:jc w:val="left"/>
      </w:pPr>
      <w:r>
        <w:t>The reduction in greenhouse gas emissions that results from a project is taken to have occurred 6 months after the end of:</w:t>
      </w:r>
    </w:p>
    <w:p w14:paraId="07904DF2" w14:textId="4EEF8623" w:rsidR="007033F7" w:rsidRDefault="007033F7" w:rsidP="006C4A9E">
      <w:pPr>
        <w:pStyle w:val="BodyText"/>
        <w:numPr>
          <w:ilvl w:val="1"/>
          <w:numId w:val="31"/>
        </w:numPr>
        <w:spacing w:before="60"/>
        <w:jc w:val="left"/>
      </w:pPr>
      <w:r>
        <w:t>for the purposes of creating certificates using a reduction in greenhouse gases calculated using forward creation method—the operating period of the measurement boundary to complete works; or</w:t>
      </w:r>
    </w:p>
    <w:p w14:paraId="460ADF62" w14:textId="1489C2F7" w:rsidR="007033F7" w:rsidRDefault="007033F7" w:rsidP="006C4A9E">
      <w:pPr>
        <w:pStyle w:val="BodyText"/>
        <w:numPr>
          <w:ilvl w:val="1"/>
          <w:numId w:val="31"/>
        </w:numPr>
        <w:spacing w:before="60"/>
        <w:jc w:val="left"/>
      </w:pPr>
      <w:r>
        <w:t>for the purposes of creating certificates using a reduction in greenhouse gases calculated using an annual creation or top up method — the reporting period of the measurement boundary to complete works.</w:t>
      </w:r>
      <w:r w:rsidR="0022797F">
        <w:br/>
      </w:r>
    </w:p>
    <w:p w14:paraId="7174E46A" w14:textId="77777777" w:rsidR="00831DB0" w:rsidRDefault="00831DB0" w:rsidP="00831DB0">
      <w:pPr>
        <w:pStyle w:val="Heading3"/>
      </w:pPr>
      <w:bookmarkStart w:id="66" w:name="_Toc200577491"/>
      <w:r>
        <w:t>Application of Accounting for COVID-19 under VEU (2021)</w:t>
      </w:r>
      <w:bookmarkEnd w:id="66"/>
      <w:r>
        <w:t xml:space="preserve"> </w:t>
      </w:r>
    </w:p>
    <w:p w14:paraId="2C6BA315" w14:textId="77777777" w:rsidR="00831DB0" w:rsidRDefault="00831DB0">
      <w:pPr>
        <w:pStyle w:val="ListNumber"/>
        <w:numPr>
          <w:ilvl w:val="0"/>
          <w:numId w:val="46"/>
        </w:numPr>
        <w:jc w:val="left"/>
      </w:pPr>
      <w:r>
        <w:t>Any Project which is an Impacted Project and has an implementation start time during any of the following periods:</w:t>
      </w:r>
    </w:p>
    <w:p w14:paraId="385C17C0" w14:textId="77777777" w:rsidR="00831DB0" w:rsidRDefault="00831DB0" w:rsidP="006C4A9E">
      <w:pPr>
        <w:pStyle w:val="ListNumber2"/>
        <w:numPr>
          <w:ilvl w:val="0"/>
          <w:numId w:val="23"/>
        </w:numPr>
        <w:jc w:val="left"/>
      </w:pPr>
      <w:r>
        <w:t>up to 12 months prior to the start of any State of Emergency or State of Disaster;</w:t>
      </w:r>
    </w:p>
    <w:p w14:paraId="4007E04A" w14:textId="77777777" w:rsidR="00831DB0" w:rsidRDefault="00831DB0" w:rsidP="006C4A9E">
      <w:pPr>
        <w:pStyle w:val="ListNumber2"/>
        <w:numPr>
          <w:ilvl w:val="0"/>
          <w:numId w:val="23"/>
        </w:numPr>
        <w:jc w:val="left"/>
      </w:pPr>
      <w:r>
        <w:t>during the period</w:t>
      </w:r>
      <w:r w:rsidRPr="00055D59">
        <w:t xml:space="preserve"> of a</w:t>
      </w:r>
      <w:r>
        <w:t>ny</w:t>
      </w:r>
      <w:r w:rsidRPr="00055D59">
        <w:t xml:space="preserve"> </w:t>
      </w:r>
      <w:r>
        <w:t>S</w:t>
      </w:r>
      <w:r w:rsidRPr="00055D59">
        <w:t xml:space="preserve">tate of </w:t>
      </w:r>
      <w:r>
        <w:t>E</w:t>
      </w:r>
      <w:r w:rsidRPr="00055D59">
        <w:t xml:space="preserve">mergency or </w:t>
      </w:r>
      <w:r>
        <w:t>S</w:t>
      </w:r>
      <w:r w:rsidRPr="00055D59">
        <w:t xml:space="preserve">tate of </w:t>
      </w:r>
      <w:r>
        <w:t>D</w:t>
      </w:r>
      <w:r w:rsidRPr="00055D59">
        <w:t>isaster</w:t>
      </w:r>
      <w:r>
        <w:t>;</w:t>
      </w:r>
      <w:r w:rsidRPr="00055D59">
        <w:t xml:space="preserve"> </w:t>
      </w:r>
      <w:r>
        <w:t>and</w:t>
      </w:r>
    </w:p>
    <w:p w14:paraId="093451ED" w14:textId="77777777" w:rsidR="00831DB0" w:rsidRDefault="00831DB0" w:rsidP="006C4A9E">
      <w:pPr>
        <w:pStyle w:val="ListNumber2"/>
        <w:numPr>
          <w:ilvl w:val="0"/>
          <w:numId w:val="23"/>
        </w:numPr>
        <w:jc w:val="left"/>
      </w:pPr>
      <w:r w:rsidRPr="00055D59">
        <w:t xml:space="preserve">up to 3 years after the </w:t>
      </w:r>
      <w:r>
        <w:t>end of any</w:t>
      </w:r>
      <w:r w:rsidRPr="00055D59">
        <w:t xml:space="preserve"> </w:t>
      </w:r>
      <w:r>
        <w:t>S</w:t>
      </w:r>
      <w:r w:rsidRPr="00055D59">
        <w:t xml:space="preserve">tate of </w:t>
      </w:r>
      <w:r>
        <w:t>E</w:t>
      </w:r>
      <w:r w:rsidRPr="00055D59">
        <w:t xml:space="preserve">mergency or </w:t>
      </w:r>
      <w:r>
        <w:t>S</w:t>
      </w:r>
      <w:r w:rsidRPr="00055D59">
        <w:t xml:space="preserve">tate of </w:t>
      </w:r>
      <w:r>
        <w:t>D</w:t>
      </w:r>
      <w:r w:rsidRPr="00055D59">
        <w:t>isaster</w:t>
      </w:r>
      <w:r>
        <w:t xml:space="preserve">, </w:t>
      </w:r>
    </w:p>
    <w:p w14:paraId="373798CF" w14:textId="75A0BF2C" w:rsidR="00831DB0" w:rsidRPr="009D5B6D" w:rsidRDefault="00831DB0" w:rsidP="00831DB0">
      <w:pPr>
        <w:pStyle w:val="ListNumber2"/>
        <w:jc w:val="left"/>
      </w:pPr>
      <w:r w:rsidRPr="009D5B6D">
        <w:t xml:space="preserve">must apply </w:t>
      </w:r>
      <w:r w:rsidR="00875916">
        <w:t xml:space="preserve">the procedure in the document titled </w:t>
      </w:r>
      <w:r w:rsidRPr="00F30819">
        <w:rPr>
          <w:i/>
        </w:rPr>
        <w:t>Accounting for COVID-19 under VEU (2021)</w:t>
      </w:r>
      <w:r w:rsidRPr="009D5B6D">
        <w:t xml:space="preserve"> in conjunction with these Specifications.</w:t>
      </w:r>
    </w:p>
    <w:p w14:paraId="6AEE2160" w14:textId="55991C20" w:rsidR="00831DB0" w:rsidRPr="009D5B6D" w:rsidRDefault="00831DB0">
      <w:pPr>
        <w:pStyle w:val="ListNumber"/>
        <w:numPr>
          <w:ilvl w:val="0"/>
          <w:numId w:val="46"/>
        </w:numPr>
        <w:jc w:val="left"/>
      </w:pPr>
      <w:r w:rsidRPr="009D5B6D">
        <w:t>An application must be made for approval of a variation to a project plan or project impact report in respect of an Impacted Project.</w:t>
      </w:r>
    </w:p>
    <w:p w14:paraId="4C835A75" w14:textId="36CDEF3F" w:rsidR="00831DB0" w:rsidRPr="009D5B6D" w:rsidRDefault="00831DB0">
      <w:pPr>
        <w:pStyle w:val="ListNumber"/>
        <w:numPr>
          <w:ilvl w:val="0"/>
          <w:numId w:val="46"/>
        </w:numPr>
        <w:jc w:val="left"/>
      </w:pPr>
      <w:r w:rsidRPr="009D5B6D">
        <w:t>An application made under (</w:t>
      </w:r>
      <w:r w:rsidR="000E1816">
        <w:t>2</w:t>
      </w:r>
      <w:r w:rsidRPr="009D5B6D">
        <w:t xml:space="preserve">) must be supported by evidence </w:t>
      </w:r>
      <w:r>
        <w:t>(</w:t>
      </w:r>
      <w:r w:rsidRPr="009D5B6D">
        <w:t xml:space="preserve">as </w:t>
      </w:r>
      <w:r>
        <w:t>set out</w:t>
      </w:r>
      <w:r w:rsidRPr="009D5B6D">
        <w:t xml:space="preserve"> in </w:t>
      </w:r>
      <w:r w:rsidRPr="009D5B6D">
        <w:rPr>
          <w:i/>
        </w:rPr>
        <w:t>Accounting for COVID-19 under VEU (2021)</w:t>
      </w:r>
      <w:r>
        <w:rPr>
          <w:iCs/>
        </w:rPr>
        <w:t>)</w:t>
      </w:r>
      <w:r w:rsidRPr="009D5B6D">
        <w:t xml:space="preserve"> showing how and when the Impacted Project was impacted by the State or Emergency or State of Disaster or both. </w:t>
      </w:r>
    </w:p>
    <w:p w14:paraId="66321AA3" w14:textId="1560041A" w:rsidR="00831DB0" w:rsidRDefault="00831DB0">
      <w:pPr>
        <w:pStyle w:val="ListNumber"/>
        <w:numPr>
          <w:ilvl w:val="0"/>
          <w:numId w:val="46"/>
        </w:numPr>
        <w:jc w:val="left"/>
      </w:pPr>
      <w:r>
        <w:t xml:space="preserve">Any Project that has an implementation start time during any of the periods stated in </w:t>
      </w:r>
      <w:r w:rsidRPr="009D5B6D">
        <w:t>(</w:t>
      </w:r>
      <w:r w:rsidR="009931FC">
        <w:t>1</w:t>
      </w:r>
      <w:r w:rsidRPr="009D5B6D">
        <w:t xml:space="preserve">) </w:t>
      </w:r>
      <w:r>
        <w:t xml:space="preserve">above but is not an Impacted Project must provide evidence </w:t>
      </w:r>
      <w:r w:rsidRPr="009D5B6D">
        <w:t xml:space="preserve">showing </w:t>
      </w:r>
      <w:r>
        <w:t xml:space="preserve">that </w:t>
      </w:r>
      <w:r w:rsidRPr="009D5B6D">
        <w:t>the Project is not an Impacted Project.</w:t>
      </w:r>
    </w:p>
    <w:p w14:paraId="2B34BAC7" w14:textId="77777777" w:rsidR="00831DB0" w:rsidRPr="009D5B6D" w:rsidRDefault="00831DB0">
      <w:pPr>
        <w:pStyle w:val="ListNumber"/>
        <w:numPr>
          <w:ilvl w:val="0"/>
          <w:numId w:val="46"/>
        </w:numPr>
        <w:jc w:val="left"/>
      </w:pPr>
      <w:r>
        <w:t xml:space="preserve">Any project that has non-routine events may use the statistical methods prescribed in the ‘mini-method’ in </w:t>
      </w:r>
      <w:r w:rsidRPr="00F30819">
        <w:rPr>
          <w:i/>
        </w:rPr>
        <w:t>Accounting for COVID-19 under VEU (2021)</w:t>
      </w:r>
      <w:r>
        <w:rPr>
          <w:i/>
        </w:rPr>
        <w:t xml:space="preserve">. </w:t>
      </w:r>
    </w:p>
    <w:p w14:paraId="64C86A37" w14:textId="77777777" w:rsidR="00D3712B" w:rsidRDefault="00D3712B" w:rsidP="004B1D44">
      <w:pPr>
        <w:pStyle w:val="BodyText"/>
        <w:spacing w:before="60"/>
        <w:ind w:left="720"/>
        <w:jc w:val="left"/>
      </w:pPr>
    </w:p>
    <w:p w14:paraId="7BDCECCB" w14:textId="77777777" w:rsidR="00D3712B" w:rsidRDefault="00D3712B" w:rsidP="00D3712B">
      <w:pPr>
        <w:pStyle w:val="Heading3"/>
      </w:pPr>
      <w:bookmarkStart w:id="67" w:name="_Toc188540984"/>
      <w:bookmarkStart w:id="68" w:name="_Toc200577492"/>
      <w:r>
        <w:t>Site constants</w:t>
      </w:r>
      <w:bookmarkEnd w:id="67"/>
      <w:bookmarkEnd w:id="68"/>
    </w:p>
    <w:p w14:paraId="6575240D" w14:textId="59D97AC5" w:rsidR="00D3712B" w:rsidRDefault="00F946CE" w:rsidP="006C4A9E">
      <w:pPr>
        <w:pStyle w:val="BodyText"/>
        <w:numPr>
          <w:ilvl w:val="0"/>
          <w:numId w:val="32"/>
        </w:numPr>
        <w:spacing w:before="60"/>
        <w:jc w:val="left"/>
      </w:pPr>
      <w:r>
        <w:t>Unless otherwise specified in the relevant method, e</w:t>
      </w:r>
      <w:r w:rsidR="00D3712B">
        <w:t>ach measurement boundary must have one or more site constants.</w:t>
      </w:r>
    </w:p>
    <w:p w14:paraId="59F4EDBF" w14:textId="77777777" w:rsidR="00D3712B" w:rsidRDefault="00D3712B" w:rsidP="006C4A9E">
      <w:pPr>
        <w:pStyle w:val="BodyText"/>
        <w:numPr>
          <w:ilvl w:val="0"/>
          <w:numId w:val="32"/>
        </w:numPr>
        <w:spacing w:before="60"/>
        <w:jc w:val="left"/>
      </w:pPr>
      <w:r>
        <w:t>A site constant is a parameter of the measurement boundary that affects the energy consumed within the measurement boundary but does not vary under normal operating conditions.</w:t>
      </w:r>
    </w:p>
    <w:p w14:paraId="2451AF3A" w14:textId="77777777" w:rsidR="00D3712B" w:rsidRDefault="00D3712B" w:rsidP="006C4A9E">
      <w:pPr>
        <w:pStyle w:val="BodyText"/>
        <w:numPr>
          <w:ilvl w:val="0"/>
          <w:numId w:val="32"/>
        </w:numPr>
        <w:spacing w:before="60"/>
        <w:jc w:val="left"/>
      </w:pPr>
      <w:r>
        <w:t>For each site constant a standard value must be defined, which is the value the site constant is expected to have under normal operating conditions.</w:t>
      </w:r>
    </w:p>
    <w:p w14:paraId="4CF1639E" w14:textId="77777777" w:rsidR="00D3712B" w:rsidRDefault="00D3712B" w:rsidP="004B1D44">
      <w:pPr>
        <w:pStyle w:val="BodyText"/>
        <w:spacing w:before="60"/>
        <w:jc w:val="left"/>
      </w:pPr>
    </w:p>
    <w:p w14:paraId="4D6219C3" w14:textId="77777777" w:rsidR="002B4647" w:rsidRDefault="002B4647" w:rsidP="002B4647">
      <w:pPr>
        <w:pStyle w:val="Heading3"/>
      </w:pPr>
      <w:bookmarkStart w:id="69" w:name="_Toc188540985"/>
      <w:bookmarkStart w:id="70" w:name="_Toc200577493"/>
      <w:r>
        <w:t>Time intervals</w:t>
      </w:r>
      <w:bookmarkEnd w:id="69"/>
      <w:bookmarkEnd w:id="70"/>
    </w:p>
    <w:p w14:paraId="478325F5" w14:textId="77777777" w:rsidR="002B4647" w:rsidRPr="00786452" w:rsidRDefault="002B4647" w:rsidP="006C4A9E">
      <w:pPr>
        <w:pStyle w:val="ListNumber2"/>
        <w:numPr>
          <w:ilvl w:val="0"/>
          <w:numId w:val="33"/>
        </w:numPr>
        <w:jc w:val="left"/>
      </w:pPr>
      <w:r w:rsidRPr="00786452">
        <w:t>The accredited person must nominate a measurement frequency</w:t>
      </w:r>
      <w:r>
        <w:t xml:space="preserve"> for each measurement boundary</w:t>
      </w:r>
      <w:r w:rsidRPr="00786452">
        <w:t>.</w:t>
      </w:r>
    </w:p>
    <w:p w14:paraId="0D53F2DC" w14:textId="77777777" w:rsidR="002B4647" w:rsidRPr="00786452" w:rsidRDefault="002B4647" w:rsidP="006C4A9E">
      <w:pPr>
        <w:pStyle w:val="ListNumber2"/>
        <w:numPr>
          <w:ilvl w:val="0"/>
          <w:numId w:val="33"/>
        </w:numPr>
        <w:jc w:val="left"/>
      </w:pPr>
      <w:r w:rsidRPr="00786452">
        <w:t>The length of a time interval is determined by the measurement frequency.</w:t>
      </w:r>
    </w:p>
    <w:p w14:paraId="6898A701" w14:textId="77777777" w:rsidR="002B4647" w:rsidRDefault="002B4647" w:rsidP="006C4A9E">
      <w:pPr>
        <w:pStyle w:val="ListNumber2"/>
        <w:numPr>
          <w:ilvl w:val="0"/>
          <w:numId w:val="33"/>
        </w:numPr>
        <w:jc w:val="left"/>
      </w:pPr>
      <w:r w:rsidRPr="00786452">
        <w:t>The first time interval in a period must start at the start of the period, and each subsequent time interval in the period must start immediately after the previous time interval ends.</w:t>
      </w:r>
    </w:p>
    <w:p w14:paraId="434BBD56" w14:textId="1F8A2679" w:rsidR="002B4647" w:rsidRDefault="00976EF7" w:rsidP="006C4A9E">
      <w:pPr>
        <w:pStyle w:val="ListNumber2"/>
        <w:numPr>
          <w:ilvl w:val="0"/>
          <w:numId w:val="33"/>
        </w:numPr>
        <w:jc w:val="left"/>
      </w:pPr>
      <w:r>
        <w:t xml:space="preserve">Where a Prescribed Activity does not involve fuel switching, </w:t>
      </w:r>
      <w:r w:rsidR="00F55227">
        <w:t>t</w:t>
      </w:r>
      <w:r w:rsidR="002B4647" w:rsidRPr="00786452">
        <w:t>he length of a time interval used to calculate electricity, gas or renewable energy savings may differ; however</w:t>
      </w:r>
      <w:r w:rsidR="002B4647">
        <w:t>:</w:t>
      </w:r>
      <w:r w:rsidR="002B4647" w:rsidRPr="00786452">
        <w:t xml:space="preserve"> </w:t>
      </w:r>
    </w:p>
    <w:p w14:paraId="4BAB5C44" w14:textId="77777777" w:rsidR="002B4647" w:rsidRDefault="002B4647" w:rsidP="006C4A9E">
      <w:pPr>
        <w:pStyle w:val="ListNumber3"/>
        <w:numPr>
          <w:ilvl w:val="1"/>
          <w:numId w:val="33"/>
        </w:numPr>
        <w:jc w:val="left"/>
      </w:pPr>
      <w:r w:rsidRPr="00786452">
        <w:t xml:space="preserve">time intervals used to calculate savings of the same energy source </w:t>
      </w:r>
      <w:r>
        <w:t xml:space="preserve">for the same measurement boundary </w:t>
      </w:r>
      <w:r w:rsidRPr="00786452">
        <w:t>must be of the same length</w:t>
      </w:r>
      <w:r>
        <w:t xml:space="preserve">; and </w:t>
      </w:r>
    </w:p>
    <w:p w14:paraId="07FF763F" w14:textId="2C92EEE4" w:rsidR="002B4647" w:rsidRDefault="002B4647" w:rsidP="006C4A9E">
      <w:pPr>
        <w:pStyle w:val="ListNumber3"/>
        <w:numPr>
          <w:ilvl w:val="1"/>
          <w:numId w:val="33"/>
        </w:numPr>
        <w:jc w:val="left"/>
      </w:pPr>
      <w:r>
        <w:lastRenderedPageBreak/>
        <w:t xml:space="preserve">time intervals for the baseline and reporting/operating periods of a measurement boundary must be of the same length; </w:t>
      </w:r>
    </w:p>
    <w:p w14:paraId="6E6804AF" w14:textId="3E259B7B" w:rsidR="002B4647" w:rsidRPr="00786452" w:rsidRDefault="002B4647" w:rsidP="006C4A9E">
      <w:pPr>
        <w:pStyle w:val="ListNumber3"/>
        <w:numPr>
          <w:ilvl w:val="1"/>
          <w:numId w:val="33"/>
        </w:numPr>
        <w:jc w:val="left"/>
      </w:pPr>
      <w:r>
        <w:t>unless measurement frequency and hence time interval length is determined by utility data intervals.</w:t>
      </w:r>
    </w:p>
    <w:p w14:paraId="27889773" w14:textId="77777777" w:rsidR="002B4647" w:rsidRPr="00786452" w:rsidRDefault="002B4647" w:rsidP="006C4A9E">
      <w:pPr>
        <w:pStyle w:val="ListNumber2"/>
        <w:numPr>
          <w:ilvl w:val="0"/>
          <w:numId w:val="33"/>
        </w:numPr>
        <w:jc w:val="left"/>
      </w:pPr>
      <w:r w:rsidRPr="00786452">
        <w:t>A time interval in a period is an eligible time interval if</w:t>
      </w:r>
      <w:r>
        <w:t>, with respect to that</w:t>
      </w:r>
      <w:r w:rsidRPr="00786452">
        <w:t xml:space="preserve"> time interval:</w:t>
      </w:r>
    </w:p>
    <w:p w14:paraId="3E26E394" w14:textId="723A74D1" w:rsidR="002B4647" w:rsidRPr="00786452" w:rsidRDefault="002B4647" w:rsidP="006C4A9E">
      <w:pPr>
        <w:pStyle w:val="ListNumber3"/>
        <w:numPr>
          <w:ilvl w:val="1"/>
          <w:numId w:val="33"/>
        </w:numPr>
        <w:jc w:val="left"/>
      </w:pPr>
      <w:r w:rsidRPr="00786452">
        <w:t>the period is a reporting period, values for the measured energy consumption have been obtained; and</w:t>
      </w:r>
    </w:p>
    <w:p w14:paraId="74F58592" w14:textId="520E7786" w:rsidR="002B4647" w:rsidRDefault="002B4647" w:rsidP="006C4A9E">
      <w:pPr>
        <w:pStyle w:val="ListNumber3"/>
        <w:numPr>
          <w:ilvl w:val="1"/>
          <w:numId w:val="33"/>
        </w:numPr>
        <w:jc w:val="left"/>
      </w:pPr>
      <w:r w:rsidRPr="00786452">
        <w:t xml:space="preserve">values for all independent variables have been obtained; </w:t>
      </w:r>
    </w:p>
    <w:p w14:paraId="5357C07F" w14:textId="4B85FDC3" w:rsidR="00CF6B59" w:rsidRDefault="00CF6B59" w:rsidP="006C4A9E">
      <w:pPr>
        <w:pStyle w:val="ListNumber3"/>
        <w:numPr>
          <w:ilvl w:val="1"/>
          <w:numId w:val="33"/>
        </w:numPr>
        <w:jc w:val="left"/>
      </w:pPr>
      <w:r w:rsidRPr="00786452">
        <w:t xml:space="preserve">the period is a reporting period, all </w:t>
      </w:r>
      <w:r w:rsidR="006C6867">
        <w:t xml:space="preserve">site constants identified in a </w:t>
      </w:r>
      <w:r>
        <w:t>measurement boundary</w:t>
      </w:r>
      <w:r w:rsidRPr="00786452">
        <w:t xml:space="preserve"> are at their standard values;</w:t>
      </w:r>
      <w:r w:rsidR="007054CC">
        <w:t xml:space="preserve"> and</w:t>
      </w:r>
    </w:p>
    <w:p w14:paraId="2486EAE0" w14:textId="796B915F" w:rsidR="00CF6B59" w:rsidRDefault="00CF6B59" w:rsidP="006C4A9E">
      <w:pPr>
        <w:pStyle w:val="ListNumber3"/>
        <w:numPr>
          <w:ilvl w:val="1"/>
          <w:numId w:val="33"/>
        </w:numPr>
        <w:jc w:val="left"/>
      </w:pPr>
      <w:r>
        <w:t>meets the requirements of the effective range.</w:t>
      </w:r>
    </w:p>
    <w:p w14:paraId="7FFFC758" w14:textId="77777777" w:rsidR="0073129F" w:rsidRDefault="0073129F" w:rsidP="0073129F">
      <w:pPr>
        <w:pStyle w:val="ListNumber3"/>
        <w:jc w:val="left"/>
      </w:pPr>
    </w:p>
    <w:p w14:paraId="1BE4309B" w14:textId="77777777" w:rsidR="00D3166A" w:rsidRDefault="00D3166A" w:rsidP="00D3166A">
      <w:pPr>
        <w:pStyle w:val="Heading3"/>
      </w:pPr>
      <w:bookmarkStart w:id="71" w:name="_Toc188540986"/>
      <w:bookmarkStart w:id="72" w:name="_Toc200577494"/>
      <w:r>
        <w:t>Effective range</w:t>
      </w:r>
      <w:bookmarkEnd w:id="71"/>
      <w:bookmarkEnd w:id="72"/>
    </w:p>
    <w:p w14:paraId="1D0DFCC3" w14:textId="2F396342" w:rsidR="00BD07F4" w:rsidRPr="00EE554C" w:rsidRDefault="00C61CF6">
      <w:pPr>
        <w:pStyle w:val="BodyText"/>
        <w:numPr>
          <w:ilvl w:val="0"/>
          <w:numId w:val="34"/>
        </w:numPr>
        <w:spacing w:before="60"/>
      </w:pPr>
      <w:r w:rsidRPr="00EE554C">
        <w:t>The effective range referred to in 2.2.5 (5) is</w:t>
      </w:r>
      <w:r w:rsidR="009979A3">
        <w:t>:</w:t>
      </w:r>
      <w:r w:rsidRPr="00EE554C">
        <w:t xml:space="preserve"> </w:t>
      </w:r>
    </w:p>
    <w:p w14:paraId="6A689D59" w14:textId="52FBB2FA" w:rsidR="00C61CF6" w:rsidRPr="00EE554C" w:rsidRDefault="00C61CF6" w:rsidP="00BD07F4">
      <w:pPr>
        <w:pStyle w:val="BodyText"/>
        <w:numPr>
          <w:ilvl w:val="1"/>
          <w:numId w:val="34"/>
        </w:numPr>
        <w:spacing w:before="60"/>
      </w:pPr>
      <w:r w:rsidRPr="00EE554C">
        <w:t>based on the range of measured values for each Independent Variable used to develop the energy model, where each Independent Variable has:</w:t>
      </w:r>
    </w:p>
    <w:p w14:paraId="4A694EC0" w14:textId="03D52D92" w:rsidR="00C61CF6" w:rsidRPr="00EE554C" w:rsidRDefault="00C61CF6" w:rsidP="00BD07F4">
      <w:pPr>
        <w:pStyle w:val="BodyText"/>
        <w:numPr>
          <w:ilvl w:val="2"/>
          <w:numId w:val="34"/>
        </w:numPr>
        <w:spacing w:before="60"/>
      </w:pPr>
      <w:r w:rsidRPr="00EE554C">
        <w:t>a lower limit that is calculated as the minimum of the measured values, minus 5% of difference between the minimum and maximum of the measured values; and</w:t>
      </w:r>
    </w:p>
    <w:p w14:paraId="59C4ED27" w14:textId="394EA2EF" w:rsidR="009F0094" w:rsidRPr="00EE554C" w:rsidRDefault="00C61CF6" w:rsidP="00BD07F4">
      <w:pPr>
        <w:pStyle w:val="BodyText"/>
        <w:numPr>
          <w:ilvl w:val="2"/>
          <w:numId w:val="34"/>
        </w:numPr>
        <w:spacing w:before="60"/>
      </w:pPr>
      <w:r w:rsidRPr="00EE554C">
        <w:t>an upper limit that is calculated as the maximum of the measured values, plus 5% of difference between the minimum and maximum of the measured values</w:t>
      </w:r>
      <w:r w:rsidR="00FE2888" w:rsidRPr="00EE554C">
        <w:t>.</w:t>
      </w:r>
    </w:p>
    <w:p w14:paraId="44FEF969" w14:textId="635BF4A3" w:rsidR="00C61CF6" w:rsidRPr="00EE554C" w:rsidRDefault="00C61CF6" w:rsidP="00747769">
      <w:pPr>
        <w:pStyle w:val="BodyText"/>
        <w:numPr>
          <w:ilvl w:val="1"/>
          <w:numId w:val="34"/>
        </w:numPr>
        <w:spacing w:before="60"/>
      </w:pPr>
      <w:r w:rsidRPr="00EE554C">
        <w:t xml:space="preserve">if the time interval is in the reporting period – the effective range of the baseline energy model; or </w:t>
      </w:r>
    </w:p>
    <w:p w14:paraId="04B30CF0" w14:textId="1723C85F" w:rsidR="00393E36" w:rsidRPr="00EE554C" w:rsidRDefault="00C61CF6" w:rsidP="00747769">
      <w:pPr>
        <w:pStyle w:val="BodyText"/>
        <w:numPr>
          <w:ilvl w:val="1"/>
          <w:numId w:val="34"/>
        </w:numPr>
        <w:spacing w:before="60"/>
        <w:jc w:val="left"/>
      </w:pPr>
      <w:r w:rsidRPr="00EE554C">
        <w:t>if the time interval is in the normal year</w:t>
      </w:r>
      <w:r w:rsidR="00613C1F" w:rsidRPr="00EE554C">
        <w:t xml:space="preserve"> – </w:t>
      </w:r>
      <w:r w:rsidRPr="00EE554C">
        <w:t>the range of values that are within the effective range of both the baseline period and operating period energy models; or</w:t>
      </w:r>
    </w:p>
    <w:p w14:paraId="4A515B08" w14:textId="14F06EB5" w:rsidR="00C61CF6" w:rsidRPr="00EE554C" w:rsidRDefault="00C61CF6" w:rsidP="00747769">
      <w:pPr>
        <w:pStyle w:val="BodyText"/>
        <w:numPr>
          <w:ilvl w:val="1"/>
          <w:numId w:val="34"/>
        </w:numPr>
        <w:spacing w:before="60"/>
        <w:jc w:val="left"/>
      </w:pPr>
      <w:r w:rsidRPr="00EE554C">
        <w:t>if the time interval is in the baseline period – the effective range of the reporting period energy model</w:t>
      </w:r>
      <w:r w:rsidR="00393E36" w:rsidRPr="00EE554C">
        <w:t xml:space="preserve">. </w:t>
      </w:r>
    </w:p>
    <w:p w14:paraId="5BEDDC0B" w14:textId="77777777" w:rsidR="00D3166A" w:rsidRDefault="00D3166A" w:rsidP="0073129F">
      <w:pPr>
        <w:pStyle w:val="ListNumber3"/>
        <w:jc w:val="left"/>
      </w:pPr>
    </w:p>
    <w:p w14:paraId="53D9DB0C" w14:textId="77777777" w:rsidR="00166A3C" w:rsidRDefault="00166A3C" w:rsidP="00166A3C">
      <w:pPr>
        <w:pStyle w:val="Heading3"/>
      </w:pPr>
      <w:bookmarkStart w:id="73" w:name="_Toc188540987"/>
      <w:bookmarkStart w:id="74" w:name="_Toc200577495"/>
      <w:r>
        <w:t>Reporting period</w:t>
      </w:r>
      <w:bookmarkEnd w:id="73"/>
      <w:bookmarkEnd w:id="74"/>
    </w:p>
    <w:p w14:paraId="67B54994" w14:textId="6A536132" w:rsidR="00166A3C" w:rsidRDefault="00166A3C">
      <w:pPr>
        <w:pStyle w:val="ListParagraph"/>
        <w:numPr>
          <w:ilvl w:val="0"/>
          <w:numId w:val="82"/>
        </w:numPr>
      </w:pPr>
      <w:r>
        <w:t xml:space="preserve">Subject to </w:t>
      </w:r>
      <w:r w:rsidR="003927CB">
        <w:t>2.2.7</w:t>
      </w:r>
      <w:r>
        <w:t xml:space="preserve"> (2) the reporting period, in relation to a measurement boundary, is </w:t>
      </w:r>
      <w:r w:rsidR="00C471E2">
        <w:t xml:space="preserve">typically </w:t>
      </w:r>
      <w:r>
        <w:t>a 12-month period commencing:</w:t>
      </w:r>
    </w:p>
    <w:p w14:paraId="30D49406" w14:textId="1A600B5D" w:rsidR="00166A3C" w:rsidRDefault="003C3064">
      <w:pPr>
        <w:pStyle w:val="ListNumber3"/>
        <w:numPr>
          <w:ilvl w:val="1"/>
          <w:numId w:val="82"/>
        </w:numPr>
        <w:jc w:val="left"/>
      </w:pPr>
      <w:r>
        <w:t>f</w:t>
      </w:r>
      <w:r w:rsidR="00166A3C">
        <w:t xml:space="preserve">or a project with a single measurement boundary, immediately after the implementation start time; </w:t>
      </w:r>
    </w:p>
    <w:p w14:paraId="663F7B2D" w14:textId="288D9D2D" w:rsidR="00166A3C" w:rsidRDefault="003C3064">
      <w:pPr>
        <w:pStyle w:val="ListNumber3"/>
        <w:numPr>
          <w:ilvl w:val="1"/>
          <w:numId w:val="82"/>
        </w:numPr>
        <w:jc w:val="left"/>
      </w:pPr>
      <w:r>
        <w:t>f</w:t>
      </w:r>
      <w:r w:rsidR="00166A3C">
        <w:t>or a project with multiple measurement boundaries, immediately after the date that normal operations are capable of commencing within a measurement boundary after all changes to be implemented by the project within that measurement boundary are completed (this includes any testing and commissioning); or</w:t>
      </w:r>
    </w:p>
    <w:p w14:paraId="2C6554C0" w14:textId="77777777" w:rsidR="00166A3C" w:rsidRDefault="00166A3C">
      <w:pPr>
        <w:pStyle w:val="ListNumber3"/>
        <w:numPr>
          <w:ilvl w:val="1"/>
          <w:numId w:val="82"/>
        </w:numPr>
        <w:jc w:val="left"/>
      </w:pPr>
      <w:r>
        <w:t>immediately after another reporting period but not later than 9 years after the implementation start time.</w:t>
      </w:r>
    </w:p>
    <w:p w14:paraId="467116B4" w14:textId="77777777" w:rsidR="00166A3C" w:rsidRDefault="00166A3C" w:rsidP="00166A3C">
      <w:pPr>
        <w:pStyle w:val="ListNumber3"/>
        <w:ind w:left="360" w:firstLine="0"/>
      </w:pPr>
      <w:r w:rsidRPr="00F653A8">
        <w:t xml:space="preserve">Note: This means there can be a maximum of 10 reporting periods, therefore if a project covers multiple measurement boundaries or multiple </w:t>
      </w:r>
      <w:r>
        <w:t>P</w:t>
      </w:r>
      <w:r w:rsidRPr="00F653A8">
        <w:t xml:space="preserve">remises with upgrades implemented at different times, the number of eligible reporting periods for some measurement boundaries or some </w:t>
      </w:r>
      <w:r>
        <w:t>P</w:t>
      </w:r>
      <w:r w:rsidRPr="00F653A8">
        <w:t>remises may be reduced.</w:t>
      </w:r>
    </w:p>
    <w:p w14:paraId="7B80BFC5" w14:textId="039DC73F" w:rsidR="00166A3C" w:rsidRDefault="00166A3C">
      <w:pPr>
        <w:pStyle w:val="ListNumber2"/>
        <w:numPr>
          <w:ilvl w:val="0"/>
          <w:numId w:val="82"/>
        </w:numPr>
        <w:jc w:val="left"/>
      </w:pPr>
      <w:r>
        <w:t xml:space="preserve">For an Impacted Project the periods referred to </w:t>
      </w:r>
      <w:r w:rsidR="00AF1A64">
        <w:t>in</w:t>
      </w:r>
      <w:r>
        <w:t xml:space="preserve"> </w:t>
      </w:r>
      <w:r w:rsidR="00254209">
        <w:t>2.2.</w:t>
      </w:r>
      <w:r w:rsidR="00D104B8">
        <w:t xml:space="preserve">7 </w:t>
      </w:r>
      <w:r w:rsidR="001E4926">
        <w:t>(</w:t>
      </w:r>
      <w:r w:rsidR="00392B82">
        <w:t xml:space="preserve">a), </w:t>
      </w:r>
      <w:r w:rsidR="00D104B8">
        <w:t>(</w:t>
      </w:r>
      <w:r w:rsidR="00392B82">
        <w:t xml:space="preserve">b) and </w:t>
      </w:r>
      <w:r w:rsidR="00D104B8">
        <w:t>(</w:t>
      </w:r>
      <w:r w:rsidR="00392B82">
        <w:t>c)</w:t>
      </w:r>
      <w:r>
        <w:t xml:space="preserve"> may be extended in accordance with </w:t>
      </w:r>
      <w:r w:rsidRPr="00E37634">
        <w:rPr>
          <w:i/>
        </w:rPr>
        <w:t>Accounting for COVID-19 Under VEU (2021)</w:t>
      </w:r>
      <w:r w:rsidR="00F81644" w:rsidRPr="00E37634">
        <w:rPr>
          <w:i/>
        </w:rPr>
        <w:t>.</w:t>
      </w:r>
    </w:p>
    <w:p w14:paraId="34F1DC86" w14:textId="77777777" w:rsidR="00500E28" w:rsidRDefault="00500E28" w:rsidP="004B1D44">
      <w:pPr>
        <w:pStyle w:val="ListNumber2"/>
        <w:ind w:left="360" w:firstLine="0"/>
        <w:jc w:val="left"/>
      </w:pPr>
    </w:p>
    <w:p w14:paraId="3F8EA2D6" w14:textId="77777777" w:rsidR="00500E28" w:rsidRDefault="00500E28" w:rsidP="00500E28">
      <w:pPr>
        <w:pStyle w:val="Heading3"/>
      </w:pPr>
      <w:bookmarkStart w:id="75" w:name="_Toc188540988"/>
      <w:bookmarkStart w:id="76" w:name="_Toc200577496"/>
      <w:r>
        <w:t>Counted savings</w:t>
      </w:r>
      <w:bookmarkEnd w:id="75"/>
      <w:bookmarkEnd w:id="76"/>
    </w:p>
    <w:p w14:paraId="37BFB8DF" w14:textId="77777777" w:rsidR="00500E28" w:rsidRDefault="00500E28">
      <w:pPr>
        <w:pStyle w:val="BodyText"/>
        <w:numPr>
          <w:ilvl w:val="0"/>
          <w:numId w:val="83"/>
        </w:numPr>
        <w:spacing w:before="60"/>
        <w:jc w:val="left"/>
      </w:pPr>
      <w:r>
        <w:t xml:space="preserve">An adjustment may be made to counted savings in respect of upgrades prescribed by the </w:t>
      </w:r>
      <w:r w:rsidRPr="00E37634">
        <w:rPr>
          <w:i/>
        </w:rPr>
        <w:t>Victorian Energy Efficiency Target Regulations 2018</w:t>
      </w:r>
      <w:r>
        <w:t xml:space="preserve"> if:</w:t>
      </w:r>
    </w:p>
    <w:p w14:paraId="5124119C" w14:textId="2809C890" w:rsidR="00500E28" w:rsidRDefault="00500E28">
      <w:pPr>
        <w:pStyle w:val="BodyText"/>
        <w:numPr>
          <w:ilvl w:val="1"/>
          <w:numId w:val="83"/>
        </w:numPr>
        <w:spacing w:before="60"/>
        <w:jc w:val="left"/>
      </w:pPr>
      <w:r>
        <w:lastRenderedPageBreak/>
        <w:t xml:space="preserve">for projects using the forward creation method, where the adjustment corrects for the proportion of eligible time intervals in the normal year; </w:t>
      </w:r>
    </w:p>
    <w:p w14:paraId="6FC47C43" w14:textId="77777777" w:rsidR="00500E28" w:rsidRDefault="00500E28">
      <w:pPr>
        <w:pStyle w:val="BodyText"/>
        <w:numPr>
          <w:ilvl w:val="1"/>
          <w:numId w:val="83"/>
        </w:numPr>
        <w:spacing w:before="60"/>
        <w:jc w:val="left"/>
      </w:pPr>
      <w:r>
        <w:t>the adjustment corrects for the number of years that the savings coincide with the remaining eligible annual reporting periods; or</w:t>
      </w:r>
    </w:p>
    <w:p w14:paraId="5FE01A70" w14:textId="13313C52" w:rsidR="00500E28" w:rsidRDefault="00500E28">
      <w:pPr>
        <w:pStyle w:val="ListParagraph"/>
        <w:numPr>
          <w:ilvl w:val="1"/>
          <w:numId w:val="83"/>
        </w:numPr>
        <w:spacing w:before="0" w:after="0"/>
      </w:pPr>
      <w:r w:rsidRPr="00CC5548">
        <w:t xml:space="preserve">the adjustment is required for compliance with Regulation 14(b) of the </w:t>
      </w:r>
      <w:r w:rsidRPr="00E37634">
        <w:rPr>
          <w:i/>
        </w:rPr>
        <w:t>Victorian Energy Efficiency Target (Project-Based Activities) Regulations 2017</w:t>
      </w:r>
      <w:r w:rsidR="004C457A">
        <w:rPr>
          <w:rStyle w:val="FootnoteReference"/>
        </w:rPr>
        <w:footnoteReference w:id="2"/>
      </w:r>
      <w:r w:rsidRPr="00CC5548">
        <w:t>.</w:t>
      </w:r>
    </w:p>
    <w:p w14:paraId="41DA2F9D" w14:textId="77777777" w:rsidR="00D3166A" w:rsidRDefault="00D3166A" w:rsidP="0073129F">
      <w:pPr>
        <w:pStyle w:val="ListNumber3"/>
        <w:jc w:val="left"/>
      </w:pPr>
    </w:p>
    <w:p w14:paraId="631104C9" w14:textId="54DF0A80" w:rsidR="00061986" w:rsidRDefault="00061986" w:rsidP="00061986">
      <w:pPr>
        <w:pStyle w:val="Heading3"/>
      </w:pPr>
      <w:bookmarkStart w:id="77" w:name="_Toc188540989"/>
      <w:bookmarkStart w:id="78" w:name="_Toc200577497"/>
      <w:r>
        <w:t xml:space="preserve">Projects with multiple </w:t>
      </w:r>
      <w:bookmarkEnd w:id="77"/>
      <w:r w:rsidR="0080147E">
        <w:t>upgrades</w:t>
      </w:r>
      <w:bookmarkEnd w:id="78"/>
      <w:r w:rsidR="0080147E">
        <w:t xml:space="preserve"> </w:t>
      </w:r>
    </w:p>
    <w:p w14:paraId="30F24E30" w14:textId="4B57B962" w:rsidR="00061986" w:rsidRDefault="00061986">
      <w:pPr>
        <w:pStyle w:val="BodyText"/>
        <w:numPr>
          <w:ilvl w:val="0"/>
          <w:numId w:val="35"/>
        </w:numPr>
        <w:spacing w:before="60"/>
        <w:jc w:val="left"/>
      </w:pPr>
      <w:r>
        <w:t xml:space="preserve">If the project includes undertaking essentially identical upgrades </w:t>
      </w:r>
      <w:r w:rsidRPr="003C1787">
        <w:t xml:space="preserve">at </w:t>
      </w:r>
      <w:r w:rsidR="003C1787" w:rsidRPr="003C1787">
        <w:t>a single</w:t>
      </w:r>
      <w:r w:rsidRPr="003C1787">
        <w:t xml:space="preserve"> premises</w:t>
      </w:r>
      <w:r>
        <w:t>, the measured energy consumption can be determined from measurements taken for a sample of the upgrades if:</w:t>
      </w:r>
    </w:p>
    <w:p w14:paraId="5AAE4FD1" w14:textId="45033B61" w:rsidR="00061986" w:rsidRDefault="00061986">
      <w:pPr>
        <w:pStyle w:val="BodyText"/>
        <w:numPr>
          <w:ilvl w:val="1"/>
          <w:numId w:val="35"/>
        </w:numPr>
        <w:spacing w:before="60"/>
        <w:jc w:val="left"/>
      </w:pPr>
      <w:r>
        <w:t xml:space="preserve">the measured energy consumption of each upgrade can be reasonably described by the same energy model; </w:t>
      </w:r>
    </w:p>
    <w:p w14:paraId="6C38F098" w14:textId="42072CD0" w:rsidR="00061986" w:rsidRDefault="00061986">
      <w:pPr>
        <w:pStyle w:val="BodyText"/>
        <w:numPr>
          <w:ilvl w:val="1"/>
          <w:numId w:val="35"/>
        </w:numPr>
        <w:spacing w:before="60"/>
        <w:jc w:val="left"/>
      </w:pPr>
      <w:r>
        <w:t>the sampling methods used produce a random sample; and</w:t>
      </w:r>
    </w:p>
    <w:p w14:paraId="5F72F818" w14:textId="04094418" w:rsidR="00061986" w:rsidRDefault="00061986">
      <w:pPr>
        <w:pStyle w:val="BodyText"/>
        <w:numPr>
          <w:ilvl w:val="1"/>
          <w:numId w:val="35"/>
        </w:numPr>
        <w:spacing w:before="60"/>
        <w:jc w:val="left"/>
      </w:pPr>
      <w:r>
        <w:t>the calculation of the relative precision used to determine the accuracy factor includes quantification of the impact of the sampling.</w:t>
      </w:r>
      <w:r w:rsidR="0022797F">
        <w:br/>
      </w:r>
    </w:p>
    <w:p w14:paraId="738286F9" w14:textId="7DE31D5E" w:rsidR="00EB3157" w:rsidRDefault="00EB3157" w:rsidP="00B302B1">
      <w:pPr>
        <w:pStyle w:val="Heading3"/>
      </w:pPr>
      <w:bookmarkStart w:id="79" w:name="_Toc200577498"/>
      <w:r>
        <w:t>Measurement boundary</w:t>
      </w:r>
      <w:bookmarkEnd w:id="79"/>
    </w:p>
    <w:p w14:paraId="2F3DC6A0" w14:textId="77777777" w:rsidR="00956776" w:rsidRPr="009E7AE4" w:rsidRDefault="00956776">
      <w:pPr>
        <w:pStyle w:val="ListNumber2"/>
        <w:numPr>
          <w:ilvl w:val="0"/>
          <w:numId w:val="51"/>
        </w:numPr>
        <w:jc w:val="left"/>
      </w:pPr>
      <w:r w:rsidRPr="009E7AE4">
        <w:t xml:space="preserve">The measurement boundary of </w:t>
      </w:r>
      <w:r>
        <w:t>an upgrade</w:t>
      </w:r>
      <w:r w:rsidRPr="009E7AE4">
        <w:t xml:space="preserve"> must include:</w:t>
      </w:r>
    </w:p>
    <w:p w14:paraId="6FF9B141" w14:textId="5A568A44" w:rsidR="00956776" w:rsidRPr="00D01A0D" w:rsidRDefault="00956776">
      <w:pPr>
        <w:pStyle w:val="ListNumber3"/>
        <w:numPr>
          <w:ilvl w:val="1"/>
          <w:numId w:val="51"/>
        </w:numPr>
        <w:jc w:val="left"/>
      </w:pPr>
      <w:r w:rsidRPr="00D01A0D">
        <w:t>all energy consuming products installed or removed</w:t>
      </w:r>
      <w:r w:rsidR="0074248C">
        <w:t>, or modified</w:t>
      </w:r>
      <w:r w:rsidRPr="00D01A0D">
        <w:t xml:space="preserve"> in implementing the </w:t>
      </w:r>
      <w:r>
        <w:t>upgrade</w:t>
      </w:r>
      <w:r w:rsidRPr="00D01A0D">
        <w:t xml:space="preserve">; </w:t>
      </w:r>
    </w:p>
    <w:p w14:paraId="5911EF3E" w14:textId="40ECDFE7" w:rsidR="00956776" w:rsidRPr="00D01A0D" w:rsidRDefault="00956776">
      <w:pPr>
        <w:pStyle w:val="ListNumber3"/>
        <w:numPr>
          <w:ilvl w:val="1"/>
          <w:numId w:val="51"/>
        </w:numPr>
        <w:jc w:val="left"/>
      </w:pPr>
      <w:r w:rsidRPr="00D01A0D">
        <w:t xml:space="preserve">all energy consuming products for which energy consumption is affected by the </w:t>
      </w:r>
      <w:r>
        <w:t xml:space="preserve">upgrade, unless </w:t>
      </w:r>
      <w:r w:rsidR="00106E06">
        <w:t>2</w:t>
      </w:r>
      <w:r w:rsidR="001D1DAB">
        <w:t>.2.10 (</w:t>
      </w:r>
      <w:r w:rsidR="00106E06">
        <w:t>2)</w:t>
      </w:r>
      <w:r>
        <w:t xml:space="preserve"> applies</w:t>
      </w:r>
      <w:r w:rsidRPr="00D01A0D">
        <w:t xml:space="preserve">; </w:t>
      </w:r>
    </w:p>
    <w:p w14:paraId="2013F544" w14:textId="77777777" w:rsidR="00956776" w:rsidRPr="00D01A0D" w:rsidRDefault="00956776">
      <w:pPr>
        <w:pStyle w:val="ListNumber3"/>
        <w:numPr>
          <w:ilvl w:val="1"/>
          <w:numId w:val="51"/>
        </w:numPr>
        <w:jc w:val="left"/>
      </w:pPr>
      <w:r w:rsidRPr="00D01A0D">
        <w:t xml:space="preserve">all energy generating products installed or removed in implementing the </w:t>
      </w:r>
      <w:r>
        <w:t>upgrade</w:t>
      </w:r>
      <w:r w:rsidRPr="00D01A0D">
        <w:t>; and</w:t>
      </w:r>
    </w:p>
    <w:p w14:paraId="12D0D8F5" w14:textId="294AC6F5" w:rsidR="00956776" w:rsidRPr="00D01A0D" w:rsidRDefault="00956776">
      <w:pPr>
        <w:pStyle w:val="ListNumber3"/>
        <w:numPr>
          <w:ilvl w:val="1"/>
          <w:numId w:val="51"/>
        </w:numPr>
        <w:jc w:val="left"/>
      </w:pPr>
      <w:r w:rsidRPr="00D01A0D">
        <w:t xml:space="preserve">every product that is co-metered with energy consuming products referred to in </w:t>
      </w:r>
      <w:r w:rsidR="009C21D5">
        <w:t>2.2.10</w:t>
      </w:r>
      <w:r w:rsidR="009459E7">
        <w:t xml:space="preserve"> (1) </w:t>
      </w:r>
      <w:r w:rsidR="009C21D5">
        <w:t>(</w:t>
      </w:r>
      <w:r w:rsidR="00A01FA6">
        <w:t>a)</w:t>
      </w:r>
      <w:r w:rsidR="009C21D5">
        <w:t>, (</w:t>
      </w:r>
      <w:r w:rsidR="00A01FA6">
        <w:t xml:space="preserve">b) </w:t>
      </w:r>
      <w:r>
        <w:t>or</w:t>
      </w:r>
      <w:r w:rsidR="00A01FA6">
        <w:t xml:space="preserve"> </w:t>
      </w:r>
      <w:r w:rsidR="009C21D5">
        <w:t>(</w:t>
      </w:r>
      <w:r w:rsidR="00A01FA6">
        <w:t>c)</w:t>
      </w:r>
      <w:r w:rsidRPr="00D01A0D">
        <w:t>.</w:t>
      </w:r>
    </w:p>
    <w:p w14:paraId="711FF2BD" w14:textId="77777777" w:rsidR="00956776" w:rsidRPr="005C7BF9" w:rsidRDefault="00956776">
      <w:pPr>
        <w:pStyle w:val="ListNumber3"/>
        <w:numPr>
          <w:ilvl w:val="0"/>
          <w:numId w:val="51"/>
        </w:numPr>
        <w:jc w:val="left"/>
      </w:pPr>
      <w:r w:rsidRPr="005C7BF9">
        <w:t>An energy consuming product or a component of an energy consuming product may be excluded from the measurement boundary if:</w:t>
      </w:r>
    </w:p>
    <w:p w14:paraId="71B01E4A" w14:textId="669F53AF" w:rsidR="00956776" w:rsidRPr="005C7BF9" w:rsidRDefault="00956776">
      <w:pPr>
        <w:pStyle w:val="ListNumber3"/>
        <w:numPr>
          <w:ilvl w:val="1"/>
          <w:numId w:val="51"/>
        </w:numPr>
        <w:jc w:val="left"/>
      </w:pPr>
      <w:r w:rsidRPr="005C7BF9">
        <w:t xml:space="preserve">it is impractical or disproportionately costly to measure changes in the energy consumed by the product that result from implementation of the </w:t>
      </w:r>
      <w:r>
        <w:t>upgrade</w:t>
      </w:r>
      <w:r w:rsidRPr="005C7BF9">
        <w:t xml:space="preserve"> and the change in the energy consumed is minor or trivial; </w:t>
      </w:r>
    </w:p>
    <w:p w14:paraId="083F3729" w14:textId="09B01D9D" w:rsidR="003C3A3B" w:rsidRDefault="00956776">
      <w:pPr>
        <w:pStyle w:val="ListNumber3"/>
        <w:numPr>
          <w:ilvl w:val="1"/>
          <w:numId w:val="51"/>
        </w:numPr>
        <w:jc w:val="left"/>
      </w:pPr>
      <w:r w:rsidRPr="005C7BF9">
        <w:t>changes in the energy consumed by the product is accounted for in the interactive energy savings</w:t>
      </w:r>
      <w:r w:rsidR="003C3A3B">
        <w:t>; or</w:t>
      </w:r>
    </w:p>
    <w:p w14:paraId="0C86F0CD" w14:textId="530EB772" w:rsidR="00956776" w:rsidRDefault="009251A3">
      <w:pPr>
        <w:pStyle w:val="ListNumber3"/>
        <w:numPr>
          <w:ilvl w:val="1"/>
          <w:numId w:val="51"/>
        </w:numPr>
        <w:jc w:val="left"/>
      </w:pPr>
      <w:r>
        <w:t xml:space="preserve">the method specifies </w:t>
      </w:r>
      <w:r w:rsidR="00D83CAC">
        <w:t>alternative requirements for the measurement boundary.</w:t>
      </w:r>
    </w:p>
    <w:p w14:paraId="2FD09BF3" w14:textId="7DEF592E" w:rsidR="00956776" w:rsidRDefault="00956776">
      <w:pPr>
        <w:pStyle w:val="ListNumber2"/>
        <w:numPr>
          <w:ilvl w:val="0"/>
          <w:numId w:val="51"/>
        </w:numPr>
        <w:jc w:val="left"/>
      </w:pPr>
      <w:r>
        <w:t>Measurement boundaries of similar upgrades in a Project must be determined in a consistent manner across all upgrades within a Premises and across all Premises within the Project</w:t>
      </w:r>
      <w:r w:rsidR="00C613D0">
        <w:t>.</w:t>
      </w:r>
    </w:p>
    <w:p w14:paraId="44B1FCA4" w14:textId="20FBD81A" w:rsidR="006C5408" w:rsidRDefault="00956776">
      <w:pPr>
        <w:pStyle w:val="ListNumber2"/>
        <w:numPr>
          <w:ilvl w:val="0"/>
          <w:numId w:val="51"/>
        </w:numPr>
        <w:jc w:val="left"/>
      </w:pPr>
      <w:r>
        <w:t>A Premises may have multiple measurement boundaries, provided there are no interactive effects between these boundaries.</w:t>
      </w:r>
    </w:p>
    <w:p w14:paraId="134E5BB3" w14:textId="77777777" w:rsidR="00347866" w:rsidRDefault="00347866" w:rsidP="00347866">
      <w:pPr>
        <w:pStyle w:val="ListNumber2"/>
        <w:ind w:left="0" w:firstLine="0"/>
        <w:jc w:val="left"/>
      </w:pPr>
    </w:p>
    <w:p w14:paraId="473AB2D2" w14:textId="17DDE497" w:rsidR="00EB43D1" w:rsidRPr="005C7BF9" w:rsidRDefault="00EB43D1" w:rsidP="00B302B1">
      <w:pPr>
        <w:pStyle w:val="Heading3"/>
      </w:pPr>
      <w:bookmarkStart w:id="80" w:name="_Toc200577499"/>
      <w:r w:rsidRPr="005C7BF9">
        <w:t>Baseline energy model and operating energy model</w:t>
      </w:r>
      <w:bookmarkEnd w:id="80"/>
    </w:p>
    <w:p w14:paraId="31EAFBE8" w14:textId="77777777" w:rsidR="00EB43D1" w:rsidRPr="005C7BF9" w:rsidRDefault="00EB43D1">
      <w:pPr>
        <w:pStyle w:val="ListNumber2"/>
        <w:numPr>
          <w:ilvl w:val="0"/>
          <w:numId w:val="48"/>
        </w:numPr>
        <w:jc w:val="left"/>
      </w:pPr>
      <w:bookmarkStart w:id="81" w:name="_Ref466022401"/>
      <w:r w:rsidRPr="005C7BF9">
        <w:t>A baseline energy model or operating energy model is</w:t>
      </w:r>
      <w:r>
        <w:t xml:space="preserve"> </w:t>
      </w:r>
      <w:r w:rsidRPr="005C7BF9">
        <w:t>established by:</w:t>
      </w:r>
      <w:bookmarkEnd w:id="81"/>
    </w:p>
    <w:p w14:paraId="1ECEBB84" w14:textId="69707543" w:rsidR="00EB43D1" w:rsidRPr="005C7BF9" w:rsidRDefault="001E3097">
      <w:pPr>
        <w:pStyle w:val="ListNumber3"/>
        <w:numPr>
          <w:ilvl w:val="1"/>
          <w:numId w:val="48"/>
        </w:numPr>
        <w:jc w:val="left"/>
      </w:pPr>
      <w:r>
        <w:t>A r</w:t>
      </w:r>
      <w:r w:rsidR="00EB43D1" w:rsidRPr="005C7BF9">
        <w:t>egression analysis that:</w:t>
      </w:r>
    </w:p>
    <w:p w14:paraId="7BFC6E52" w14:textId="77777777" w:rsidR="00EB43D1" w:rsidRPr="00D01A0D" w:rsidRDefault="00EB43D1">
      <w:pPr>
        <w:pStyle w:val="ListAlpha3"/>
        <w:numPr>
          <w:ilvl w:val="2"/>
          <w:numId w:val="48"/>
        </w:numPr>
      </w:pPr>
      <w:r w:rsidRPr="00D01A0D">
        <w:lastRenderedPageBreak/>
        <w:t>is based on the value</w:t>
      </w:r>
      <w:r>
        <w:t>s</w:t>
      </w:r>
      <w:r w:rsidRPr="00D01A0D">
        <w:t xml:space="preserve"> of the measured energy consumption</w:t>
      </w:r>
      <w:r>
        <w:t xml:space="preserve"> within the measurement boundary</w:t>
      </w:r>
      <w:r w:rsidRPr="00D01A0D">
        <w:t xml:space="preserve"> and independent variables during the baseline period (for a baseline energy model) or operating period (for an operating energy model) where site constants are at their normal values; and</w:t>
      </w:r>
    </w:p>
    <w:p w14:paraId="1E2148E9" w14:textId="77777777" w:rsidR="00EB43D1" w:rsidRPr="00D01A0D" w:rsidRDefault="00EB43D1">
      <w:pPr>
        <w:pStyle w:val="ListAlpha3"/>
        <w:numPr>
          <w:ilvl w:val="2"/>
          <w:numId w:val="48"/>
        </w:numPr>
      </w:pPr>
      <w:r w:rsidRPr="00D01A0D">
        <w:t>is based on at least 80% of the total number of time intervals in the baseline period (for a baseline energy model) or the operating period (for an operating energy model); and</w:t>
      </w:r>
    </w:p>
    <w:p w14:paraId="7DF6D5B4" w14:textId="77777777" w:rsidR="00EB43D1" w:rsidRDefault="00EB43D1">
      <w:pPr>
        <w:pStyle w:val="ListAlpha3"/>
        <w:numPr>
          <w:ilvl w:val="2"/>
          <w:numId w:val="48"/>
        </w:numPr>
      </w:pPr>
      <w:r w:rsidRPr="00D01A0D">
        <w:t>has at least six times as many independent observations of the independent variables as the number of independent variables in the energy model; or</w:t>
      </w:r>
    </w:p>
    <w:p w14:paraId="01714A0A" w14:textId="2DA4763E" w:rsidR="00EB43D1" w:rsidRDefault="00EB43D1">
      <w:pPr>
        <w:pStyle w:val="ListAlpha3"/>
        <w:numPr>
          <w:ilvl w:val="2"/>
          <w:numId w:val="48"/>
        </w:numPr>
      </w:pPr>
      <w:r>
        <w:t xml:space="preserve">has one less than at least six times as many independent observations of the independent variables as the number of independent variables in the energy model. Projects using this approach must reduce </w:t>
      </w:r>
      <w:r w:rsidR="00631407">
        <w:t xml:space="preserve">the </w:t>
      </w:r>
      <w:r>
        <w:t>Accuracy Factor by 0.1 and demonstrate that independent observations include peak consumption periods at a minimum; or</w:t>
      </w:r>
    </w:p>
    <w:p w14:paraId="7232079E" w14:textId="77777777" w:rsidR="00EB43D1" w:rsidRPr="00D01A0D" w:rsidRDefault="00EB43D1">
      <w:pPr>
        <w:pStyle w:val="ListAlpha3"/>
        <w:numPr>
          <w:ilvl w:val="2"/>
          <w:numId w:val="48"/>
        </w:numPr>
      </w:pPr>
      <w:r>
        <w:t xml:space="preserve">for an Impacted Project, has the number of independent observations of the independent variables as required by </w:t>
      </w:r>
      <w:r w:rsidRPr="00E37634">
        <w:rPr>
          <w:i/>
        </w:rPr>
        <w:t>Accounting for COVID-19 Under VEU (2021);</w:t>
      </w:r>
      <w:r>
        <w:t xml:space="preserve"> or</w:t>
      </w:r>
    </w:p>
    <w:p w14:paraId="045B3C21" w14:textId="77777777" w:rsidR="00EB43D1" w:rsidRPr="008729F9" w:rsidRDefault="00EB43D1">
      <w:pPr>
        <w:pStyle w:val="ListNumber3"/>
        <w:numPr>
          <w:ilvl w:val="1"/>
          <w:numId w:val="48"/>
        </w:numPr>
        <w:jc w:val="left"/>
      </w:pPr>
      <w:r w:rsidRPr="008729F9">
        <w:t>An estimate of the mean that:</w:t>
      </w:r>
    </w:p>
    <w:p w14:paraId="3B1E6314" w14:textId="77777777" w:rsidR="00EB43D1" w:rsidRPr="008729F9" w:rsidRDefault="00EB43D1" w:rsidP="003743B3">
      <w:pPr>
        <w:pStyle w:val="ListAlpha3"/>
      </w:pPr>
      <w:r w:rsidRPr="008729F9">
        <w:t xml:space="preserve">is based on the values of the measured energy consumption </w:t>
      </w:r>
      <w:r>
        <w:t xml:space="preserve">within the measurement boundary </w:t>
      </w:r>
      <w:r w:rsidRPr="008729F9">
        <w:t>during the baseline period (for a baseline energy model) or operating period (for an operating energy model), where site constants are at their normal values and where the coefficient of variation of the measured energy consumption over the period is less than 15%; and</w:t>
      </w:r>
    </w:p>
    <w:p w14:paraId="17CBCCBC" w14:textId="77777777" w:rsidR="00EB43D1" w:rsidRPr="008729F9" w:rsidRDefault="00EB43D1" w:rsidP="00EB43D1">
      <w:pPr>
        <w:pStyle w:val="ListAlpha3"/>
        <w:ind w:left="1049"/>
      </w:pPr>
      <w:r w:rsidRPr="008729F9">
        <w:t>is based on at least 80% of the total number of time intervals in the baseline period (for a baseline energy model) or the operating period (for an operating energy model).</w:t>
      </w:r>
    </w:p>
    <w:p w14:paraId="007A134E" w14:textId="1E056472" w:rsidR="00EB43D1" w:rsidRPr="008729F9" w:rsidRDefault="00EB43D1">
      <w:pPr>
        <w:pStyle w:val="ListNumber2"/>
        <w:numPr>
          <w:ilvl w:val="0"/>
          <w:numId w:val="48"/>
        </w:numPr>
        <w:jc w:val="left"/>
      </w:pPr>
      <w:bookmarkStart w:id="82" w:name="_Ref466023066"/>
      <w:r w:rsidRPr="008729F9">
        <w:t>The baseline period</w:t>
      </w:r>
      <w:r w:rsidR="00583922">
        <w:t xml:space="preserve"> referred to in 2.2.11 (</w:t>
      </w:r>
      <w:r w:rsidR="00576ACF">
        <w:t>1</w:t>
      </w:r>
      <w:r w:rsidR="00583922">
        <w:t>)</w:t>
      </w:r>
      <w:r w:rsidRPr="008729F9">
        <w:t>:</w:t>
      </w:r>
    </w:p>
    <w:p w14:paraId="664343FE" w14:textId="77777777" w:rsidR="00EB43D1" w:rsidRPr="008729F9" w:rsidRDefault="00EB43D1">
      <w:pPr>
        <w:pStyle w:val="ListNumber3"/>
        <w:numPr>
          <w:ilvl w:val="1"/>
          <w:numId w:val="48"/>
        </w:numPr>
        <w:jc w:val="left"/>
      </w:pPr>
      <w:r w:rsidRPr="008729F9">
        <w:t>must not end more than 24 months</w:t>
      </w:r>
      <w:r>
        <w:t xml:space="preserve">, plus any further time allowances outlined in </w:t>
      </w:r>
      <w:r w:rsidRPr="0011740C">
        <w:rPr>
          <w:i/>
          <w:iCs/>
        </w:rPr>
        <w:t xml:space="preserve">Accounting for </w:t>
      </w:r>
      <w:r w:rsidRPr="00E37634">
        <w:rPr>
          <w:i/>
        </w:rPr>
        <w:t>COVID-19 Under VEU (2021),</w:t>
      </w:r>
      <w:r>
        <w:t xml:space="preserve"> if applicable,</w:t>
      </w:r>
      <w:r w:rsidRPr="008729F9">
        <w:t xml:space="preserve"> before the day</w:t>
      </w:r>
      <w:r>
        <w:t xml:space="preserve"> work for the purposes of the upgrade has commenced at the Premises</w:t>
      </w:r>
      <w:r w:rsidRPr="008729F9">
        <w:t>; and</w:t>
      </w:r>
    </w:p>
    <w:p w14:paraId="3D944B01" w14:textId="5A216568" w:rsidR="00EB43D1" w:rsidRPr="008729F9" w:rsidRDefault="00EB43D1">
      <w:pPr>
        <w:pStyle w:val="ListNumber3"/>
        <w:numPr>
          <w:ilvl w:val="1"/>
          <w:numId w:val="48"/>
        </w:numPr>
        <w:jc w:val="left"/>
      </w:pPr>
      <w:r w:rsidRPr="008729F9">
        <w:t xml:space="preserve">must end before the day and time that </w:t>
      </w:r>
      <w:r>
        <w:t xml:space="preserve">work for the purposes of the upgrade has commenced at the premises, unless </w:t>
      </w:r>
      <w:r>
        <w:fldChar w:fldCharType="begin"/>
      </w:r>
      <w:r>
        <w:instrText xml:space="preserve"> REF _Ref478733636 \r \h </w:instrText>
      </w:r>
      <w:r>
        <w:fldChar w:fldCharType="separate"/>
      </w:r>
      <w:r w:rsidR="003363DF">
        <w:t>(3)</w:t>
      </w:r>
      <w:r>
        <w:fldChar w:fldCharType="end"/>
      </w:r>
      <w:r>
        <w:t xml:space="preserve"> applies.</w:t>
      </w:r>
    </w:p>
    <w:p w14:paraId="11A59B84" w14:textId="77777777" w:rsidR="00EB43D1" w:rsidRPr="008729F9" w:rsidRDefault="00EB43D1">
      <w:pPr>
        <w:pStyle w:val="ListNumber2"/>
        <w:numPr>
          <w:ilvl w:val="0"/>
          <w:numId w:val="48"/>
        </w:numPr>
        <w:jc w:val="left"/>
      </w:pPr>
      <w:bookmarkStart w:id="83" w:name="_Ref478733636"/>
      <w:r>
        <w:t xml:space="preserve">The baseline period </w:t>
      </w:r>
      <w:r w:rsidRPr="008729F9">
        <w:t xml:space="preserve">may end after the day that </w:t>
      </w:r>
      <w:r>
        <w:t>work for the purposes of the upgrade has commenced at the premises</w:t>
      </w:r>
      <w:r w:rsidRPr="00206BDC">
        <w:t xml:space="preserve"> if </w:t>
      </w:r>
      <w:r w:rsidRPr="008729F9">
        <w:t xml:space="preserve">the effects of the </w:t>
      </w:r>
      <w:r>
        <w:t>upgrade</w:t>
      </w:r>
      <w:r w:rsidRPr="008729F9">
        <w:t xml:space="preserve"> can be temporarily suspended so that conditions prior to the </w:t>
      </w:r>
      <w:r>
        <w:t>upgrade</w:t>
      </w:r>
      <w:r w:rsidRPr="008729F9">
        <w:t xml:space="preserve"> being undertaken can be measured.</w:t>
      </w:r>
      <w:bookmarkEnd w:id="83"/>
    </w:p>
    <w:p w14:paraId="26F77B6D" w14:textId="7579D163" w:rsidR="00EB43D1" w:rsidRPr="008729F9" w:rsidRDefault="00EB43D1">
      <w:pPr>
        <w:pStyle w:val="ListNumber2"/>
        <w:numPr>
          <w:ilvl w:val="0"/>
          <w:numId w:val="48"/>
        </w:numPr>
        <w:jc w:val="left"/>
      </w:pPr>
      <w:r w:rsidRPr="008729F9">
        <w:t xml:space="preserve">The operating period referred to in </w:t>
      </w:r>
      <w:r w:rsidR="00105596">
        <w:t xml:space="preserve">2.2.11 </w:t>
      </w:r>
      <w:r w:rsidRPr="008729F9">
        <w:fldChar w:fldCharType="begin"/>
      </w:r>
      <w:r w:rsidRPr="008729F9">
        <w:instrText xml:space="preserve"> REF _Ref466022401 \r \h  \* MERGEFORMAT </w:instrText>
      </w:r>
      <w:r w:rsidRPr="008729F9">
        <w:fldChar w:fldCharType="separate"/>
      </w:r>
      <w:r w:rsidR="003363DF">
        <w:t>(1)</w:t>
      </w:r>
      <w:r w:rsidRPr="008729F9">
        <w:fldChar w:fldCharType="end"/>
      </w:r>
      <w:r>
        <w:t>:</w:t>
      </w:r>
      <w:bookmarkEnd w:id="82"/>
      <w:r>
        <w:t xml:space="preserve"> </w:t>
      </w:r>
    </w:p>
    <w:p w14:paraId="7F46CD59" w14:textId="51F8967F" w:rsidR="00EB43D1" w:rsidRPr="008729F9" w:rsidRDefault="00EB43D1">
      <w:pPr>
        <w:pStyle w:val="ListNumber3"/>
        <w:numPr>
          <w:ilvl w:val="0"/>
          <w:numId w:val="59"/>
        </w:numPr>
        <w:jc w:val="left"/>
      </w:pPr>
      <w:r>
        <w:t xml:space="preserve">for a project with a single measurement boundary, </w:t>
      </w:r>
      <w:r w:rsidRPr="008729F9">
        <w:t>must not start before the implementation start time</w:t>
      </w:r>
      <w:r>
        <w:t>;</w:t>
      </w:r>
      <w:r w:rsidRPr="008729F9">
        <w:t xml:space="preserve"> </w:t>
      </w:r>
    </w:p>
    <w:p w14:paraId="5A40DDD8" w14:textId="77777777" w:rsidR="00EB43D1" w:rsidRPr="006C1114" w:rsidRDefault="00EB43D1">
      <w:pPr>
        <w:pStyle w:val="ListNumber3"/>
        <w:numPr>
          <w:ilvl w:val="0"/>
          <w:numId w:val="59"/>
        </w:numPr>
        <w:jc w:val="left"/>
      </w:pPr>
      <w:r>
        <w:t xml:space="preserve">for a project with multiple measurement boundaries, must not start before all normal operations are capable of commencing within that measurement </w:t>
      </w:r>
      <w:r w:rsidRPr="006C1114">
        <w:t xml:space="preserve">boundary after all changes to be implemented by the project within that measurement boundary are completed (including testing and commissioning); and </w:t>
      </w:r>
    </w:p>
    <w:p w14:paraId="058B93E5" w14:textId="77777777" w:rsidR="00EB43D1" w:rsidRDefault="00EB43D1">
      <w:pPr>
        <w:pStyle w:val="ListNumber3"/>
        <w:numPr>
          <w:ilvl w:val="0"/>
          <w:numId w:val="59"/>
        </w:numPr>
        <w:jc w:val="left"/>
      </w:pPr>
      <w:r w:rsidRPr="008729F9">
        <w:t>must end no later than two years</w:t>
      </w:r>
      <w:r>
        <w:t xml:space="preserve">, plus any further time allowances outlined in </w:t>
      </w:r>
      <w:r w:rsidRPr="0011740C">
        <w:rPr>
          <w:i/>
          <w:iCs/>
        </w:rPr>
        <w:t>Accounting for COVID-19 Under VEU (2021)</w:t>
      </w:r>
      <w:r>
        <w:t>, if applicable,</w:t>
      </w:r>
      <w:r w:rsidRPr="008729F9">
        <w:t xml:space="preserve"> after the implementation start time</w:t>
      </w:r>
      <w:r>
        <w:t>.</w:t>
      </w:r>
    </w:p>
    <w:p w14:paraId="5F32AA14" w14:textId="77777777" w:rsidR="00CC3C98" w:rsidRPr="008729F9" w:rsidRDefault="00CC3C98" w:rsidP="00CC3C98">
      <w:pPr>
        <w:pStyle w:val="ListNumber3"/>
        <w:ind w:left="0" w:firstLine="0"/>
        <w:jc w:val="left"/>
      </w:pPr>
    </w:p>
    <w:p w14:paraId="32648C03" w14:textId="77777777" w:rsidR="00745979" w:rsidRPr="008729F9" w:rsidRDefault="00745979" w:rsidP="00B302B1">
      <w:pPr>
        <w:pStyle w:val="Heading3"/>
      </w:pPr>
      <w:bookmarkStart w:id="84" w:name="_Toc200577500"/>
      <w:r w:rsidRPr="008729F9">
        <w:t>Normal year</w:t>
      </w:r>
      <w:bookmarkEnd w:id="84"/>
    </w:p>
    <w:p w14:paraId="565C1931" w14:textId="74577592" w:rsidR="00745979" w:rsidRPr="008729F9" w:rsidRDefault="00D5087A">
      <w:pPr>
        <w:pStyle w:val="ListNumber"/>
        <w:numPr>
          <w:ilvl w:val="0"/>
          <w:numId w:val="54"/>
        </w:numPr>
        <w:jc w:val="left"/>
      </w:pPr>
      <w:bookmarkStart w:id="85" w:name="_Ref466030760"/>
      <w:r>
        <w:t>A</w:t>
      </w:r>
      <w:r w:rsidR="00745979" w:rsidRPr="008729F9">
        <w:t xml:space="preserve"> normal year is a set of values for a 12</w:t>
      </w:r>
      <w:r w:rsidR="00745979">
        <w:t>-</w:t>
      </w:r>
      <w:r w:rsidR="00745979" w:rsidRPr="008729F9">
        <w:t>month period for each independent variable used in the baseline energy model and the operating energy model.</w:t>
      </w:r>
      <w:bookmarkEnd w:id="85"/>
    </w:p>
    <w:p w14:paraId="263F5F4B" w14:textId="0BF0CE00" w:rsidR="00745979" w:rsidRPr="008729F9" w:rsidRDefault="00745979">
      <w:pPr>
        <w:pStyle w:val="ListNumber"/>
        <w:numPr>
          <w:ilvl w:val="0"/>
          <w:numId w:val="54"/>
        </w:numPr>
        <w:jc w:val="left"/>
      </w:pPr>
      <w:bookmarkStart w:id="86" w:name="_Ref466030761"/>
      <w:r w:rsidRPr="008729F9">
        <w:t>A value in a normal year must be provided for each time interval.</w:t>
      </w:r>
    </w:p>
    <w:p w14:paraId="683788B3" w14:textId="5D71D350" w:rsidR="00745979" w:rsidRDefault="00D5087A">
      <w:pPr>
        <w:pStyle w:val="ListNumber"/>
        <w:numPr>
          <w:ilvl w:val="0"/>
          <w:numId w:val="54"/>
        </w:numPr>
        <w:jc w:val="left"/>
      </w:pPr>
      <w:r>
        <w:t>A</w:t>
      </w:r>
      <w:r w:rsidR="00745979" w:rsidRPr="008729F9">
        <w:t xml:space="preserve"> normal year must reasonably represent the expected mean, range and variation of the independent variables used in the baseline energy model and operating energy model in a </w:t>
      </w:r>
      <w:r w:rsidR="00745979">
        <w:t>typical</w:t>
      </w:r>
      <w:r w:rsidR="00745979" w:rsidRPr="008729F9">
        <w:t xml:space="preserve"> year of the </w:t>
      </w:r>
      <w:r w:rsidR="00745979" w:rsidRPr="00206BDC">
        <w:t>maximum time period for forward creation.</w:t>
      </w:r>
      <w:bookmarkEnd w:id="86"/>
    </w:p>
    <w:p w14:paraId="35842DAB" w14:textId="6A6EA15A" w:rsidR="00745979" w:rsidRPr="008729F9" w:rsidRDefault="009228FB">
      <w:pPr>
        <w:pStyle w:val="ListNumber"/>
        <w:numPr>
          <w:ilvl w:val="0"/>
          <w:numId w:val="54"/>
        </w:numPr>
        <w:jc w:val="left"/>
      </w:pPr>
      <w:bookmarkStart w:id="87" w:name="_Ref75377504"/>
      <w:r>
        <w:t>Projects impacted by COVID</w:t>
      </w:r>
      <w:r w:rsidR="00213727">
        <w:t>-19</w:t>
      </w:r>
      <w:r>
        <w:t xml:space="preserve"> need not comply </w:t>
      </w:r>
      <w:r w:rsidR="00213727">
        <w:t xml:space="preserve">with the requirements for a normal year in this section. </w:t>
      </w:r>
      <w:r w:rsidR="00745979">
        <w:t xml:space="preserve">Further details on selecting a normal year for an Impacted Project are contained in </w:t>
      </w:r>
      <w:r w:rsidR="00745979" w:rsidRPr="0011740C">
        <w:rPr>
          <w:i/>
          <w:iCs/>
        </w:rPr>
        <w:t>Accounting for COVID-19 Under VEU (2021)</w:t>
      </w:r>
      <w:r w:rsidR="00745979">
        <w:t>.</w:t>
      </w:r>
      <w:bookmarkEnd w:id="87"/>
      <w:r w:rsidR="00745979">
        <w:t xml:space="preserve"> </w:t>
      </w:r>
    </w:p>
    <w:p w14:paraId="250906C1" w14:textId="77777777" w:rsidR="003A5108" w:rsidRDefault="003A5108" w:rsidP="00C21E6D">
      <w:pPr>
        <w:pStyle w:val="ListNumber2"/>
        <w:jc w:val="left"/>
      </w:pPr>
    </w:p>
    <w:p w14:paraId="69D51EBA" w14:textId="77777777" w:rsidR="003A5108" w:rsidRPr="008729F9" w:rsidRDefault="003A5108" w:rsidP="00B302B1">
      <w:pPr>
        <w:pStyle w:val="Heading3"/>
      </w:pPr>
      <w:bookmarkStart w:id="88" w:name="_Ref468701036"/>
      <w:bookmarkStart w:id="89" w:name="_Toc200577501"/>
      <w:r w:rsidRPr="008729F9">
        <w:t>Accuracy factor</w:t>
      </w:r>
      <w:bookmarkEnd w:id="88"/>
      <w:bookmarkEnd w:id="89"/>
    </w:p>
    <w:p w14:paraId="528486A5" w14:textId="4D4EC729" w:rsidR="00257645" w:rsidRDefault="00257645" w:rsidP="006C4A9E">
      <w:pPr>
        <w:pStyle w:val="ListNumber2"/>
        <w:numPr>
          <w:ilvl w:val="0"/>
          <w:numId w:val="26"/>
        </w:numPr>
        <w:jc w:val="left"/>
      </w:pPr>
      <w:r>
        <w:t xml:space="preserve">The </w:t>
      </w:r>
      <w:r w:rsidR="00501960">
        <w:t xml:space="preserve">method for determining the </w:t>
      </w:r>
      <w:r>
        <w:t xml:space="preserve">accuracy factor </w:t>
      </w:r>
      <w:r w:rsidR="00501960">
        <w:t xml:space="preserve">for the project is </w:t>
      </w:r>
      <w:r w:rsidR="00715750">
        <w:t xml:space="preserve">specified for each method. </w:t>
      </w:r>
    </w:p>
    <w:p w14:paraId="58BDEF73" w14:textId="77777777" w:rsidR="003A5108" w:rsidRPr="008729F9" w:rsidRDefault="003A5108" w:rsidP="006C4A9E">
      <w:pPr>
        <w:pStyle w:val="ListNumber2"/>
        <w:numPr>
          <w:ilvl w:val="0"/>
          <w:numId w:val="26"/>
        </w:numPr>
        <w:jc w:val="left"/>
      </w:pPr>
      <w:r>
        <w:t xml:space="preserve">Accuracy factors are determined for each measurement boundary in a project with multiple measurement boundaries. </w:t>
      </w:r>
    </w:p>
    <w:p w14:paraId="252DF32C" w14:textId="77777777" w:rsidR="00364E4B" w:rsidRDefault="00364E4B" w:rsidP="00C21E6D">
      <w:pPr>
        <w:pStyle w:val="ListNumber2"/>
        <w:jc w:val="left"/>
      </w:pPr>
    </w:p>
    <w:p w14:paraId="2BA53664" w14:textId="77777777" w:rsidR="00364E4B" w:rsidRPr="008729F9" w:rsidRDefault="00364E4B" w:rsidP="00B302B1">
      <w:pPr>
        <w:pStyle w:val="Heading3"/>
      </w:pPr>
      <w:bookmarkStart w:id="90" w:name="_Toc200577502"/>
      <w:r w:rsidRPr="008729F9">
        <w:t>Interactive energy savings</w:t>
      </w:r>
      <w:bookmarkEnd w:id="90"/>
    </w:p>
    <w:p w14:paraId="3C42D780" w14:textId="1D7AB281" w:rsidR="0012501D" w:rsidRDefault="0012501D">
      <w:pPr>
        <w:pStyle w:val="ListNumber2"/>
        <w:numPr>
          <w:ilvl w:val="0"/>
          <w:numId w:val="49"/>
        </w:numPr>
        <w:jc w:val="left"/>
      </w:pPr>
      <w:r>
        <w:t xml:space="preserve">Each method will specify if interactive savings are </w:t>
      </w:r>
      <w:r w:rsidR="00BF5F1E">
        <w:t xml:space="preserve">allowed for. Where </w:t>
      </w:r>
      <w:r w:rsidR="00213727">
        <w:t>interactive savings are included in the method</w:t>
      </w:r>
      <w:r w:rsidR="00BF5F1E">
        <w:t xml:space="preserve"> the </w:t>
      </w:r>
      <w:r w:rsidR="004966E3">
        <w:t xml:space="preserve">following requirements </w:t>
      </w:r>
      <w:r w:rsidR="00BF5F1E">
        <w:t xml:space="preserve">apply. </w:t>
      </w:r>
    </w:p>
    <w:p w14:paraId="7C245DD6" w14:textId="23CE4BE8" w:rsidR="00364E4B" w:rsidRPr="008729F9" w:rsidRDefault="00364E4B">
      <w:pPr>
        <w:pStyle w:val="ListNumber2"/>
        <w:numPr>
          <w:ilvl w:val="0"/>
          <w:numId w:val="49"/>
        </w:numPr>
        <w:jc w:val="left"/>
      </w:pPr>
      <w:r w:rsidRPr="008729F9">
        <w:t xml:space="preserve">The total interactive energy savings </w:t>
      </w:r>
      <w:r>
        <w:t xml:space="preserve">for any model </w:t>
      </w:r>
      <w:r w:rsidRPr="008729F9">
        <w:t>are limited to a maximum of:</w:t>
      </w:r>
    </w:p>
    <w:p w14:paraId="1A30E4D6" w14:textId="77777777" w:rsidR="00364E4B" w:rsidRPr="008729F9" w:rsidRDefault="00364E4B">
      <w:pPr>
        <w:pStyle w:val="ListNumber3"/>
        <w:numPr>
          <w:ilvl w:val="1"/>
          <w:numId w:val="49"/>
        </w:numPr>
        <w:jc w:val="left"/>
      </w:pPr>
      <w:r w:rsidRPr="008729F9">
        <w:t>in a normal year, 10% of the difference between the energy consumption calculated using the baseline energy model and the energy consumption calculated using the operating energy model for eligible time intervals in the normal year, for all energy sources.</w:t>
      </w:r>
    </w:p>
    <w:p w14:paraId="60C7B697" w14:textId="77777777" w:rsidR="00364E4B" w:rsidRPr="008729F9" w:rsidRDefault="00364E4B">
      <w:pPr>
        <w:pStyle w:val="ListNumber3"/>
        <w:numPr>
          <w:ilvl w:val="1"/>
          <w:numId w:val="49"/>
        </w:numPr>
        <w:jc w:val="left"/>
      </w:pPr>
      <w:r w:rsidRPr="008729F9">
        <w:t>in a reporting period, 10% of the difference between the energy consumption calculated using the baseline energy model and the measured energy consumption for eligible time intervals in the reporting period, for all energy sources.</w:t>
      </w:r>
    </w:p>
    <w:p w14:paraId="68B49851" w14:textId="77777777" w:rsidR="00364E4B" w:rsidRPr="008729F9" w:rsidRDefault="00364E4B">
      <w:pPr>
        <w:pStyle w:val="ListNumber2"/>
        <w:numPr>
          <w:ilvl w:val="0"/>
          <w:numId w:val="49"/>
        </w:numPr>
        <w:jc w:val="left"/>
      </w:pPr>
      <w:r w:rsidRPr="008729F9">
        <w:t>Interactive energy savings must be estimated in accordance with a repeatable method that:</w:t>
      </w:r>
    </w:p>
    <w:p w14:paraId="734456FB" w14:textId="77777777" w:rsidR="00364E4B" w:rsidRPr="008729F9" w:rsidRDefault="00364E4B">
      <w:pPr>
        <w:pStyle w:val="ListNumber3"/>
        <w:numPr>
          <w:ilvl w:val="1"/>
          <w:numId w:val="49"/>
        </w:numPr>
        <w:jc w:val="left"/>
      </w:pPr>
      <w:r w:rsidRPr="008729F9">
        <w:t xml:space="preserve">uses data recorded for the premises where the </w:t>
      </w:r>
      <w:r>
        <w:t>upgrade</w:t>
      </w:r>
      <w:r w:rsidRPr="008729F9">
        <w:t xml:space="preserve"> is undertaken; or</w:t>
      </w:r>
    </w:p>
    <w:p w14:paraId="1FC9C92E" w14:textId="77777777" w:rsidR="00364E4B" w:rsidRPr="008729F9" w:rsidRDefault="00364E4B">
      <w:pPr>
        <w:pStyle w:val="ListNumber3"/>
        <w:numPr>
          <w:ilvl w:val="1"/>
          <w:numId w:val="49"/>
        </w:numPr>
        <w:jc w:val="left"/>
      </w:pPr>
      <w:r w:rsidRPr="008729F9">
        <w:t xml:space="preserve">is consistent with generally accepted estimation approaches in the science and engineering field applicable to the kind of effects being estimated. </w:t>
      </w:r>
    </w:p>
    <w:p w14:paraId="1B37B611" w14:textId="77777777" w:rsidR="00364E4B" w:rsidRPr="008729F9" w:rsidRDefault="00364E4B">
      <w:pPr>
        <w:pStyle w:val="ListNumber2"/>
        <w:numPr>
          <w:ilvl w:val="0"/>
          <w:numId w:val="49"/>
        </w:numPr>
        <w:jc w:val="left"/>
      </w:pPr>
      <w:bookmarkStart w:id="91" w:name="_Ref466024760"/>
      <w:r>
        <w:t>A consistent</w:t>
      </w:r>
      <w:r w:rsidRPr="008729F9">
        <w:t xml:space="preserve"> method must be used to estimate interactive energy savings in all calculations for the project.</w:t>
      </w:r>
      <w:bookmarkEnd w:id="91"/>
    </w:p>
    <w:p w14:paraId="7DFA14CE" w14:textId="77777777" w:rsidR="00242779" w:rsidRDefault="00242779" w:rsidP="0004048F">
      <w:pPr>
        <w:pStyle w:val="ListNumber2"/>
        <w:ind w:left="0" w:firstLine="0"/>
        <w:jc w:val="left"/>
      </w:pPr>
    </w:p>
    <w:p w14:paraId="4A76497D" w14:textId="77777777" w:rsidR="00242779" w:rsidRPr="008729F9" w:rsidRDefault="00242779" w:rsidP="00B302B1">
      <w:pPr>
        <w:pStyle w:val="Heading3"/>
      </w:pPr>
      <w:bookmarkStart w:id="92" w:name="_Ref468701542"/>
      <w:bookmarkStart w:id="93" w:name="_Toc200577503"/>
      <w:r w:rsidRPr="008729F9">
        <w:t>Measured energy consumption</w:t>
      </w:r>
      <w:bookmarkEnd w:id="92"/>
      <w:bookmarkEnd w:id="93"/>
    </w:p>
    <w:p w14:paraId="36EE1CF3" w14:textId="2D17A623" w:rsidR="00242779" w:rsidRPr="008729F9" w:rsidRDefault="00242779">
      <w:pPr>
        <w:pStyle w:val="ListNumber2"/>
        <w:numPr>
          <w:ilvl w:val="0"/>
          <w:numId w:val="50"/>
        </w:numPr>
        <w:jc w:val="left"/>
      </w:pPr>
      <w:r>
        <w:t xml:space="preserve">Subject to </w:t>
      </w:r>
      <w:r>
        <w:fldChar w:fldCharType="begin"/>
      </w:r>
      <w:r>
        <w:instrText xml:space="preserve"> REF _Ref75377622 \r \h </w:instrText>
      </w:r>
      <w:r>
        <w:fldChar w:fldCharType="separate"/>
      </w:r>
      <w:r w:rsidR="003363DF">
        <w:t>(2)</w:t>
      </w:r>
      <w:r>
        <w:fldChar w:fldCharType="end"/>
      </w:r>
      <w:r w:rsidR="00CE25CE">
        <w:t>,</w:t>
      </w:r>
      <w:r>
        <w:t xml:space="preserve"> t</w:t>
      </w:r>
      <w:r w:rsidRPr="008729F9">
        <w:t xml:space="preserve">he measured energy consumption is the energy consumed by all products </w:t>
      </w:r>
      <w:r>
        <w:t>that is measured within</w:t>
      </w:r>
      <w:r w:rsidRPr="008729F9">
        <w:t xml:space="preserve"> the measurement boundary.</w:t>
      </w:r>
    </w:p>
    <w:p w14:paraId="67D95644" w14:textId="77777777" w:rsidR="00242779" w:rsidRDefault="00242779">
      <w:pPr>
        <w:pStyle w:val="ListNumber2"/>
        <w:numPr>
          <w:ilvl w:val="0"/>
          <w:numId w:val="50"/>
        </w:numPr>
        <w:jc w:val="left"/>
      </w:pPr>
      <w:bookmarkStart w:id="94" w:name="_Ref75377622"/>
      <w:r>
        <w:t xml:space="preserve">For an Impacted Project the measured energy consumption may be calculated as set out in </w:t>
      </w:r>
      <w:r w:rsidRPr="0011740C">
        <w:rPr>
          <w:i/>
          <w:iCs/>
        </w:rPr>
        <w:t>Accounting for COVID-19 Under VEU (2021)</w:t>
      </w:r>
      <w:r>
        <w:t>.</w:t>
      </w:r>
      <w:bookmarkEnd w:id="94"/>
      <w:r>
        <w:t xml:space="preserve"> </w:t>
      </w:r>
    </w:p>
    <w:p w14:paraId="17CF4D31" w14:textId="77777777" w:rsidR="00242779" w:rsidRDefault="00242779">
      <w:pPr>
        <w:pStyle w:val="ListNumber2"/>
        <w:numPr>
          <w:ilvl w:val="0"/>
          <w:numId w:val="50"/>
        </w:numPr>
        <w:jc w:val="left"/>
      </w:pPr>
      <w:r>
        <w:t>If the project includes undertaking multiple essentially identical upgrades at different Premises, the measured energy consumption must be determined for each Premises.</w:t>
      </w:r>
    </w:p>
    <w:p w14:paraId="06D10627" w14:textId="77777777" w:rsidR="00242779" w:rsidRPr="008729F9" w:rsidRDefault="00242779">
      <w:pPr>
        <w:pStyle w:val="ListNumber2"/>
        <w:numPr>
          <w:ilvl w:val="0"/>
          <w:numId w:val="50"/>
        </w:numPr>
        <w:jc w:val="left"/>
      </w:pPr>
      <w:r w:rsidRPr="008729F9">
        <w:t xml:space="preserve">If the project includes undertaking multiple </w:t>
      </w:r>
      <w:r>
        <w:t>essentially identical</w:t>
      </w:r>
      <w:r w:rsidRPr="008729F9">
        <w:t xml:space="preserve"> </w:t>
      </w:r>
      <w:r>
        <w:t>upgrad</w:t>
      </w:r>
      <w:r w:rsidRPr="008729F9">
        <w:t xml:space="preserve">es at the same premises, the measured energy consumption can be determined from measurements taken for a sample of the </w:t>
      </w:r>
      <w:r>
        <w:t>upgrades</w:t>
      </w:r>
      <w:r w:rsidRPr="008729F9">
        <w:t xml:space="preserve"> </w:t>
      </w:r>
      <w:r w:rsidRPr="00A92C73">
        <w:t>if</w:t>
      </w:r>
      <w:r>
        <w:t>:</w:t>
      </w:r>
    </w:p>
    <w:p w14:paraId="1BE5C63C" w14:textId="77777777" w:rsidR="00242779" w:rsidRPr="008729F9" w:rsidRDefault="00242779">
      <w:pPr>
        <w:pStyle w:val="ListNumber3"/>
        <w:numPr>
          <w:ilvl w:val="1"/>
          <w:numId w:val="50"/>
        </w:numPr>
        <w:jc w:val="left"/>
      </w:pPr>
      <w:r w:rsidRPr="008729F9">
        <w:t xml:space="preserve">the measured energy consumption of each </w:t>
      </w:r>
      <w:r>
        <w:t>upgrade</w:t>
      </w:r>
      <w:r w:rsidRPr="008729F9">
        <w:t xml:space="preserve"> can be reasonably described by the same energy model; and </w:t>
      </w:r>
    </w:p>
    <w:p w14:paraId="58F2AAE3" w14:textId="77777777" w:rsidR="00242779" w:rsidRPr="008729F9" w:rsidRDefault="00242779">
      <w:pPr>
        <w:pStyle w:val="ListNumber3"/>
        <w:numPr>
          <w:ilvl w:val="1"/>
          <w:numId w:val="50"/>
        </w:numPr>
        <w:jc w:val="left"/>
      </w:pPr>
      <w:r w:rsidRPr="008729F9">
        <w:t>the sampling methods used produce a random sample; and</w:t>
      </w:r>
    </w:p>
    <w:p w14:paraId="70929E0E" w14:textId="77777777" w:rsidR="00242779" w:rsidRDefault="00242779">
      <w:pPr>
        <w:pStyle w:val="ListNumber3"/>
        <w:numPr>
          <w:ilvl w:val="1"/>
          <w:numId w:val="50"/>
        </w:numPr>
        <w:jc w:val="left"/>
      </w:pPr>
      <w:r w:rsidRPr="008729F9">
        <w:t>the calculation of the relative precision used to determine the accuracy factor includes quantification of the impact of the sampling.</w:t>
      </w:r>
    </w:p>
    <w:p w14:paraId="43C665E3" w14:textId="56CA7D95" w:rsidR="00242779" w:rsidRPr="004B1D44" w:rsidRDefault="00242779">
      <w:pPr>
        <w:pStyle w:val="ListNumber3"/>
        <w:numPr>
          <w:ilvl w:val="0"/>
          <w:numId w:val="50"/>
        </w:numPr>
      </w:pPr>
      <w:r w:rsidRPr="004B1D44">
        <w:t xml:space="preserve">Subject to </w:t>
      </w:r>
      <w:r w:rsidR="00D715BE">
        <w:t>2.</w:t>
      </w:r>
      <w:r w:rsidR="00006668">
        <w:t>1</w:t>
      </w:r>
      <w:r w:rsidRPr="004B1D44">
        <w:t xml:space="preserve"> if the direct measurement of key parameters, used to determine the measured energy, cannot be reasonably achieved, alternative approaches may include;</w:t>
      </w:r>
    </w:p>
    <w:p w14:paraId="2D3F9766" w14:textId="77777777" w:rsidR="00242779" w:rsidRPr="004B1D44" w:rsidRDefault="00242779">
      <w:pPr>
        <w:pStyle w:val="ListNumber3"/>
        <w:numPr>
          <w:ilvl w:val="1"/>
          <w:numId w:val="50"/>
        </w:numPr>
      </w:pPr>
      <w:r w:rsidRPr="004B1D44">
        <w:t>the use of third-party weather data to determine temperature parameters if;</w:t>
      </w:r>
    </w:p>
    <w:p w14:paraId="7B9FE70A" w14:textId="77777777" w:rsidR="00242779" w:rsidRPr="004B1D44" w:rsidRDefault="00242779">
      <w:pPr>
        <w:pStyle w:val="ListNumber3"/>
        <w:numPr>
          <w:ilvl w:val="2"/>
          <w:numId w:val="50"/>
        </w:numPr>
      </w:pPr>
      <w:r w:rsidRPr="004B1D44">
        <w:t>the data is from a reliable trusted source; and</w:t>
      </w:r>
    </w:p>
    <w:p w14:paraId="406F534F" w14:textId="77777777" w:rsidR="00242779" w:rsidRPr="004B1D44" w:rsidRDefault="00242779">
      <w:pPr>
        <w:pStyle w:val="ListNumber3"/>
        <w:numPr>
          <w:ilvl w:val="2"/>
          <w:numId w:val="50"/>
        </w:numPr>
      </w:pPr>
      <w:r w:rsidRPr="004B1D44">
        <w:t>the transient response of temperature effects is consistent with the parameter used to calculate energy</w:t>
      </w:r>
    </w:p>
    <w:p w14:paraId="09DBCE1A" w14:textId="77777777" w:rsidR="00242779" w:rsidRPr="004B1D44" w:rsidRDefault="00242779">
      <w:pPr>
        <w:pStyle w:val="ListNumber3"/>
        <w:numPr>
          <w:ilvl w:val="1"/>
          <w:numId w:val="50"/>
        </w:numPr>
      </w:pPr>
      <w:r w:rsidRPr="004B1D44">
        <w:t>an assumption of static parameter value if:</w:t>
      </w:r>
    </w:p>
    <w:p w14:paraId="507E6B19" w14:textId="77777777" w:rsidR="00242779" w:rsidRPr="004B1D44" w:rsidRDefault="00242779">
      <w:pPr>
        <w:pStyle w:val="ListNumber3"/>
        <w:numPr>
          <w:ilvl w:val="2"/>
          <w:numId w:val="50"/>
        </w:numPr>
      </w:pPr>
      <w:r w:rsidRPr="004B1D44">
        <w:lastRenderedPageBreak/>
        <w:t>the parameter is: calorific energy value, or pressure; and</w:t>
      </w:r>
    </w:p>
    <w:p w14:paraId="1CDF8C01" w14:textId="77777777" w:rsidR="00242779" w:rsidRPr="004B1D44" w:rsidRDefault="00242779">
      <w:pPr>
        <w:pStyle w:val="ListNumber3"/>
        <w:numPr>
          <w:ilvl w:val="2"/>
          <w:numId w:val="50"/>
        </w:numPr>
        <w:jc w:val="left"/>
      </w:pPr>
      <w:r w:rsidRPr="004B1D44">
        <w:t xml:space="preserve">assumptions for static values for parameters is supported by data; and </w:t>
      </w:r>
    </w:p>
    <w:p w14:paraId="470AC7BF" w14:textId="77777777" w:rsidR="00242779" w:rsidRPr="004B1D44" w:rsidRDefault="00242779">
      <w:pPr>
        <w:pStyle w:val="ListNumber3"/>
        <w:numPr>
          <w:ilvl w:val="2"/>
          <w:numId w:val="50"/>
        </w:numPr>
        <w:jc w:val="left"/>
      </w:pPr>
      <w:r w:rsidRPr="004B1D44">
        <w:t>any errors are accounted for in the statistical tests in the energy model; and</w:t>
      </w:r>
    </w:p>
    <w:p w14:paraId="039DCBDF" w14:textId="31F67A58" w:rsidR="00242779" w:rsidRPr="004B1D44" w:rsidRDefault="00242779">
      <w:pPr>
        <w:pStyle w:val="ListNumber3"/>
        <w:numPr>
          <w:ilvl w:val="2"/>
          <w:numId w:val="50"/>
        </w:numPr>
        <w:jc w:val="left"/>
      </w:pPr>
      <w:r w:rsidRPr="004B1D44">
        <w:t>the estimation of the parameter value used will result in the most conservative VEEC calculation</w:t>
      </w:r>
      <w:r w:rsidR="0022797F">
        <w:t>.</w:t>
      </w:r>
    </w:p>
    <w:p w14:paraId="3DBE8FB6" w14:textId="77777777" w:rsidR="00CC3C98" w:rsidRDefault="00CC3C98" w:rsidP="00CC3C98">
      <w:pPr>
        <w:pStyle w:val="ListNumber2"/>
        <w:ind w:left="0" w:firstLine="0"/>
        <w:jc w:val="left"/>
      </w:pPr>
    </w:p>
    <w:p w14:paraId="47B2BCA2" w14:textId="77777777" w:rsidR="00CC3C98" w:rsidRDefault="00CC3C98" w:rsidP="00CC3C98">
      <w:pPr>
        <w:pStyle w:val="ListNumber2"/>
        <w:ind w:left="0" w:firstLine="0"/>
        <w:jc w:val="left"/>
      </w:pPr>
    </w:p>
    <w:p w14:paraId="20C52956" w14:textId="77777777" w:rsidR="00CC3C98" w:rsidRDefault="00CC3C98" w:rsidP="00CC3C98">
      <w:pPr>
        <w:pStyle w:val="ListNumber2"/>
        <w:ind w:left="0" w:firstLine="0"/>
        <w:jc w:val="left"/>
        <w:sectPr w:rsidR="00CC3C98" w:rsidSect="00747A21">
          <w:headerReference w:type="even" r:id="rId34"/>
          <w:headerReference w:type="default" r:id="rId35"/>
          <w:headerReference w:type="first" r:id="rId36"/>
          <w:footerReference w:type="first" r:id="rId37"/>
          <w:pgSz w:w="11907" w:h="16839" w:code="9"/>
          <w:pgMar w:top="1134" w:right="1134" w:bottom="1134" w:left="1134" w:header="283" w:footer="283" w:gutter="0"/>
          <w:cols w:space="454"/>
          <w:noEndnote/>
          <w:docGrid w:linePitch="360"/>
        </w:sectPr>
      </w:pPr>
    </w:p>
    <w:p w14:paraId="1D9E1BD0" w14:textId="77777777" w:rsidR="004B55BB" w:rsidRPr="005312F2" w:rsidRDefault="004B55BB" w:rsidP="004B55BB">
      <w:pPr>
        <w:pStyle w:val="Heading1"/>
        <w:ind w:left="426"/>
      </w:pPr>
      <w:bookmarkStart w:id="95" w:name="_Toc232605524"/>
      <w:bookmarkStart w:id="96" w:name="_Toc239413186"/>
      <w:bookmarkStart w:id="97" w:name="_Toc200577504"/>
      <w:r>
        <w:lastRenderedPageBreak/>
        <w:t>Measurement and Verification (M&amp;V)</w:t>
      </w:r>
      <w:bookmarkEnd w:id="95"/>
      <w:bookmarkEnd w:id="96"/>
    </w:p>
    <w:p w14:paraId="559DCE8E" w14:textId="77777777" w:rsidR="004B55BB" w:rsidRDefault="004B55BB" w:rsidP="004B55BB">
      <w:pPr>
        <w:pStyle w:val="Heading2"/>
      </w:pPr>
      <w:bookmarkStart w:id="98" w:name="_Toc232605525"/>
      <w:r>
        <w:t>Information to be provided</w:t>
      </w:r>
      <w:bookmarkEnd w:id="98"/>
    </w:p>
    <w:p w14:paraId="220A0F2E" w14:textId="77777777" w:rsidR="004B55BB" w:rsidRDefault="004B55BB" w:rsidP="004B55BB">
      <w:pPr>
        <w:pStyle w:val="Heading3"/>
      </w:pPr>
      <w:r>
        <w:t>Information to be provided in an application for scoping approval</w:t>
      </w:r>
    </w:p>
    <w:p w14:paraId="76F51945" w14:textId="77777777" w:rsidR="004B55BB" w:rsidRDefault="004B55BB">
      <w:pPr>
        <w:pStyle w:val="ListNumber"/>
        <w:numPr>
          <w:ilvl w:val="0"/>
          <w:numId w:val="57"/>
        </w:numPr>
        <w:jc w:val="left"/>
      </w:pPr>
      <w:r>
        <w:t>In a project with more than one premises, the application for approval of a scoping plan must describe the similarity of premises and upgrade, including:</w:t>
      </w:r>
    </w:p>
    <w:p w14:paraId="33D769CC" w14:textId="77777777" w:rsidR="004B55BB" w:rsidRDefault="004B55BB">
      <w:pPr>
        <w:pStyle w:val="ListNumber2"/>
        <w:numPr>
          <w:ilvl w:val="0"/>
          <w:numId w:val="58"/>
        </w:numPr>
        <w:jc w:val="left"/>
      </w:pPr>
      <w:r>
        <w:t>that the service(s) affected by the upgrade are consistent for each premises; and</w:t>
      </w:r>
    </w:p>
    <w:p w14:paraId="6A028927" w14:textId="77777777" w:rsidR="004B55BB" w:rsidRDefault="004B55BB">
      <w:pPr>
        <w:pStyle w:val="ListNumber2"/>
        <w:numPr>
          <w:ilvl w:val="0"/>
          <w:numId w:val="58"/>
        </w:numPr>
        <w:jc w:val="left"/>
      </w:pPr>
      <w:r>
        <w:t>that energy sources affected by the upgrade are consistent for each premises.</w:t>
      </w:r>
    </w:p>
    <w:p w14:paraId="7E549965" w14:textId="0F7CCB7D" w:rsidR="004B55BB" w:rsidRDefault="004B55BB" w:rsidP="004B55BB">
      <w:pPr>
        <w:pStyle w:val="ListNumber2"/>
        <w:ind w:left="0" w:firstLine="0"/>
      </w:pPr>
      <w:r>
        <w:t xml:space="preserve">Note: Under </w:t>
      </w:r>
      <w:r w:rsidR="00BA661B">
        <w:t xml:space="preserve">regulation </w:t>
      </w:r>
      <w:r>
        <w:t>6</w:t>
      </w:r>
      <w:r w:rsidR="00BA661B">
        <w:t xml:space="preserve"> </w:t>
      </w:r>
      <w:r>
        <w:t>(4) in the Project Based Activities Regulations</w:t>
      </w:r>
      <w:r w:rsidR="00BA661B">
        <w:t>,</w:t>
      </w:r>
      <w:r>
        <w:t xml:space="preserve"> the ESC may refuse a scoping approval. The ESC may utilise this power if upgrades are not essentially identical across all premises under a Project. </w:t>
      </w:r>
    </w:p>
    <w:p w14:paraId="0E8DBE0B" w14:textId="77777777" w:rsidR="004B55BB" w:rsidRPr="00053457" w:rsidRDefault="004B55BB" w:rsidP="004B55BB">
      <w:pPr>
        <w:pStyle w:val="ListNumber2"/>
        <w:ind w:left="0" w:firstLine="0"/>
      </w:pPr>
    </w:p>
    <w:p w14:paraId="6EC05355" w14:textId="77777777" w:rsidR="004B55BB" w:rsidRDefault="004B55BB" w:rsidP="004B55BB">
      <w:pPr>
        <w:pStyle w:val="Heading3"/>
      </w:pPr>
      <w:r>
        <w:t xml:space="preserve">Information to be provided in an application for approval of a project plan </w:t>
      </w:r>
    </w:p>
    <w:p w14:paraId="6349CB94" w14:textId="77777777" w:rsidR="004B55BB" w:rsidRDefault="004B55BB">
      <w:pPr>
        <w:pStyle w:val="ListNumber"/>
        <w:numPr>
          <w:ilvl w:val="0"/>
          <w:numId w:val="62"/>
        </w:numPr>
        <w:jc w:val="left"/>
      </w:pPr>
      <w:r w:rsidRPr="009C774A">
        <w:t xml:space="preserve">The application for approval of a </w:t>
      </w:r>
      <w:r w:rsidRPr="00940CD5">
        <w:t>project plan</w:t>
      </w:r>
      <w:r>
        <w:t xml:space="preserve"> </w:t>
      </w:r>
      <w:r w:rsidRPr="00940CD5">
        <w:t xml:space="preserve">must </w:t>
      </w:r>
      <w:r>
        <w:t>identify one of</w:t>
      </w:r>
      <w:r w:rsidRPr="00940CD5">
        <w:t xml:space="preserve"> the following</w:t>
      </w:r>
      <w:r>
        <w:t xml:space="preserve"> methods for each measurement boundary intended to be used to calculate the reduction in greenhouse gases</w:t>
      </w:r>
      <w:r w:rsidRPr="00940CD5">
        <w:t>:</w:t>
      </w:r>
    </w:p>
    <w:p w14:paraId="2113D598" w14:textId="77777777" w:rsidR="004B55BB" w:rsidRPr="009C774A" w:rsidRDefault="004B55BB" w:rsidP="004B55BB">
      <w:pPr>
        <w:pStyle w:val="ListNumber2"/>
        <w:numPr>
          <w:ilvl w:val="0"/>
          <w:numId w:val="19"/>
        </w:numPr>
        <w:jc w:val="left"/>
      </w:pPr>
      <w:r w:rsidRPr="009C774A">
        <w:t>forward projection of savings using a baseline energy model and operating energy model;</w:t>
      </w:r>
    </w:p>
    <w:p w14:paraId="10F5E01E" w14:textId="77777777" w:rsidR="004B55BB" w:rsidRDefault="004B55BB" w:rsidP="004B55BB">
      <w:pPr>
        <w:pStyle w:val="ListNumber2"/>
        <w:numPr>
          <w:ilvl w:val="0"/>
          <w:numId w:val="19"/>
        </w:numPr>
        <w:jc w:val="left"/>
      </w:pPr>
      <w:r w:rsidRPr="00940CD5">
        <w:t>annual reporting of savings using a baseline energy model and measured energy consumption; or</w:t>
      </w:r>
    </w:p>
    <w:p w14:paraId="43A3A5B5" w14:textId="77777777" w:rsidR="004B55BB" w:rsidRDefault="004B55BB" w:rsidP="004B55BB">
      <w:pPr>
        <w:pStyle w:val="ListParagraph"/>
        <w:numPr>
          <w:ilvl w:val="0"/>
          <w:numId w:val="19"/>
        </w:numPr>
      </w:pPr>
      <w:r w:rsidRPr="00A7305A">
        <w:t>a combination of (a) and (b) comprising a forward projection followed by annual reporting of savings ('top-up').</w:t>
      </w:r>
    </w:p>
    <w:p w14:paraId="7818DD2D" w14:textId="77777777" w:rsidR="004B55BB" w:rsidRDefault="004B55BB">
      <w:pPr>
        <w:pStyle w:val="ListNumber"/>
        <w:numPr>
          <w:ilvl w:val="0"/>
          <w:numId w:val="62"/>
        </w:numPr>
        <w:jc w:val="left"/>
      </w:pPr>
      <w:r>
        <w:t xml:space="preserve">Projects with multiple essentially identical upgrades occurring at multiple premises must: </w:t>
      </w:r>
    </w:p>
    <w:p w14:paraId="6CEA120A" w14:textId="421DDFDD" w:rsidR="004B55BB" w:rsidRDefault="004B55BB" w:rsidP="004B55BB">
      <w:pPr>
        <w:pStyle w:val="ListNumber2"/>
        <w:numPr>
          <w:ilvl w:val="0"/>
          <w:numId w:val="21"/>
        </w:numPr>
        <w:jc w:val="left"/>
      </w:pPr>
      <w:r>
        <w:t xml:space="preserve">choose a method listed in </w:t>
      </w:r>
      <w:r w:rsidR="00742267">
        <w:t>3</w:t>
      </w:r>
      <w:r>
        <w:t>.1.2 (1) consistently across all premises for calculating reduction in greenhouse gases at all premises; and</w:t>
      </w:r>
    </w:p>
    <w:p w14:paraId="6AC2EBDD" w14:textId="77777777" w:rsidR="004B55BB" w:rsidRPr="00940CD5" w:rsidRDefault="004B55BB" w:rsidP="004B55BB">
      <w:pPr>
        <w:pStyle w:val="ListNumber2"/>
        <w:numPr>
          <w:ilvl w:val="0"/>
          <w:numId w:val="21"/>
        </w:numPr>
        <w:jc w:val="left"/>
      </w:pPr>
      <w:r>
        <w:t>describe the degree to which the proposed measurement boundaries are consistent for each premises.</w:t>
      </w:r>
    </w:p>
    <w:p w14:paraId="52DF5C38" w14:textId="77777777" w:rsidR="004B55BB" w:rsidRDefault="004B55BB">
      <w:pPr>
        <w:pStyle w:val="ListNumber"/>
        <w:numPr>
          <w:ilvl w:val="0"/>
          <w:numId w:val="62"/>
        </w:numPr>
        <w:jc w:val="left"/>
      </w:pPr>
      <w:r>
        <w:t xml:space="preserve">An application for approval of a project plan for an Impacted Project should set out how </w:t>
      </w:r>
      <w:r w:rsidRPr="009D5B6D">
        <w:rPr>
          <w:i/>
          <w:iCs/>
        </w:rPr>
        <w:t>Accounting for COVID-19 Under VEU (2021)</w:t>
      </w:r>
      <w:r>
        <w:t xml:space="preserve"> will or is expected to be applied (if known at the time the application is submitted). </w:t>
      </w:r>
    </w:p>
    <w:p w14:paraId="5DE1AF80" w14:textId="77777777" w:rsidR="004B55BB" w:rsidRPr="00E82B8F" w:rsidRDefault="004B55BB" w:rsidP="004B55BB">
      <w:pPr>
        <w:pStyle w:val="BodyText"/>
      </w:pPr>
    </w:p>
    <w:p w14:paraId="3616B591" w14:textId="77777777" w:rsidR="004B55BB" w:rsidRPr="00B44516" w:rsidRDefault="004B55BB" w:rsidP="004B55BB">
      <w:pPr>
        <w:pStyle w:val="Heading3"/>
      </w:pPr>
      <w:r w:rsidRPr="00B44516">
        <w:t>Information to be provided in an application for approval of a project impact report</w:t>
      </w:r>
    </w:p>
    <w:p w14:paraId="20403D04" w14:textId="77777777" w:rsidR="004B55BB" w:rsidRPr="004D2378" w:rsidRDefault="004B55BB">
      <w:pPr>
        <w:pStyle w:val="ListNumber"/>
        <w:numPr>
          <w:ilvl w:val="0"/>
          <w:numId w:val="63"/>
        </w:numPr>
        <w:jc w:val="left"/>
      </w:pPr>
      <w:r w:rsidRPr="004D2378">
        <w:t>The application for approval of a project impact report must include the following:</w:t>
      </w:r>
    </w:p>
    <w:p w14:paraId="5B7184EA" w14:textId="41972801" w:rsidR="004B55BB" w:rsidRPr="004D2378" w:rsidRDefault="004B55BB" w:rsidP="004B55BB">
      <w:pPr>
        <w:pStyle w:val="ListNumber2"/>
        <w:numPr>
          <w:ilvl w:val="0"/>
          <w:numId w:val="22"/>
        </w:numPr>
        <w:jc w:val="left"/>
      </w:pPr>
      <w:r w:rsidRPr="004D2378">
        <w:t>details of the measurement boundary</w:t>
      </w:r>
      <w:r w:rsidR="00BA334C">
        <w:t xml:space="preserve"> or boundaries</w:t>
      </w:r>
      <w:r>
        <w:t xml:space="preserve">; </w:t>
      </w:r>
    </w:p>
    <w:p w14:paraId="2D04E345" w14:textId="77777777" w:rsidR="004B55BB" w:rsidRPr="004D2378" w:rsidRDefault="004B55BB" w:rsidP="004B55BB">
      <w:pPr>
        <w:pStyle w:val="ListNumber2"/>
        <w:numPr>
          <w:ilvl w:val="0"/>
          <w:numId w:val="22"/>
        </w:numPr>
        <w:jc w:val="left"/>
      </w:pPr>
      <w:r w:rsidRPr="004D2378">
        <w:t>site constants and their standard value</w:t>
      </w:r>
      <w:r>
        <w:t>s</w:t>
      </w:r>
      <w:r w:rsidRPr="004D2378">
        <w:t xml:space="preserve">; </w:t>
      </w:r>
    </w:p>
    <w:p w14:paraId="2F8F94E0" w14:textId="5EE6894A" w:rsidR="004B55BB" w:rsidRPr="004D2378" w:rsidRDefault="004B55BB" w:rsidP="004B55BB">
      <w:pPr>
        <w:pStyle w:val="ListNumber2"/>
        <w:numPr>
          <w:ilvl w:val="0"/>
          <w:numId w:val="22"/>
        </w:numPr>
        <w:ind w:left="680"/>
        <w:jc w:val="left"/>
      </w:pPr>
      <w:r w:rsidRPr="004D2378">
        <w:t xml:space="preserve">a calculation of </w:t>
      </w:r>
      <w:r>
        <w:t>the carbon dioxide equivalent to be reduced</w:t>
      </w:r>
      <w:r w:rsidRPr="004D2378">
        <w:t xml:space="preserve"> using Equation </w:t>
      </w:r>
      <w:r w:rsidR="00C64695">
        <w:t>3</w:t>
      </w:r>
      <w:r>
        <w:t xml:space="preserve">.1; </w:t>
      </w:r>
    </w:p>
    <w:p w14:paraId="324F21CE" w14:textId="77777777" w:rsidR="004B55BB" w:rsidRPr="004D2378" w:rsidRDefault="004B55BB" w:rsidP="004B55BB">
      <w:pPr>
        <w:pStyle w:val="ListNumber2"/>
        <w:numPr>
          <w:ilvl w:val="0"/>
          <w:numId w:val="22"/>
        </w:numPr>
        <w:ind w:left="680"/>
        <w:jc w:val="left"/>
      </w:pPr>
      <w:r w:rsidRPr="004D2378">
        <w:t>emissions factors used in abatement calculations;</w:t>
      </w:r>
    </w:p>
    <w:p w14:paraId="20D099CE" w14:textId="77777777" w:rsidR="004B55BB" w:rsidRPr="004D2378" w:rsidRDefault="004B55BB" w:rsidP="004B55BB">
      <w:pPr>
        <w:pStyle w:val="ListNumber2"/>
        <w:numPr>
          <w:ilvl w:val="0"/>
          <w:numId w:val="22"/>
        </w:numPr>
        <w:ind w:left="680"/>
        <w:jc w:val="left"/>
      </w:pPr>
      <w:r w:rsidRPr="004D2378">
        <w:t>details of any counted savings;</w:t>
      </w:r>
    </w:p>
    <w:p w14:paraId="7DA92FA0" w14:textId="77777777" w:rsidR="004B55BB" w:rsidRPr="004D2378" w:rsidRDefault="004B55BB" w:rsidP="004B55BB">
      <w:pPr>
        <w:pStyle w:val="ListNumber2"/>
        <w:numPr>
          <w:ilvl w:val="0"/>
          <w:numId w:val="22"/>
        </w:numPr>
        <w:ind w:left="680"/>
        <w:jc w:val="left"/>
      </w:pPr>
      <w:r w:rsidRPr="004D2378">
        <w:t>the baseline energy model</w:t>
      </w:r>
      <w:r>
        <w:t>(s)</w:t>
      </w:r>
      <w:r w:rsidRPr="004D2378">
        <w:t xml:space="preserve"> in equation form;</w:t>
      </w:r>
      <w:r>
        <w:br/>
        <w:t xml:space="preserve">Note: Projects with multiple measurement boundaries will require multiple baseline energy models, the dates these baseline periods cover may differ. </w:t>
      </w:r>
    </w:p>
    <w:p w14:paraId="5E950B61" w14:textId="77777777" w:rsidR="004B55BB" w:rsidRDefault="004B55BB" w:rsidP="004B55BB">
      <w:pPr>
        <w:pStyle w:val="ListNumber2"/>
        <w:numPr>
          <w:ilvl w:val="0"/>
          <w:numId w:val="22"/>
        </w:numPr>
        <w:ind w:left="680"/>
        <w:jc w:val="left"/>
      </w:pPr>
      <w:r>
        <w:t xml:space="preserve">a declaration of whether the Project is an Impacted Project for the purposes of applying </w:t>
      </w:r>
      <w:r>
        <w:rPr>
          <w:i/>
          <w:iCs/>
        </w:rPr>
        <w:t>Accounting for COVID-19 under VEU (2021)</w:t>
      </w:r>
      <w:r>
        <w:t>, and evidence to support this declaration;</w:t>
      </w:r>
    </w:p>
    <w:p w14:paraId="16E264A1" w14:textId="309BA4A6" w:rsidR="004B55BB" w:rsidRPr="004D2378" w:rsidRDefault="004B55BB" w:rsidP="004B55BB">
      <w:pPr>
        <w:pStyle w:val="ListNumber2"/>
        <w:numPr>
          <w:ilvl w:val="0"/>
          <w:numId w:val="22"/>
        </w:numPr>
        <w:ind w:left="680"/>
        <w:jc w:val="left"/>
      </w:pPr>
      <w:r w:rsidRPr="004D2378">
        <w:lastRenderedPageBreak/>
        <w:t>the accuracy factor</w:t>
      </w:r>
      <w:r>
        <w:t xml:space="preserve">(s), </w:t>
      </w:r>
      <w:r w:rsidR="00742267">
        <w:t>effective</w:t>
      </w:r>
      <w:r>
        <w:t xml:space="preserve"> range adjustment factor(s), and bias adjustment factor(s), if relevant</w:t>
      </w:r>
      <w:r w:rsidRPr="004D2378">
        <w:t xml:space="preserve">; </w:t>
      </w:r>
    </w:p>
    <w:p w14:paraId="063B268B" w14:textId="77777777" w:rsidR="004B55BB" w:rsidRPr="004D2378" w:rsidRDefault="004B55BB" w:rsidP="004B55BB">
      <w:pPr>
        <w:pStyle w:val="ListNumber2"/>
        <w:numPr>
          <w:ilvl w:val="0"/>
          <w:numId w:val="22"/>
        </w:numPr>
        <w:ind w:left="680"/>
        <w:jc w:val="left"/>
      </w:pPr>
      <w:r w:rsidRPr="004D2378">
        <w:t>for projects using the forward creation method:</w:t>
      </w:r>
    </w:p>
    <w:p w14:paraId="264262DD" w14:textId="77777777" w:rsidR="004B55BB" w:rsidRPr="004D2378" w:rsidRDefault="004B55BB" w:rsidP="004B55BB">
      <w:pPr>
        <w:pStyle w:val="ListNumber3"/>
        <w:numPr>
          <w:ilvl w:val="1"/>
          <w:numId w:val="22"/>
        </w:numPr>
        <w:jc w:val="left"/>
      </w:pPr>
      <w:r w:rsidRPr="004D2378">
        <w:t>the operating energy model</w:t>
      </w:r>
      <w:r>
        <w:t>(s)</w:t>
      </w:r>
      <w:r w:rsidRPr="004D2378">
        <w:t xml:space="preserve"> in equation form;</w:t>
      </w:r>
    </w:p>
    <w:p w14:paraId="5BD76CE2" w14:textId="77777777" w:rsidR="004B55BB" w:rsidRPr="004D2378" w:rsidRDefault="004B55BB" w:rsidP="004B55BB">
      <w:pPr>
        <w:pStyle w:val="ListNumber3"/>
        <w:numPr>
          <w:ilvl w:val="1"/>
          <w:numId w:val="22"/>
        </w:numPr>
        <w:jc w:val="left"/>
      </w:pPr>
      <w:r w:rsidRPr="004D2378">
        <w:t>a normal year for each independent variable, if relevant;</w:t>
      </w:r>
    </w:p>
    <w:p w14:paraId="72790792" w14:textId="77777777" w:rsidR="004B55BB" w:rsidRPr="004D2378" w:rsidRDefault="004B55BB" w:rsidP="004B55BB">
      <w:pPr>
        <w:pStyle w:val="ListNumber3"/>
        <w:numPr>
          <w:ilvl w:val="1"/>
          <w:numId w:val="22"/>
        </w:numPr>
        <w:jc w:val="left"/>
      </w:pPr>
      <w:r w:rsidRPr="004D2378">
        <w:t xml:space="preserve">interactive energy savings for </w:t>
      </w:r>
      <w:r>
        <w:t>each</w:t>
      </w:r>
      <w:r w:rsidRPr="004D2378">
        <w:t xml:space="preserve"> normal year;</w:t>
      </w:r>
    </w:p>
    <w:p w14:paraId="28245457" w14:textId="77777777" w:rsidR="004B55BB" w:rsidRPr="004D2378" w:rsidRDefault="004B55BB" w:rsidP="004B55BB">
      <w:pPr>
        <w:pStyle w:val="ListNumber3"/>
        <w:numPr>
          <w:ilvl w:val="1"/>
          <w:numId w:val="22"/>
        </w:numPr>
        <w:jc w:val="left"/>
      </w:pPr>
      <w:r w:rsidRPr="004D2378">
        <w:t>the decay factor</w:t>
      </w:r>
      <w:r>
        <w:t>(s)</w:t>
      </w:r>
      <w:r w:rsidRPr="004D2378">
        <w:t xml:space="preserve"> for each year of the forward creation period;</w:t>
      </w:r>
    </w:p>
    <w:p w14:paraId="14C46174" w14:textId="4D2DB2A6" w:rsidR="004B55BB" w:rsidRPr="004D2378" w:rsidRDefault="004B55BB" w:rsidP="004B55BB">
      <w:pPr>
        <w:pStyle w:val="ListNumber3"/>
        <w:numPr>
          <w:ilvl w:val="1"/>
          <w:numId w:val="22"/>
        </w:numPr>
        <w:jc w:val="left"/>
      </w:pPr>
      <w:r w:rsidRPr="004D2378">
        <w:t>calculation</w:t>
      </w:r>
      <w:r>
        <w:t>s</w:t>
      </w:r>
      <w:r w:rsidRPr="004D2378">
        <w:t xml:space="preserve"> of energy savings using Equation </w:t>
      </w:r>
      <w:r w:rsidR="00AD6CF4">
        <w:t>3</w:t>
      </w:r>
      <w:r>
        <w:t>.</w:t>
      </w:r>
      <w:r w:rsidRPr="004D2378">
        <w:t>2;</w:t>
      </w:r>
    </w:p>
    <w:p w14:paraId="4CDB5C6E" w14:textId="6D2B712E" w:rsidR="004B55BB" w:rsidRPr="004D2378" w:rsidRDefault="004B55BB" w:rsidP="004B55BB">
      <w:pPr>
        <w:pStyle w:val="ListNumber3"/>
        <w:numPr>
          <w:ilvl w:val="1"/>
          <w:numId w:val="22"/>
        </w:numPr>
        <w:jc w:val="left"/>
      </w:pPr>
      <w:r w:rsidRPr="004D2378">
        <w:t>calculation</w:t>
      </w:r>
      <w:r>
        <w:t>s</w:t>
      </w:r>
      <w:r w:rsidRPr="004D2378">
        <w:t xml:space="preserve"> of normal year savings using Equation </w:t>
      </w:r>
      <w:r w:rsidR="00A15F13">
        <w:t>3</w:t>
      </w:r>
      <w:r>
        <w:t>.</w:t>
      </w:r>
      <w:r w:rsidRPr="004D2378">
        <w:t>4;</w:t>
      </w:r>
    </w:p>
    <w:p w14:paraId="1675D822" w14:textId="77777777" w:rsidR="004B55BB" w:rsidRPr="004D2378" w:rsidRDefault="004B55BB" w:rsidP="004B55BB">
      <w:pPr>
        <w:pStyle w:val="ListNumber2"/>
        <w:numPr>
          <w:ilvl w:val="0"/>
          <w:numId w:val="22"/>
        </w:numPr>
        <w:ind w:left="680"/>
        <w:jc w:val="left"/>
      </w:pPr>
      <w:r w:rsidRPr="004D2378">
        <w:t>for project</w:t>
      </w:r>
      <w:r>
        <w:t>s</w:t>
      </w:r>
      <w:r w:rsidRPr="004D2378">
        <w:t xml:space="preserve"> using the annual creation or top up method:</w:t>
      </w:r>
    </w:p>
    <w:p w14:paraId="41F1409B" w14:textId="77777777" w:rsidR="004B55BB" w:rsidRPr="004D2378" w:rsidRDefault="004B55BB" w:rsidP="004B55BB">
      <w:pPr>
        <w:pStyle w:val="ListNumber3"/>
        <w:numPr>
          <w:ilvl w:val="1"/>
          <w:numId w:val="22"/>
        </w:numPr>
        <w:jc w:val="left"/>
      </w:pPr>
      <w:r w:rsidRPr="004D2378">
        <w:t>measured energy consumption data for the reporting period</w:t>
      </w:r>
      <w:r>
        <w:t>(s)</w:t>
      </w:r>
      <w:r w:rsidRPr="004D2378">
        <w:t>;</w:t>
      </w:r>
    </w:p>
    <w:p w14:paraId="5F48533F" w14:textId="77777777" w:rsidR="004B55BB" w:rsidRPr="004D2378" w:rsidRDefault="004B55BB" w:rsidP="004B55BB">
      <w:pPr>
        <w:pStyle w:val="ListNumber3"/>
        <w:numPr>
          <w:ilvl w:val="1"/>
          <w:numId w:val="22"/>
        </w:numPr>
        <w:jc w:val="left"/>
      </w:pPr>
      <w:r w:rsidRPr="004D2378">
        <w:t>measured values for the reporting period</w:t>
      </w:r>
      <w:r>
        <w:t xml:space="preserve">(s) </w:t>
      </w:r>
      <w:r w:rsidRPr="004D2378">
        <w:t>for each independent variable, if relevant;</w:t>
      </w:r>
    </w:p>
    <w:p w14:paraId="74AE8907" w14:textId="77777777" w:rsidR="004B55BB" w:rsidRPr="004D2378" w:rsidRDefault="004B55BB" w:rsidP="004B55BB">
      <w:pPr>
        <w:pStyle w:val="ListNumber3"/>
        <w:numPr>
          <w:ilvl w:val="1"/>
          <w:numId w:val="22"/>
        </w:numPr>
        <w:jc w:val="left"/>
      </w:pPr>
      <w:r w:rsidRPr="004D2378">
        <w:t>interactive energy savings for the reporting period</w:t>
      </w:r>
      <w:r>
        <w:t>(s)</w:t>
      </w:r>
      <w:r w:rsidRPr="004D2378">
        <w:t>;</w:t>
      </w:r>
    </w:p>
    <w:p w14:paraId="66CBB605" w14:textId="7A4C77E6" w:rsidR="004B55BB" w:rsidRPr="004D2378" w:rsidRDefault="004B55BB" w:rsidP="004B55BB">
      <w:pPr>
        <w:pStyle w:val="ListNumber3"/>
        <w:numPr>
          <w:ilvl w:val="1"/>
          <w:numId w:val="22"/>
        </w:numPr>
        <w:jc w:val="left"/>
      </w:pPr>
      <w:r w:rsidRPr="004D2378">
        <w:t xml:space="preserve">previous energy savings calculated using Equation </w:t>
      </w:r>
      <w:r w:rsidR="00A15F13">
        <w:t>3</w:t>
      </w:r>
      <w:r>
        <w:t>.</w:t>
      </w:r>
      <w:r w:rsidR="00816242">
        <w:t>3</w:t>
      </w:r>
      <w:r w:rsidRPr="004D2378">
        <w:t xml:space="preserve"> for any previous reporting periods, including any negative energy savings; </w:t>
      </w:r>
    </w:p>
    <w:p w14:paraId="3012CDFC" w14:textId="62A09B9A" w:rsidR="004B55BB" w:rsidRPr="004D2378" w:rsidRDefault="004B55BB" w:rsidP="004B55BB">
      <w:pPr>
        <w:pStyle w:val="ListNumber3"/>
        <w:numPr>
          <w:ilvl w:val="1"/>
          <w:numId w:val="22"/>
        </w:numPr>
        <w:jc w:val="left"/>
      </w:pPr>
      <w:r w:rsidRPr="004D2378">
        <w:t>calculation</w:t>
      </w:r>
      <w:r>
        <w:t>s</w:t>
      </w:r>
      <w:r w:rsidRPr="004D2378">
        <w:t xml:space="preserve"> of energy savings using Equation </w:t>
      </w:r>
      <w:r w:rsidR="00A15F13">
        <w:t>3</w:t>
      </w:r>
      <w:r>
        <w:t>.</w:t>
      </w:r>
      <w:r w:rsidRPr="004D2378">
        <w:t>3;</w:t>
      </w:r>
    </w:p>
    <w:p w14:paraId="5C75132A" w14:textId="467E5643" w:rsidR="004B55BB" w:rsidRPr="004D2378" w:rsidRDefault="004B55BB" w:rsidP="004B55BB">
      <w:pPr>
        <w:pStyle w:val="ListNumber3"/>
        <w:numPr>
          <w:ilvl w:val="1"/>
          <w:numId w:val="22"/>
        </w:numPr>
        <w:jc w:val="left"/>
      </w:pPr>
      <w:r w:rsidRPr="004D2378">
        <w:t>calculation</w:t>
      </w:r>
      <w:r>
        <w:t>s</w:t>
      </w:r>
      <w:r w:rsidRPr="004D2378">
        <w:t xml:space="preserve"> of measured annual savings using Equation </w:t>
      </w:r>
      <w:r w:rsidR="00A15F13">
        <w:t>3</w:t>
      </w:r>
      <w:r>
        <w:t>.</w:t>
      </w:r>
      <w:r w:rsidRPr="004D2378">
        <w:t>5;</w:t>
      </w:r>
    </w:p>
    <w:p w14:paraId="126D0B33" w14:textId="77777777" w:rsidR="004B55BB" w:rsidRPr="004D2378" w:rsidRDefault="004B55BB" w:rsidP="004B55BB">
      <w:pPr>
        <w:pStyle w:val="ListNumber2"/>
        <w:numPr>
          <w:ilvl w:val="0"/>
          <w:numId w:val="22"/>
        </w:numPr>
        <w:ind w:left="680"/>
        <w:jc w:val="left"/>
      </w:pPr>
      <w:r w:rsidRPr="004D2378">
        <w:t>evidence that energy models comply with the statistical requirements;</w:t>
      </w:r>
    </w:p>
    <w:p w14:paraId="7C536E4D" w14:textId="77777777" w:rsidR="004B55BB" w:rsidRPr="004D2378" w:rsidRDefault="004B55BB" w:rsidP="004B55BB">
      <w:pPr>
        <w:pStyle w:val="ListNumber2"/>
        <w:numPr>
          <w:ilvl w:val="0"/>
          <w:numId w:val="22"/>
        </w:numPr>
        <w:ind w:left="680"/>
        <w:jc w:val="left"/>
      </w:pPr>
      <w:r w:rsidRPr="004D2378">
        <w:t xml:space="preserve">evidence that time intervals used </w:t>
      </w:r>
      <w:r>
        <w:t>to calculate</w:t>
      </w:r>
      <w:r w:rsidRPr="004D2378">
        <w:t xml:space="preserve"> energy savings are eligible time intervals;</w:t>
      </w:r>
      <w:r>
        <w:t xml:space="preserve"> and</w:t>
      </w:r>
    </w:p>
    <w:p w14:paraId="27BB8AD1" w14:textId="77777777" w:rsidR="004B55BB" w:rsidRDefault="004B55BB" w:rsidP="004B55BB">
      <w:pPr>
        <w:pStyle w:val="ListNumber2"/>
        <w:numPr>
          <w:ilvl w:val="0"/>
          <w:numId w:val="22"/>
        </w:numPr>
        <w:ind w:left="680"/>
        <w:jc w:val="left"/>
      </w:pPr>
      <w:r w:rsidRPr="004D2378">
        <w:t>written justification of the steps and decisions taken in completing the calculations</w:t>
      </w:r>
      <w:r>
        <w:t xml:space="preserve"> for each type of model</w:t>
      </w:r>
      <w:r w:rsidRPr="004D2378">
        <w:t>.</w:t>
      </w:r>
    </w:p>
    <w:p w14:paraId="60C93DBA" w14:textId="77777777" w:rsidR="004B55BB" w:rsidRPr="00064C57" w:rsidRDefault="004B55BB" w:rsidP="004B55BB">
      <w:pPr>
        <w:pStyle w:val="ListNumber2"/>
        <w:ind w:firstLine="0"/>
      </w:pPr>
      <w:r>
        <w:t xml:space="preserve">Note: Projects introducing multiple essentially identical upgrades may use the same independent variable(s) and equation structure with the same reasoning and decisions in model development. </w:t>
      </w:r>
    </w:p>
    <w:p w14:paraId="2352058E" w14:textId="77777777" w:rsidR="004B55BB" w:rsidRPr="00064C57" w:rsidRDefault="004B55BB" w:rsidP="004B55BB">
      <w:pPr>
        <w:pStyle w:val="ListNumber2"/>
        <w:ind w:firstLine="0"/>
      </w:pPr>
    </w:p>
    <w:p w14:paraId="1CABCB2A" w14:textId="77777777" w:rsidR="004B55BB" w:rsidRPr="00050253" w:rsidRDefault="004B55BB" w:rsidP="004B55BB">
      <w:pPr>
        <w:pStyle w:val="Heading2"/>
      </w:pPr>
      <w:bookmarkStart w:id="99" w:name="_Toc232605526"/>
      <w:r>
        <w:t>Methods</w:t>
      </w:r>
      <w:bookmarkEnd w:id="99"/>
    </w:p>
    <w:p w14:paraId="059DD50A" w14:textId="77777777" w:rsidR="004B55BB" w:rsidRPr="00423621" w:rsidRDefault="004B55BB" w:rsidP="004B55BB">
      <w:pPr>
        <w:pStyle w:val="Heading3"/>
      </w:pPr>
      <w:r w:rsidRPr="00423621">
        <w:t>Calculation of carbon dioxide equivalents of greenhouse gases</w:t>
      </w:r>
    </w:p>
    <w:p w14:paraId="13029EC0" w14:textId="7DDD8D5A" w:rsidR="004B55BB" w:rsidRPr="009F77A4" w:rsidRDefault="004B55BB">
      <w:pPr>
        <w:pStyle w:val="ListNumber"/>
        <w:numPr>
          <w:ilvl w:val="0"/>
          <w:numId w:val="53"/>
        </w:numPr>
        <w:jc w:val="left"/>
      </w:pPr>
      <w:r w:rsidRPr="009F77A4">
        <w:t xml:space="preserve">The carbon dioxide equivalent (in tonnes) of greenhouse gases to be reduced by undertaking a project is calculated using Equation </w:t>
      </w:r>
      <w:r w:rsidR="00816242">
        <w:t>3.</w:t>
      </w:r>
      <w:r w:rsidRPr="009F77A4">
        <w:t xml:space="preserve">1, where variables are determined in accordance with </w:t>
      </w:r>
      <w:r w:rsidR="00816242">
        <w:t xml:space="preserve">section </w:t>
      </w:r>
      <w:r>
        <w:t xml:space="preserve">2.2.5 and 2.2.10 and, where applicable, </w:t>
      </w:r>
      <w:r w:rsidRPr="00E37634">
        <w:rPr>
          <w:i/>
        </w:rPr>
        <w:t>Accounting For COVID-19 Under VEU (2021)</w:t>
      </w:r>
      <w:r>
        <w:t>.</w:t>
      </w:r>
    </w:p>
    <w:p w14:paraId="6690F57A" w14:textId="77777777" w:rsidR="004B55BB" w:rsidRDefault="004B55BB" w:rsidP="004B55BB">
      <w:pPr>
        <w:pStyle w:val="BodyText"/>
      </w:pPr>
    </w:p>
    <w:p w14:paraId="62263F55" w14:textId="77777777" w:rsidR="004B55BB" w:rsidRDefault="004B55BB" w:rsidP="004B55BB">
      <w:pPr>
        <w:pStyle w:val="Heading3"/>
      </w:pPr>
      <w:r>
        <w:t>Carbon dioxide equivalent to be reduced</w:t>
      </w:r>
    </w:p>
    <w:p w14:paraId="70587CF0" w14:textId="5FFDCC8C" w:rsidR="004B55BB" w:rsidRPr="00DC380B" w:rsidRDefault="004B55BB" w:rsidP="004B55BB">
      <w:pPr>
        <w:pStyle w:val="CaptionImageorFigure"/>
      </w:pPr>
      <w:r>
        <w:t xml:space="preserve">Equation </w:t>
      </w:r>
      <w:r w:rsidR="00823401">
        <w:t>3</w:t>
      </w:r>
      <w:r>
        <w:t>.1</w:t>
      </w:r>
    </w:p>
    <w:p w14:paraId="0DBDF3F5" w14:textId="77777777" w:rsidR="004B55BB" w:rsidRPr="00A32EF2" w:rsidRDefault="000013C2" w:rsidP="004B55BB">
      <w:pPr>
        <w:pStyle w:val="BodyText"/>
        <w:ind w:left="567"/>
        <w:rPr>
          <w:rFonts w:cs="Arial"/>
          <w:sz w:val="24"/>
        </w:rPr>
      </w:pPr>
      <m:oMathPara>
        <m:oMathParaPr>
          <m:jc m:val="left"/>
        </m:oMathParaPr>
        <m:oMath>
          <m:r>
            <w:rPr>
              <w:rFonts w:ascii="Cambria Math" w:hAnsi="Cambria Math"/>
              <w:sz w:val="24"/>
            </w:rPr>
            <m:t xml:space="preserve">carbon dioxide equivalent= </m:t>
          </m:r>
          <m:r>
            <m:rPr>
              <m:sty m:val="p"/>
            </m:rPr>
            <w:rPr>
              <w:rFonts w:ascii="Cambria Math" w:hAnsi="Cambria Math"/>
              <w:sz w:val="24"/>
            </w:rPr>
            <w:br/>
          </m:r>
        </m:oMath>
        <m:oMath>
          <m:r>
            <w:rPr>
              <w:rFonts w:ascii="Cambria Math" w:hAnsi="Cambria Math"/>
              <w:sz w:val="24"/>
            </w:rPr>
            <m:t xml:space="preserve">       </m:t>
          </m:r>
          <m:nary>
            <m:naryPr>
              <m:chr m:val="∑"/>
              <m:limLoc m:val="subSup"/>
              <m:supHide m:val="1"/>
              <m:ctrlPr>
                <w:rPr>
                  <w:rFonts w:ascii="Cambria Math" w:hAnsi="Cambria Math" w:cstheme="minorHAnsi"/>
                  <w:i/>
                  <w:sz w:val="24"/>
                  <w:szCs w:val="24"/>
                </w:rPr>
              </m:ctrlPr>
            </m:naryPr>
            <m:sub>
              <m:r>
                <w:rPr>
                  <w:rFonts w:ascii="Cambria Math" w:hAnsi="Cambria Math" w:cstheme="minorHAnsi"/>
                  <w:sz w:val="24"/>
                  <w:szCs w:val="24"/>
                </w:rPr>
                <m:t>j</m:t>
              </m:r>
            </m:sub>
            <m:sup/>
            <m:e>
              <m:r>
                <w:rPr>
                  <w:rFonts w:ascii="Cambria Math" w:hAnsi="Cambria Math" w:cstheme="minorHAnsi"/>
                  <w:sz w:val="24"/>
                  <w:szCs w:val="24"/>
                </w:rPr>
                <m:t>(</m:t>
              </m:r>
              <m:r>
                <w:rPr>
                  <w:rFonts w:ascii="Cambria Math" w:hAnsi="Cambria Math"/>
                  <w:sz w:val="24"/>
                </w:rPr>
                <m:t xml:space="preserve"> </m:t>
              </m:r>
              <m:sSub>
                <m:sSubPr>
                  <m:ctrlPr>
                    <w:rPr>
                      <w:rFonts w:ascii="Cambria Math" w:hAnsi="Cambria Math" w:cstheme="minorHAnsi"/>
                      <w:i/>
                      <w:sz w:val="24"/>
                      <w:szCs w:val="24"/>
                    </w:rPr>
                  </m:ctrlPr>
                </m:sSubPr>
                <m:e>
                  <m:r>
                    <w:rPr>
                      <w:rFonts w:ascii="Cambria Math" w:hAnsi="Cambria Math" w:cstheme="minorHAnsi"/>
                      <w:sz w:val="24"/>
                      <w:szCs w:val="24"/>
                    </w:rPr>
                    <m:t>electricity savings</m:t>
                  </m:r>
                </m:e>
                <m:sub>
                  <m:r>
                    <w:rPr>
                      <w:rFonts w:ascii="Cambria Math" w:hAnsi="Cambria Math" w:cstheme="minorHAnsi"/>
                      <w:sz w:val="24"/>
                      <w:szCs w:val="24"/>
                    </w:rPr>
                    <m:t>j</m:t>
                  </m:r>
                </m:sub>
              </m:sSub>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electricity emissions factor</m:t>
                  </m:r>
                </m:e>
                <m:sub>
                  <m:r>
                    <w:rPr>
                      <w:rFonts w:ascii="Cambria Math" w:hAnsi="Cambria Math" w:cstheme="minorHAnsi"/>
                      <w:sz w:val="24"/>
                      <w:szCs w:val="24"/>
                    </w:rPr>
                    <m:t>j</m:t>
                  </m:r>
                </m:sub>
              </m:sSub>
              <m:r>
                <w:rPr>
                  <w:rFonts w:ascii="Cambria Math" w:hAnsi="Cambria Math"/>
                  <w:sz w:val="24"/>
                </w:rPr>
                <m:t xml:space="preserve"> </m:t>
              </m:r>
              <m:r>
                <w:rPr>
                  <w:rFonts w:ascii="Cambria Math" w:hAnsi="Cambria Math" w:cstheme="minorHAnsi"/>
                  <w:sz w:val="24"/>
                  <w:szCs w:val="24"/>
                </w:rPr>
                <m:t>×</m:t>
              </m:r>
              <m:r>
                <w:rPr>
                  <w:rFonts w:ascii="Cambria Math" w:hAnsi="Cambria Math"/>
                  <w:sz w:val="24"/>
                </w:rPr>
                <m:t xml:space="preserve"> </m:t>
              </m:r>
              <m:sSub>
                <m:sSubPr>
                  <m:ctrlPr>
                    <w:rPr>
                      <w:rFonts w:ascii="Cambria Math" w:hAnsi="Cambria Math" w:cstheme="minorHAnsi"/>
                      <w:i/>
                      <w:sz w:val="24"/>
                      <w:szCs w:val="24"/>
                    </w:rPr>
                  </m:ctrlPr>
                </m:sSubPr>
                <m:e>
                  <m:r>
                    <w:rPr>
                      <w:rFonts w:ascii="Cambria Math" w:hAnsi="Cambria Math" w:cstheme="minorHAnsi"/>
                      <w:sz w:val="24"/>
                      <w:szCs w:val="24"/>
                    </w:rPr>
                    <m:t>RF</m:t>
                  </m:r>
                </m:e>
                <m:sub>
                  <m:r>
                    <w:rPr>
                      <w:rFonts w:ascii="Cambria Math" w:hAnsi="Cambria Math" w:cstheme="minorHAnsi"/>
                      <w:sz w:val="24"/>
                      <w:szCs w:val="24"/>
                    </w:rPr>
                    <m:t>j</m:t>
                  </m:r>
                </m:sub>
              </m:sSub>
              <m:r>
                <w:rPr>
                  <w:rFonts w:ascii="Cambria Math" w:hAnsi="Cambria Math" w:cstheme="minorHAnsi"/>
                  <w:sz w:val="24"/>
                  <w:szCs w:val="24"/>
                </w:rPr>
                <m:t>)</m:t>
              </m:r>
            </m:e>
          </m:nary>
          <m:r>
            <m:rPr>
              <m:sty m:val="p"/>
            </m:rPr>
            <w:rPr>
              <w:rFonts w:ascii="Cambria Math" w:hAnsi="Cambria Math"/>
              <w:sz w:val="24"/>
            </w:rPr>
            <w:br/>
          </m:r>
        </m:oMath>
        <m:oMath>
          <m:r>
            <w:rPr>
              <w:rFonts w:ascii="Cambria Math" w:hAnsi="Cambria Math"/>
              <w:sz w:val="24"/>
            </w:rPr>
            <m:t xml:space="preserve">        + </m:t>
          </m:r>
          <m:nary>
            <m:naryPr>
              <m:chr m:val="∑"/>
              <m:limLoc m:val="subSup"/>
              <m:supHide m:val="1"/>
              <m:ctrlPr>
                <w:rPr>
                  <w:rFonts w:ascii="Cambria Math" w:hAnsi="Cambria Math" w:cstheme="minorHAnsi"/>
                  <w:i/>
                  <w:sz w:val="24"/>
                  <w:szCs w:val="24"/>
                </w:rPr>
              </m:ctrlPr>
            </m:naryPr>
            <m:sub>
              <m:r>
                <w:rPr>
                  <w:rFonts w:ascii="Cambria Math" w:hAnsi="Cambria Math" w:cstheme="minorHAnsi"/>
                  <w:sz w:val="24"/>
                  <w:szCs w:val="24"/>
                </w:rPr>
                <m:t>j</m:t>
              </m:r>
            </m:sub>
            <m:sup/>
            <m:e>
              <m:r>
                <w:rPr>
                  <w:rFonts w:ascii="Cambria Math" w:hAnsi="Cambria Math" w:cstheme="minorHAnsi"/>
                  <w:sz w:val="24"/>
                  <w:szCs w:val="24"/>
                </w:rPr>
                <m:t>(</m:t>
              </m:r>
              <m:r>
                <w:rPr>
                  <w:rFonts w:ascii="Cambria Math" w:hAnsi="Cambria Math"/>
                  <w:sz w:val="24"/>
                </w:rPr>
                <m:t xml:space="preserve"> </m:t>
              </m:r>
              <m:sSub>
                <m:sSubPr>
                  <m:ctrlPr>
                    <w:rPr>
                      <w:rFonts w:ascii="Cambria Math" w:hAnsi="Cambria Math" w:cstheme="minorHAnsi"/>
                      <w:i/>
                      <w:sz w:val="24"/>
                      <w:szCs w:val="24"/>
                    </w:rPr>
                  </m:ctrlPr>
                </m:sSubPr>
                <m:e>
                  <m:r>
                    <w:rPr>
                      <w:rFonts w:ascii="Cambria Math" w:hAnsi="Cambria Math" w:cstheme="minorHAnsi"/>
                      <w:sz w:val="24"/>
                      <w:szCs w:val="24"/>
                    </w:rPr>
                    <m:t>gas savings</m:t>
                  </m:r>
                </m:e>
                <m:sub>
                  <m:r>
                    <w:rPr>
                      <w:rFonts w:ascii="Cambria Math" w:hAnsi="Cambria Math" w:cstheme="minorHAnsi"/>
                      <w:sz w:val="24"/>
                      <w:szCs w:val="24"/>
                    </w:rPr>
                    <m:t>j</m:t>
                  </m:r>
                </m:sub>
              </m:sSub>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gas emissions factor</m:t>
                  </m:r>
                </m:e>
                <m:sub>
                  <m:r>
                    <w:rPr>
                      <w:rFonts w:ascii="Cambria Math" w:hAnsi="Cambria Math" w:cstheme="minorHAnsi"/>
                      <w:sz w:val="24"/>
                      <w:szCs w:val="24"/>
                    </w:rPr>
                    <m:t>j</m:t>
                  </m:r>
                </m:sub>
              </m:sSub>
              <m:r>
                <w:rPr>
                  <w:rFonts w:ascii="Cambria Math" w:hAnsi="Cambria Math"/>
                  <w:sz w:val="24"/>
                </w:rPr>
                <m:t xml:space="preserve"> </m:t>
              </m:r>
              <m:r>
                <w:rPr>
                  <w:rFonts w:ascii="Cambria Math" w:hAnsi="Cambria Math" w:cstheme="minorHAnsi"/>
                  <w:sz w:val="24"/>
                  <w:szCs w:val="24"/>
                </w:rPr>
                <m:t>)</m:t>
              </m:r>
            </m:e>
          </m:nary>
          <m:r>
            <m:rPr>
              <m:sty m:val="p"/>
            </m:rPr>
            <w:rPr>
              <w:rFonts w:ascii="Cambria Math" w:hAnsi="Cambria Math"/>
              <w:sz w:val="24"/>
            </w:rPr>
            <w:br/>
          </m:r>
        </m:oMath>
        <m:oMath>
          <m:r>
            <w:rPr>
              <w:rFonts w:ascii="Cambria Math" w:hAnsi="Cambria Math"/>
              <w:sz w:val="24"/>
            </w:rPr>
            <m:t xml:space="preserve">        +   </m:t>
          </m:r>
          <m:nary>
            <m:naryPr>
              <m:chr m:val="∑"/>
              <m:limLoc m:val="subSup"/>
              <m:supHide m:val="1"/>
              <m:ctrlPr>
                <w:rPr>
                  <w:rFonts w:ascii="Cambria Math" w:hAnsi="Cambria Math" w:cstheme="minorHAnsi"/>
                  <w:i/>
                  <w:sz w:val="24"/>
                  <w:szCs w:val="24"/>
                </w:rPr>
              </m:ctrlPr>
            </m:naryPr>
            <m:sub>
              <m:r>
                <w:rPr>
                  <w:rFonts w:ascii="Cambria Math" w:hAnsi="Cambria Math" w:cstheme="minorHAnsi"/>
                  <w:sz w:val="24"/>
                  <w:szCs w:val="24"/>
                </w:rPr>
                <m:t>j</m:t>
              </m:r>
            </m:sub>
            <m:sup/>
            <m:e>
              <m:r>
                <w:rPr>
                  <w:rFonts w:ascii="Cambria Math" w:hAnsi="Cambria Math" w:cstheme="minorHAnsi"/>
                  <w:sz w:val="24"/>
                  <w:szCs w:val="24"/>
                </w:rPr>
                <m:t>(</m:t>
              </m:r>
              <m:r>
                <w:rPr>
                  <w:rFonts w:ascii="Cambria Math" w:hAnsi="Cambria Math"/>
                  <w:sz w:val="24"/>
                </w:rPr>
                <m:t xml:space="preserve"> </m:t>
              </m:r>
              <m:sSub>
                <m:sSubPr>
                  <m:ctrlPr>
                    <w:rPr>
                      <w:rFonts w:ascii="Cambria Math" w:hAnsi="Cambria Math" w:cstheme="minorHAnsi"/>
                      <w:i/>
                      <w:sz w:val="24"/>
                      <w:szCs w:val="24"/>
                    </w:rPr>
                  </m:ctrlPr>
                </m:sSubPr>
                <m:e>
                  <m:r>
                    <w:rPr>
                      <w:rFonts w:ascii="Cambria Math" w:hAnsi="Cambria Math" w:cstheme="minorHAnsi"/>
                      <w:sz w:val="24"/>
                      <w:szCs w:val="24"/>
                    </w:rPr>
                    <m:t>renewable energy savings</m:t>
                  </m:r>
                </m:e>
                <m:sub>
                  <m:r>
                    <w:rPr>
                      <w:rFonts w:ascii="Cambria Math" w:hAnsi="Cambria Math" w:cstheme="minorHAnsi"/>
                      <w:sz w:val="24"/>
                      <w:szCs w:val="24"/>
                    </w:rPr>
                    <m:t>j</m:t>
                  </m:r>
                </m:sub>
              </m:sSub>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renewable emissions factor</m:t>
                  </m:r>
                </m:e>
                <m:sub>
                  <m:r>
                    <w:rPr>
                      <w:rFonts w:ascii="Cambria Math" w:hAnsi="Cambria Math" w:cstheme="minorHAnsi"/>
                      <w:sz w:val="24"/>
                      <w:szCs w:val="24"/>
                    </w:rPr>
                    <m:t>j</m:t>
                  </m:r>
                </m:sub>
              </m:sSub>
              <m:r>
                <w:rPr>
                  <w:rFonts w:ascii="Cambria Math" w:hAnsi="Cambria Math"/>
                  <w:sz w:val="24"/>
                </w:rPr>
                <m:t xml:space="preserve"> </m:t>
              </m:r>
              <m:r>
                <w:rPr>
                  <w:rFonts w:ascii="Cambria Math" w:hAnsi="Cambria Math" w:cstheme="minorHAnsi"/>
                  <w:sz w:val="24"/>
                  <w:szCs w:val="24"/>
                </w:rPr>
                <m:t>)</m:t>
              </m:r>
            </m:e>
          </m:nary>
          <m:r>
            <w:rPr>
              <w:rFonts w:ascii="Cambria Math" w:hAnsi="Cambria Math"/>
              <w:sz w:val="24"/>
            </w:rPr>
            <m:t xml:space="preserve"> </m:t>
          </m:r>
          <m:r>
            <m:rPr>
              <m:sty m:val="p"/>
            </m:rPr>
            <w:rPr>
              <w:rFonts w:ascii="Cambria Math" w:hAnsi="Cambria Math"/>
              <w:sz w:val="24"/>
            </w:rPr>
            <w:br/>
          </m:r>
        </m:oMath>
        <m:oMath>
          <m:r>
            <w:rPr>
              <w:rFonts w:ascii="Cambria Math" w:hAnsi="Cambria Math"/>
              <w:sz w:val="24"/>
            </w:rPr>
            <m:t xml:space="preserve">        -   </m:t>
          </m:r>
          <m:nary>
            <m:naryPr>
              <m:chr m:val="∑"/>
              <m:limLoc m:val="subSup"/>
              <m:supHide m:val="1"/>
              <m:ctrlPr>
                <w:rPr>
                  <w:rFonts w:ascii="Cambria Math" w:hAnsi="Cambria Math" w:cstheme="minorHAnsi"/>
                  <w:i/>
                  <w:sz w:val="24"/>
                  <w:szCs w:val="24"/>
                </w:rPr>
              </m:ctrlPr>
            </m:naryPr>
            <m:sub>
              <m:r>
                <w:rPr>
                  <w:rFonts w:ascii="Cambria Math" w:hAnsi="Cambria Math" w:cstheme="minorHAnsi"/>
                  <w:sz w:val="24"/>
                  <w:szCs w:val="24"/>
                </w:rPr>
                <m:t>j</m:t>
              </m:r>
            </m:sub>
            <m:sup/>
            <m:e>
              <m:r>
                <w:rPr>
                  <w:rFonts w:ascii="Cambria Math" w:hAnsi="Cambria Math" w:cstheme="minorHAnsi"/>
                  <w:sz w:val="24"/>
                  <w:szCs w:val="24"/>
                </w:rPr>
                <m:t>(</m:t>
              </m:r>
              <m:r>
                <w:rPr>
                  <w:rFonts w:ascii="Cambria Math" w:hAnsi="Cambria Math"/>
                  <w:sz w:val="24"/>
                </w:rPr>
                <m:t xml:space="preserve"> </m:t>
              </m:r>
              <m:sSub>
                <m:sSubPr>
                  <m:ctrlPr>
                    <w:rPr>
                      <w:rFonts w:ascii="Cambria Math" w:hAnsi="Cambria Math" w:cstheme="minorHAnsi"/>
                      <w:i/>
                      <w:sz w:val="24"/>
                      <w:szCs w:val="24"/>
                    </w:rPr>
                  </m:ctrlPr>
                </m:sSubPr>
                <m:e>
                  <m:r>
                    <w:rPr>
                      <w:rFonts w:ascii="Cambria Math" w:hAnsi="Cambria Math" w:cstheme="minorHAnsi"/>
                      <w:sz w:val="24"/>
                      <w:szCs w:val="24"/>
                    </w:rPr>
                    <m:t>counted savings</m:t>
                  </m:r>
                </m:e>
                <m:sub>
                  <m:r>
                    <w:rPr>
                      <w:rFonts w:ascii="Cambria Math" w:hAnsi="Cambria Math" w:cstheme="minorHAnsi"/>
                      <w:sz w:val="24"/>
                      <w:szCs w:val="24"/>
                    </w:rPr>
                    <m:t>j</m:t>
                  </m:r>
                </m:sub>
              </m:sSub>
              <m:r>
                <w:rPr>
                  <w:rFonts w:ascii="Cambria Math" w:hAnsi="Cambria Math" w:cstheme="minorHAnsi"/>
                  <w:sz w:val="24"/>
                  <w:szCs w:val="24"/>
                </w:rPr>
                <m:t>)</m:t>
              </m:r>
            </m:e>
          </m:nary>
        </m:oMath>
      </m:oMathPara>
    </w:p>
    <w:p w14:paraId="4B44BFB7" w14:textId="77777777" w:rsidR="004B55BB" w:rsidRDefault="004B55BB" w:rsidP="004B55BB">
      <w:pPr>
        <w:pStyle w:val="BodyText"/>
      </w:pPr>
      <w:r>
        <w:t>where:</w:t>
      </w:r>
    </w:p>
    <w:p w14:paraId="277BB4C9" w14:textId="77777777" w:rsidR="004B55BB" w:rsidRDefault="000013C2">
      <w:pPr>
        <w:pStyle w:val="ListNumber2"/>
        <w:numPr>
          <w:ilvl w:val="0"/>
          <w:numId w:val="40"/>
        </w:numPr>
        <w:jc w:val="left"/>
      </w:pPr>
      <m:oMath>
        <m:r>
          <w:rPr>
            <w:rFonts w:ascii="Cambria Math" w:hAnsi="Cambria Math"/>
          </w:rPr>
          <w:lastRenderedPageBreak/>
          <m:t>j</m:t>
        </m:r>
      </m:oMath>
      <w:r w:rsidR="004B55BB">
        <w:t xml:space="preserve"> is the measurement boundary number in the case that there are multiple measurement boundaries under one project;</w:t>
      </w:r>
    </w:p>
    <w:p w14:paraId="4FD34CAC" w14:textId="563A939B" w:rsidR="004B55BB" w:rsidRDefault="004B55BB">
      <w:pPr>
        <w:pStyle w:val="ListNumber2"/>
        <w:numPr>
          <w:ilvl w:val="0"/>
          <w:numId w:val="40"/>
        </w:numPr>
        <w:jc w:val="left"/>
      </w:pPr>
      <w:r w:rsidRPr="00F61C62">
        <w:rPr>
          <w:i/>
        </w:rPr>
        <w:t>electricity savings</w:t>
      </w:r>
      <w:r w:rsidRPr="00DD0D8F">
        <w:t xml:space="preserve"> is calculated in MWh using Equation </w:t>
      </w:r>
      <w:r w:rsidR="00823401">
        <w:t>3</w:t>
      </w:r>
      <w:r>
        <w:t>.</w:t>
      </w:r>
      <w:r w:rsidRPr="00DD0D8F">
        <w:t xml:space="preserve">2 or </w:t>
      </w:r>
      <w:r w:rsidR="00823401">
        <w:t>3</w:t>
      </w:r>
      <w:r>
        <w:t>.</w:t>
      </w:r>
      <w:r w:rsidRPr="00DD0D8F">
        <w:t xml:space="preserve">3, taking references to “energy” in Equations </w:t>
      </w:r>
      <w:r w:rsidR="00823401">
        <w:t>3</w:t>
      </w:r>
      <w:r>
        <w:t>.</w:t>
      </w:r>
      <w:r w:rsidRPr="00DD0D8F">
        <w:t xml:space="preserve">2 to </w:t>
      </w:r>
      <w:r w:rsidR="00823401">
        <w:t>3</w:t>
      </w:r>
      <w:r>
        <w:t>.5</w:t>
      </w:r>
      <w:r w:rsidRPr="00DD0D8F">
        <w:t xml:space="preserve"> of this Division to mean “electricity”</w:t>
      </w:r>
      <w:r>
        <w:t>;</w:t>
      </w:r>
    </w:p>
    <w:p w14:paraId="78315186" w14:textId="77777777" w:rsidR="004B55BB" w:rsidRDefault="004B55BB">
      <w:pPr>
        <w:pStyle w:val="ListNumber2"/>
        <w:numPr>
          <w:ilvl w:val="0"/>
          <w:numId w:val="40"/>
        </w:numPr>
        <w:jc w:val="left"/>
      </w:pPr>
      <w:r w:rsidRPr="004F40E5">
        <w:rPr>
          <w:i/>
          <w:iCs/>
        </w:rPr>
        <w:t>RF</w:t>
      </w:r>
      <w:r w:rsidRPr="00DD0D8F">
        <w:t xml:space="preserve"> is the regional factor, which is 0.98 if the </w:t>
      </w:r>
      <w:r>
        <w:t>premises</w:t>
      </w:r>
      <w:r w:rsidRPr="00DD0D8F">
        <w:t xml:space="preserve"> is in metropolitan Victoria or 1.04 if the </w:t>
      </w:r>
      <w:r>
        <w:t>premises</w:t>
      </w:r>
      <w:r w:rsidRPr="00DD0D8F">
        <w:t xml:space="preserve"> is in regional Victoria</w:t>
      </w:r>
      <w:r>
        <w:t xml:space="preserve">, as defined in the Locations Variable List in the </w:t>
      </w:r>
      <w:r w:rsidRPr="00E37634">
        <w:rPr>
          <w:i/>
        </w:rPr>
        <w:t>Victorian Energy Upgrades Specifications 2018</w:t>
      </w:r>
      <w:r>
        <w:t>;</w:t>
      </w:r>
    </w:p>
    <w:p w14:paraId="1711893A" w14:textId="1E4E4E85" w:rsidR="004B55BB" w:rsidRDefault="004B55BB">
      <w:pPr>
        <w:pStyle w:val="ListNumber2"/>
        <w:numPr>
          <w:ilvl w:val="0"/>
          <w:numId w:val="40"/>
        </w:numPr>
        <w:jc w:val="left"/>
      </w:pPr>
      <w:r w:rsidRPr="76769943">
        <w:rPr>
          <w:i/>
          <w:iCs/>
        </w:rPr>
        <w:t>gas savings</w:t>
      </w:r>
      <w:r>
        <w:t xml:space="preserve"> is calculated in GJ using Equation </w:t>
      </w:r>
      <w:r w:rsidR="00A50B8C">
        <w:t>3</w:t>
      </w:r>
      <w:r>
        <w:t xml:space="preserve">.2 or </w:t>
      </w:r>
      <w:r w:rsidR="00A50B8C">
        <w:t>3</w:t>
      </w:r>
      <w:r>
        <w:t xml:space="preserve">.3, taking references to “energy” in Equations </w:t>
      </w:r>
      <w:r w:rsidR="00013764">
        <w:t>3</w:t>
      </w:r>
      <w:r>
        <w:t xml:space="preserve">.2 to </w:t>
      </w:r>
      <w:r w:rsidR="00013764">
        <w:t>3</w:t>
      </w:r>
      <w:r>
        <w:t>.5 of this Division to mean “gas”;</w:t>
      </w:r>
    </w:p>
    <w:p w14:paraId="16CA402D" w14:textId="1B19B721" w:rsidR="004B55BB" w:rsidRDefault="004B55BB">
      <w:pPr>
        <w:pStyle w:val="ListNumber2"/>
        <w:numPr>
          <w:ilvl w:val="0"/>
          <w:numId w:val="40"/>
        </w:numPr>
        <w:jc w:val="left"/>
      </w:pPr>
      <w:r w:rsidRPr="009E7AE4">
        <w:rPr>
          <w:i/>
        </w:rPr>
        <w:t>renewable energy savings</w:t>
      </w:r>
      <w:r>
        <w:t xml:space="preserve"> is calculated using Equation </w:t>
      </w:r>
      <w:r w:rsidR="00A50B8C">
        <w:t>3</w:t>
      </w:r>
      <w:r>
        <w:t xml:space="preserve">.2 or </w:t>
      </w:r>
      <w:r w:rsidR="00A50B8C">
        <w:t>3</w:t>
      </w:r>
      <w:r>
        <w:t xml:space="preserve">.3, taking references to “energy” in Equations </w:t>
      </w:r>
      <w:r w:rsidR="00B430FC">
        <w:t>3</w:t>
      </w:r>
      <w:r>
        <w:t xml:space="preserve">.2 to </w:t>
      </w:r>
      <w:r w:rsidR="00B430FC">
        <w:t>3</w:t>
      </w:r>
      <w:r>
        <w:t>.5 of this Division to mean “renewable energy”;</w:t>
      </w:r>
    </w:p>
    <w:p w14:paraId="680CCA79" w14:textId="77777777" w:rsidR="004B55BB" w:rsidRDefault="004B55BB">
      <w:pPr>
        <w:pStyle w:val="ListNumber2"/>
        <w:numPr>
          <w:ilvl w:val="0"/>
          <w:numId w:val="40"/>
        </w:numPr>
        <w:jc w:val="left"/>
      </w:pPr>
      <w:r w:rsidRPr="004F40E5">
        <w:rPr>
          <w:i/>
        </w:rPr>
        <w:t>counted savings</w:t>
      </w:r>
      <w:r>
        <w:t xml:space="preserve"> is a variable determined in accordance with 2.2.8; and</w:t>
      </w:r>
    </w:p>
    <w:p w14:paraId="4DC072C7" w14:textId="77777777" w:rsidR="004B55BB" w:rsidRDefault="004B55BB">
      <w:pPr>
        <w:pStyle w:val="ListNumber2"/>
        <w:numPr>
          <w:ilvl w:val="0"/>
          <w:numId w:val="40"/>
        </w:numPr>
        <w:jc w:val="left"/>
      </w:pPr>
      <w:r w:rsidRPr="004F40E5">
        <w:rPr>
          <w:i/>
        </w:rPr>
        <w:t xml:space="preserve">emissions factors </w:t>
      </w:r>
      <w:r>
        <w:t xml:space="preserve">are provided in section 2.1. </w:t>
      </w:r>
    </w:p>
    <w:p w14:paraId="6B000891" w14:textId="77777777" w:rsidR="004B55BB" w:rsidRDefault="004B55BB" w:rsidP="004B55BB">
      <w:pPr>
        <w:spacing w:line="360" w:lineRule="auto"/>
        <w:rPr>
          <w:rFonts w:ascii="Times New Roman" w:hAnsi="Times New Roman"/>
          <w:b/>
          <w:sz w:val="24"/>
          <w:szCs w:val="24"/>
        </w:rPr>
      </w:pPr>
    </w:p>
    <w:p w14:paraId="7B559F6E" w14:textId="77777777" w:rsidR="004B55BB" w:rsidRDefault="004B55BB" w:rsidP="004B55BB">
      <w:pPr>
        <w:pStyle w:val="Heading3"/>
      </w:pPr>
      <w:r w:rsidRPr="004D2378">
        <w:t>Energy savings using forward creation method</w:t>
      </w:r>
    </w:p>
    <w:p w14:paraId="1ED22970" w14:textId="4A2E0FB5" w:rsidR="004B55BB" w:rsidRPr="00D33F43" w:rsidRDefault="004B55BB" w:rsidP="004B55BB">
      <w:pPr>
        <w:pStyle w:val="CaptionImageorFigure"/>
      </w:pPr>
      <w:r>
        <w:t xml:space="preserve">Equation </w:t>
      </w:r>
      <w:r w:rsidR="00A50B8C">
        <w:t>3</w:t>
      </w:r>
      <w:r>
        <w:t>.2</w:t>
      </w:r>
    </w:p>
    <w:p w14:paraId="7F8C6581" w14:textId="77777777" w:rsidR="004B55BB" w:rsidRPr="00494760" w:rsidRDefault="000013C2" w:rsidP="004B55BB">
      <w:pPr>
        <w:spacing w:line="360" w:lineRule="auto"/>
        <w:ind w:left="720" w:firstLine="720"/>
        <w:rPr>
          <w:rFonts w:ascii="Arial" w:hAnsi="Arial" w:cstheme="minorHAnsi"/>
          <w:sz w:val="24"/>
          <w:szCs w:val="24"/>
        </w:rPr>
      </w:pPr>
      <m:oMathPara>
        <m:oMath>
          <m:r>
            <w:rPr>
              <w:rFonts w:ascii="Cambria Math" w:hAnsi="Cambria Math" w:cstheme="minorHAnsi"/>
              <w:sz w:val="24"/>
              <w:szCs w:val="24"/>
            </w:rPr>
            <m:t>energy savings=</m:t>
          </m:r>
          <m:nary>
            <m:naryPr>
              <m:chr m:val="∑"/>
              <m:limLoc m:val="subSup"/>
              <m:supHide m:val="1"/>
              <m:ctrlPr>
                <w:rPr>
                  <w:rFonts w:ascii="Cambria Math" w:hAnsi="Cambria Math" w:cstheme="minorHAnsi"/>
                  <w:i/>
                  <w:sz w:val="24"/>
                  <w:szCs w:val="24"/>
                </w:rPr>
              </m:ctrlPr>
            </m:naryPr>
            <m:sub>
              <m:r>
                <w:rPr>
                  <w:rFonts w:ascii="Cambria Math" w:hAnsi="Cambria Math" w:cstheme="minorHAnsi"/>
                  <w:sz w:val="24"/>
                  <w:szCs w:val="24"/>
                </w:rPr>
                <m:t>i</m:t>
              </m:r>
            </m:sub>
            <m:sup/>
            <m:e>
              <m:r>
                <w:rPr>
                  <w:rFonts w:ascii="Cambria Math" w:hAnsi="Cambria Math" w:cstheme="minorHAnsi"/>
                  <w:sz w:val="24"/>
                  <w:szCs w:val="24"/>
                </w:rPr>
                <m:t>(normal year savings×</m:t>
              </m:r>
              <m:sSup>
                <m:sSupPr>
                  <m:ctrlPr>
                    <w:rPr>
                      <w:rFonts w:ascii="Cambria Math" w:hAnsi="Cambria Math" w:cstheme="minorHAnsi"/>
                      <w:i/>
                      <w:sz w:val="24"/>
                      <w:szCs w:val="24"/>
                    </w:rPr>
                  </m:ctrlPr>
                </m:sSupPr>
                <m:e>
                  <m:r>
                    <w:rPr>
                      <w:rFonts w:ascii="Cambria Math" w:hAnsi="Cambria Math" w:cstheme="minorHAnsi"/>
                      <w:sz w:val="24"/>
                      <w:szCs w:val="24"/>
                    </w:rPr>
                    <m:t>(AF×</m:t>
                  </m:r>
                  <m:sSub>
                    <m:sSubPr>
                      <m:ctrlPr>
                        <w:rPr>
                          <w:rFonts w:ascii="Cambria Math" w:hAnsi="Cambria Math" w:cstheme="minorHAnsi"/>
                          <w:i/>
                          <w:sz w:val="24"/>
                          <w:szCs w:val="24"/>
                        </w:rPr>
                      </m:ctrlPr>
                    </m:sSubPr>
                    <m:e>
                      <m:r>
                        <w:rPr>
                          <w:rFonts w:ascii="Cambria Math" w:hAnsi="Cambria Math" w:cstheme="minorHAnsi"/>
                          <w:sz w:val="24"/>
                          <w:szCs w:val="24"/>
                        </w:rPr>
                        <m:t>DF</m:t>
                      </m:r>
                    </m:e>
                    <m:sub>
                      <m:r>
                        <w:rPr>
                          <w:rFonts w:ascii="Cambria Math" w:hAnsi="Cambria Math" w:cstheme="minorHAnsi"/>
                          <w:sz w:val="24"/>
                          <w:szCs w:val="24"/>
                        </w:rPr>
                        <m:t>i</m:t>
                      </m:r>
                    </m:sub>
                  </m:sSub>
                  <m:r>
                    <w:rPr>
                      <w:rFonts w:ascii="Cambria Math" w:hAnsi="Cambria Math" w:cstheme="minorHAnsi"/>
                      <w:sz w:val="24"/>
                      <w:szCs w:val="24"/>
                    </w:rPr>
                    <m:t>×BAF)</m:t>
                  </m:r>
                </m:e>
                <m:sup>
                  <m:f>
                    <m:fPr>
                      <m:ctrlPr>
                        <w:rPr>
                          <w:rFonts w:ascii="Cambria Math" w:hAnsi="Cambria Math" w:cstheme="minorHAnsi"/>
                          <w:i/>
                          <w:sz w:val="24"/>
                          <w:szCs w:val="24"/>
                        </w:rPr>
                      </m:ctrlPr>
                    </m:fPr>
                    <m:num>
                      <m:r>
                        <w:rPr>
                          <w:rFonts w:ascii="Cambria Math" w:hAnsi="Cambria Math" w:cstheme="minorHAnsi"/>
                          <w:sz w:val="24"/>
                          <w:szCs w:val="24"/>
                        </w:rPr>
                        <m:t>normal year savings</m:t>
                      </m:r>
                    </m:num>
                    <m:den>
                      <m:r>
                        <w:rPr>
                          <w:rFonts w:ascii="Cambria Math" w:hAnsi="Cambria Math" w:cstheme="minorHAnsi"/>
                          <w:sz w:val="24"/>
                          <w:szCs w:val="24"/>
                        </w:rPr>
                        <m:t>|normal year savings|</m:t>
                      </m:r>
                    </m:den>
                  </m:f>
                </m:sup>
              </m:sSup>
              <m:r>
                <w:rPr>
                  <w:rFonts w:ascii="Cambria Math" w:hAnsi="Cambria Math" w:cstheme="minorHAnsi"/>
                  <w:sz w:val="24"/>
                  <w:szCs w:val="24"/>
                </w:rPr>
                <m:t>)</m:t>
              </m:r>
            </m:e>
          </m:nary>
        </m:oMath>
      </m:oMathPara>
    </w:p>
    <w:p w14:paraId="481F126E" w14:textId="77777777" w:rsidR="004B55BB" w:rsidRPr="003D143A" w:rsidRDefault="004B55BB" w:rsidP="004B55BB">
      <w:pPr>
        <w:pStyle w:val="BodyText"/>
      </w:pPr>
      <w:r w:rsidRPr="003D143A">
        <w:t>where:</w:t>
      </w:r>
    </w:p>
    <w:p w14:paraId="6B12D682" w14:textId="77777777" w:rsidR="004B55BB" w:rsidRPr="0008292E" w:rsidRDefault="000013C2">
      <w:pPr>
        <w:pStyle w:val="ListNumber2"/>
        <w:numPr>
          <w:ilvl w:val="0"/>
          <w:numId w:val="41"/>
        </w:numPr>
        <w:jc w:val="left"/>
      </w:pPr>
      <m:oMath>
        <m:r>
          <w:rPr>
            <w:rFonts w:ascii="Cambria Math" w:hAnsi="Cambria Math"/>
          </w:rPr>
          <m:t>i</m:t>
        </m:r>
      </m:oMath>
      <w:r w:rsidR="004B55BB" w:rsidRPr="0008292E">
        <w:rPr>
          <w:rFonts w:eastAsiaTheme="minorEastAsia"/>
        </w:rPr>
        <w:t xml:space="preserve"> is a year of the maximum time period for forward creation for the project</w:t>
      </w:r>
      <w:r w:rsidR="004B55BB">
        <w:rPr>
          <w:rFonts w:eastAsiaTheme="minorEastAsia"/>
        </w:rPr>
        <w:t>;</w:t>
      </w:r>
    </w:p>
    <w:p w14:paraId="4CBC1D2E" w14:textId="255801F2" w:rsidR="004B55BB" w:rsidRPr="00DD0D8F" w:rsidRDefault="004B55BB">
      <w:pPr>
        <w:pStyle w:val="ListNumber2"/>
        <w:numPr>
          <w:ilvl w:val="0"/>
          <w:numId w:val="41"/>
        </w:numPr>
        <w:jc w:val="left"/>
      </w:pPr>
      <w:r w:rsidRPr="005174F9">
        <w:rPr>
          <w:i/>
        </w:rPr>
        <w:t>normal year savings</w:t>
      </w:r>
      <w:r w:rsidRPr="005174F9">
        <w:t xml:space="preserve"> is calculated using Equation </w:t>
      </w:r>
      <w:r w:rsidR="00AD1CCC">
        <w:t>3</w:t>
      </w:r>
      <w:r>
        <w:t>.</w:t>
      </w:r>
      <w:r w:rsidRPr="005174F9">
        <w:t>4</w:t>
      </w:r>
      <w:r>
        <w:t>;</w:t>
      </w:r>
    </w:p>
    <w:p w14:paraId="67B85389" w14:textId="77777777" w:rsidR="004B55BB" w:rsidRPr="00DD0D8F" w:rsidRDefault="000013C2">
      <w:pPr>
        <w:pStyle w:val="ListNumber2"/>
        <w:numPr>
          <w:ilvl w:val="0"/>
          <w:numId w:val="41"/>
        </w:numPr>
        <w:ind w:left="680"/>
        <w:jc w:val="left"/>
      </w:pPr>
      <m:oMath>
        <m:r>
          <m:rPr>
            <m:sty m:val="p"/>
          </m:rPr>
          <w:rPr>
            <w:rFonts w:ascii="Cambria Math" w:hAnsi="Cambria Math"/>
          </w:rPr>
          <m:t>AF</m:t>
        </m:r>
      </m:oMath>
      <w:r w:rsidR="004B55BB" w:rsidRPr="005174F9">
        <w:t xml:space="preserve"> is the accuracy factor</w:t>
      </w:r>
      <w:r w:rsidR="004B55BB">
        <w:t xml:space="preserve"> for the measurement boundary;</w:t>
      </w:r>
    </w:p>
    <w:p w14:paraId="2569A934" w14:textId="77777777" w:rsidR="004B55BB" w:rsidRDefault="00000000">
      <w:pPr>
        <w:pStyle w:val="ListNumber2"/>
        <w:numPr>
          <w:ilvl w:val="0"/>
          <w:numId w:val="41"/>
        </w:numPr>
        <w:ind w:left="680"/>
        <w:jc w:val="left"/>
      </w:pPr>
      <m:oMath>
        <m:sSub>
          <m:sSubPr>
            <m:ctrlPr>
              <w:rPr>
                <w:rFonts w:ascii="Cambria Math" w:hAnsi="Cambria Math"/>
              </w:rPr>
            </m:ctrlPr>
          </m:sSubPr>
          <m:e>
            <m:r>
              <m:rPr>
                <m:sty m:val="p"/>
              </m:rPr>
              <w:rPr>
                <w:rFonts w:ascii="Cambria Math" w:hAnsi="Cambria Math"/>
              </w:rPr>
              <m:t>DF</m:t>
            </m:r>
          </m:e>
          <m:sub>
            <m:r>
              <m:rPr>
                <m:sty m:val="p"/>
              </m:rPr>
              <w:rPr>
                <w:rFonts w:ascii="Cambria Math" w:hAnsi="Cambria Math"/>
              </w:rPr>
              <m:t>i</m:t>
            </m:r>
          </m:sub>
        </m:sSub>
      </m:oMath>
      <w:r w:rsidR="004B55BB" w:rsidRPr="005174F9">
        <w:t xml:space="preserve"> is</w:t>
      </w:r>
      <w:r w:rsidR="004B55BB" w:rsidRPr="00DD0D8F">
        <w:t xml:space="preserve"> the decay factor for </w:t>
      </w:r>
      <w:r w:rsidR="004B55BB">
        <w:t xml:space="preserve">that measurement boundary in </w:t>
      </w:r>
      <w:r w:rsidR="004B55BB" w:rsidRPr="00DD0D8F">
        <w:t xml:space="preserve">year </w:t>
      </w:r>
      <m:oMath>
        <m:r>
          <m:rPr>
            <m:sty m:val="p"/>
          </m:rPr>
          <w:rPr>
            <w:rFonts w:ascii="Cambria Math" w:hAnsi="Cambria Math"/>
          </w:rPr>
          <m:t>i</m:t>
        </m:r>
      </m:oMath>
      <w:r w:rsidR="004B55BB">
        <w:t>; and</w:t>
      </w:r>
    </w:p>
    <w:p w14:paraId="618D0216" w14:textId="77777777" w:rsidR="004B55BB" w:rsidRPr="00DD0D8F" w:rsidRDefault="000013C2">
      <w:pPr>
        <w:pStyle w:val="ListNumber2"/>
        <w:numPr>
          <w:ilvl w:val="0"/>
          <w:numId w:val="41"/>
        </w:numPr>
        <w:ind w:left="680"/>
        <w:jc w:val="left"/>
      </w:pPr>
      <m:oMath>
        <m:r>
          <w:rPr>
            <w:rFonts w:ascii="Cambria Math" w:hAnsi="Cambria Math"/>
          </w:rPr>
          <m:t>BAF</m:t>
        </m:r>
      </m:oMath>
      <w:r w:rsidR="004B55BB">
        <w:t xml:space="preserve"> is the bias adjustment factor for the measurement boundary (if any).</w:t>
      </w:r>
    </w:p>
    <w:p w14:paraId="7995E9CB" w14:textId="77777777" w:rsidR="004B55BB" w:rsidRDefault="004B55BB" w:rsidP="004B55BB">
      <w:pPr>
        <w:rPr>
          <w:b/>
          <w:bCs/>
          <w:iCs/>
          <w:color w:val="201547" w:themeColor="text2"/>
          <w:kern w:val="20"/>
          <w:sz w:val="24"/>
          <w:szCs w:val="28"/>
        </w:rPr>
      </w:pPr>
    </w:p>
    <w:p w14:paraId="07370EDB" w14:textId="77777777" w:rsidR="004B55BB" w:rsidRDefault="004B55BB" w:rsidP="004B55BB">
      <w:pPr>
        <w:pStyle w:val="Heading3"/>
      </w:pPr>
      <w:r w:rsidRPr="00B420BE">
        <w:t>Energy</w:t>
      </w:r>
      <w:r>
        <w:t xml:space="preserve"> </w:t>
      </w:r>
      <w:r w:rsidRPr="00B420BE">
        <w:t xml:space="preserve">savings using annual creation </w:t>
      </w:r>
      <w:r>
        <w:t xml:space="preserve">or top up </w:t>
      </w:r>
      <w:r w:rsidRPr="00B420BE">
        <w:t xml:space="preserve">method </w:t>
      </w:r>
    </w:p>
    <w:p w14:paraId="66418FA5" w14:textId="5BEEDED2" w:rsidR="004B55BB" w:rsidRPr="00D33F43" w:rsidRDefault="004B55BB" w:rsidP="004B55BB">
      <w:pPr>
        <w:pStyle w:val="CaptionImageorFigure"/>
      </w:pPr>
      <w:r>
        <w:t xml:space="preserve">Equation </w:t>
      </w:r>
      <w:r w:rsidR="00A50B8C">
        <w:t>3</w:t>
      </w:r>
      <w:r>
        <w:t>.3</w:t>
      </w:r>
    </w:p>
    <w:p w14:paraId="7C308D98" w14:textId="77777777" w:rsidR="004B55BB" w:rsidRPr="0011740C" w:rsidRDefault="000013C2" w:rsidP="004B55BB">
      <w:pPr>
        <w:spacing w:line="360" w:lineRule="auto"/>
        <w:ind w:left="1701" w:hanging="567"/>
        <w:rPr>
          <w:sz w:val="24"/>
          <w:szCs w:val="24"/>
        </w:rPr>
      </w:pPr>
      <m:oMathPara>
        <m:oMathParaPr>
          <m:jc m:val="left"/>
        </m:oMathParaPr>
        <m:oMath>
          <m:r>
            <w:rPr>
              <w:rFonts w:ascii="Cambria Math" w:hAnsi="Cambria Math"/>
              <w:sz w:val="24"/>
              <w:szCs w:val="24"/>
            </w:rPr>
            <m:t>energy savings=measured annual energy savings×</m:t>
          </m:r>
        </m:oMath>
      </m:oMathPara>
    </w:p>
    <w:p w14:paraId="6DB50C8F" w14:textId="77777777" w:rsidR="004B55BB" w:rsidRPr="003D143A" w:rsidRDefault="00000000" w:rsidP="004B55BB">
      <w:pPr>
        <w:spacing w:line="360" w:lineRule="auto"/>
        <w:ind w:left="1701" w:hanging="567"/>
        <w:jc w:val="right"/>
        <w:rPr>
          <w:rFonts w:ascii="Times New Roman" w:hAnsi="Times New Roman"/>
          <w:sz w:val="24"/>
          <w:szCs w:val="24"/>
        </w:rPr>
      </w:pPr>
      <m:oMath>
        <m:sSup>
          <m:sSupPr>
            <m:ctrlPr>
              <w:rPr>
                <w:rFonts w:ascii="Cambria Math" w:hAnsi="Cambria Math" w:cstheme="minorHAnsi"/>
                <w:i/>
                <w:sz w:val="24"/>
                <w:szCs w:val="24"/>
              </w:rPr>
            </m:ctrlPr>
          </m:sSupPr>
          <m:e>
            <m:r>
              <w:rPr>
                <w:rFonts w:ascii="Cambria Math" w:hAnsi="Cambria Math" w:cstheme="minorHAnsi"/>
                <w:sz w:val="24"/>
                <w:szCs w:val="24"/>
              </w:rPr>
              <m:t>(AF×BAF)</m:t>
            </m:r>
          </m:e>
          <m:sup>
            <m:f>
              <m:fPr>
                <m:ctrlPr>
                  <w:rPr>
                    <w:rFonts w:ascii="Cambria Math" w:hAnsi="Cambria Math" w:cstheme="minorHAnsi"/>
                    <w:i/>
                    <w:sz w:val="24"/>
                    <w:szCs w:val="24"/>
                  </w:rPr>
                </m:ctrlPr>
              </m:fPr>
              <m:num>
                <m:r>
                  <w:rPr>
                    <w:rFonts w:ascii="Cambria Math" w:hAnsi="Cambria Math" w:cstheme="minorHAnsi"/>
                    <w:sz w:val="24"/>
                    <w:szCs w:val="24"/>
                  </w:rPr>
                  <m:t>measured annual energy  savings</m:t>
                </m:r>
              </m:num>
              <m:den>
                <m:r>
                  <w:rPr>
                    <w:rFonts w:ascii="Cambria Math" w:hAnsi="Cambria Math" w:cstheme="minorHAnsi"/>
                    <w:sz w:val="24"/>
                    <w:szCs w:val="24"/>
                  </w:rPr>
                  <m:t>|measured annual energy savings|</m:t>
                </m:r>
              </m:den>
            </m:f>
          </m:sup>
        </m:sSup>
        <m:r>
          <w:rPr>
            <w:rFonts w:ascii="Cambria Math" w:hAnsi="Cambria Math"/>
            <w:sz w:val="24"/>
            <w:szCs w:val="24"/>
          </w:rPr>
          <m:t xml:space="preserve">±previous energy savings </m:t>
        </m:r>
      </m:oMath>
      <w:r w:rsidR="004B55BB" w:rsidRPr="003D143A">
        <w:rPr>
          <w:rFonts w:ascii="Times New Roman" w:hAnsi="Times New Roman"/>
          <w:sz w:val="24"/>
          <w:szCs w:val="24"/>
        </w:rPr>
        <w:t xml:space="preserve"> </w:t>
      </w:r>
    </w:p>
    <w:p w14:paraId="55AFAC08" w14:textId="77777777" w:rsidR="004B55BB" w:rsidRPr="003D143A" w:rsidRDefault="004B55BB" w:rsidP="004B55BB">
      <w:pPr>
        <w:pStyle w:val="BodyText"/>
      </w:pPr>
      <w:r w:rsidRPr="003D143A">
        <w:t>where:</w:t>
      </w:r>
    </w:p>
    <w:p w14:paraId="4F677FE7" w14:textId="4374AF3B" w:rsidR="004B55BB" w:rsidRPr="0008292E" w:rsidRDefault="004B55BB" w:rsidP="004B55BB">
      <w:pPr>
        <w:pStyle w:val="ListNumber2"/>
        <w:numPr>
          <w:ilvl w:val="0"/>
          <w:numId w:val="24"/>
        </w:numPr>
        <w:jc w:val="left"/>
      </w:pPr>
      <w:r w:rsidRPr="009E7AE4">
        <w:rPr>
          <w:i/>
        </w:rPr>
        <w:t>measured annual energy savings</w:t>
      </w:r>
      <w:r w:rsidRPr="0008292E">
        <w:t xml:space="preserve"> is calculated </w:t>
      </w:r>
      <w:r>
        <w:t>per measurement boundary</w:t>
      </w:r>
      <w:r w:rsidRPr="0008292E">
        <w:t xml:space="preserve"> using Equation </w:t>
      </w:r>
      <w:r w:rsidR="00AD1CCC">
        <w:t>3</w:t>
      </w:r>
      <w:r>
        <w:t>.</w:t>
      </w:r>
      <w:r w:rsidRPr="0008292E">
        <w:t>5</w:t>
      </w:r>
      <w:r>
        <w:t>;</w:t>
      </w:r>
    </w:p>
    <w:p w14:paraId="50A2A851" w14:textId="322903C0" w:rsidR="004B55BB" w:rsidRDefault="004B55BB" w:rsidP="004B55BB">
      <w:pPr>
        <w:pStyle w:val="ListNumber2"/>
        <w:numPr>
          <w:ilvl w:val="0"/>
          <w:numId w:val="24"/>
        </w:numPr>
        <w:jc w:val="left"/>
      </w:pPr>
      <w:r w:rsidRPr="005174F9">
        <w:rPr>
          <w:i/>
        </w:rPr>
        <w:t>AF</w:t>
      </w:r>
      <w:r w:rsidRPr="005174F9">
        <w:t xml:space="preserve"> is the accuracy factor </w:t>
      </w:r>
      <w:r>
        <w:t xml:space="preserve">for the measurement boundary </w:t>
      </w:r>
      <w:r w:rsidRPr="005174F9">
        <w:t xml:space="preserve">determined using Table </w:t>
      </w:r>
      <w:r w:rsidR="00AD1CCC">
        <w:t>3</w:t>
      </w:r>
      <w:r>
        <w:t>.</w:t>
      </w:r>
      <w:r w:rsidRPr="005174F9">
        <w:t>1, where the relative precision means the relative precision of the measured savings at 90% confidence level</w:t>
      </w:r>
      <w:r>
        <w:t>;</w:t>
      </w:r>
    </w:p>
    <w:p w14:paraId="0B201EBE" w14:textId="77777777" w:rsidR="004B55BB" w:rsidRPr="005174F9" w:rsidRDefault="004B55BB" w:rsidP="004B55BB">
      <w:pPr>
        <w:pStyle w:val="ListNumber2"/>
        <w:numPr>
          <w:ilvl w:val="0"/>
          <w:numId w:val="24"/>
        </w:numPr>
        <w:ind w:left="680"/>
        <w:jc w:val="left"/>
      </w:pPr>
      <w:r>
        <w:rPr>
          <w:i/>
        </w:rPr>
        <w:t>BAF</w:t>
      </w:r>
      <w:r w:rsidRPr="0011740C">
        <w:rPr>
          <w:iCs/>
        </w:rPr>
        <w:t xml:space="preserve"> is </w:t>
      </w:r>
      <w:r>
        <w:rPr>
          <w:iCs/>
        </w:rPr>
        <w:t>the bias adjustment factor for the measurement boundary (if any); and</w:t>
      </w:r>
    </w:p>
    <w:p w14:paraId="6A482767" w14:textId="77777777" w:rsidR="004B55BB" w:rsidRDefault="004B55BB" w:rsidP="004B55BB">
      <w:pPr>
        <w:pStyle w:val="ListNumber2"/>
        <w:numPr>
          <w:ilvl w:val="0"/>
          <w:numId w:val="24"/>
        </w:numPr>
        <w:ind w:left="680"/>
        <w:jc w:val="left"/>
      </w:pPr>
      <w:r w:rsidRPr="005174F9">
        <w:rPr>
          <w:i/>
        </w:rPr>
        <w:t>previous energy savings</w:t>
      </w:r>
      <w:r w:rsidRPr="005174F9">
        <w:t xml:space="preserve"> is the total amount of energy savings calculated using this equation for the previous reporting period </w:t>
      </w:r>
      <w:r>
        <w:t xml:space="preserve">of that measurement boundary </w:t>
      </w:r>
      <w:r w:rsidRPr="005174F9">
        <w:t>(if any), including negative energy savings (if any)</w:t>
      </w:r>
      <w:r>
        <w:t>.</w:t>
      </w:r>
    </w:p>
    <w:p w14:paraId="6D1C8616" w14:textId="77777777" w:rsidR="004B55BB" w:rsidRPr="005174F9" w:rsidRDefault="004B55BB" w:rsidP="004B55BB">
      <w:pPr>
        <w:pStyle w:val="ListNumber2"/>
        <w:ind w:left="1060" w:hanging="360"/>
      </w:pPr>
    </w:p>
    <w:p w14:paraId="7A50FADE" w14:textId="77777777" w:rsidR="004B55BB" w:rsidRDefault="004B55BB" w:rsidP="004B55BB">
      <w:pPr>
        <w:pStyle w:val="Heading3"/>
      </w:pPr>
      <w:r w:rsidRPr="00D3671F">
        <w:lastRenderedPageBreak/>
        <w:t>Normal year energy savings</w:t>
      </w:r>
    </w:p>
    <w:p w14:paraId="0FB500AD" w14:textId="2B003E4A" w:rsidR="004B55BB" w:rsidRPr="00D33F43" w:rsidRDefault="004B55BB" w:rsidP="004B55BB">
      <w:pPr>
        <w:pStyle w:val="CaptionImageorFigure"/>
      </w:pPr>
      <w:r>
        <w:t xml:space="preserve">Equation </w:t>
      </w:r>
      <w:r w:rsidR="00AD1CCC">
        <w:t>3</w:t>
      </w:r>
      <w:r>
        <w:t>.4</w:t>
      </w:r>
    </w:p>
    <w:p w14:paraId="2DE7A139" w14:textId="77777777" w:rsidR="004B55BB" w:rsidRPr="003D143A" w:rsidRDefault="000013C2" w:rsidP="004B55BB">
      <w:pPr>
        <w:spacing w:line="360" w:lineRule="auto"/>
        <w:rPr>
          <w:rFonts w:ascii="Times New Roman" w:eastAsiaTheme="minorEastAsia" w:hAnsi="Times New Roman"/>
          <w:sz w:val="24"/>
          <w:szCs w:val="24"/>
        </w:rPr>
      </w:pPr>
      <m:oMathPara>
        <m:oMath>
          <m:r>
            <w:rPr>
              <w:rFonts w:ascii="Cambria Math" w:hAnsi="Cambria Math"/>
              <w:sz w:val="24"/>
              <w:szCs w:val="24"/>
            </w:rPr>
            <m:t>normal year savings=</m:t>
          </m:r>
          <m:nary>
            <m:naryPr>
              <m:chr m:val="∑"/>
              <m:limLoc m:val="subSup"/>
              <m:supHide m:val="1"/>
              <m:ctrlPr>
                <w:rPr>
                  <w:rFonts w:ascii="Cambria Math" w:hAnsi="Cambria Math"/>
                  <w:i/>
                  <w:sz w:val="24"/>
                  <w:szCs w:val="24"/>
                </w:rPr>
              </m:ctrlPr>
            </m:naryPr>
            <m:sub>
              <m:r>
                <w:rPr>
                  <w:rFonts w:ascii="Cambria Math" w:hAnsi="Cambria Math"/>
                  <w:sz w:val="24"/>
                  <w:szCs w:val="24"/>
                </w:rPr>
                <m:t>t</m:t>
              </m:r>
            </m:sub>
            <m:sup/>
            <m:e>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BM,t</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OM,t</m:t>
                  </m:r>
                </m:sub>
              </m:sSub>
              <m:r>
                <w:rPr>
                  <w:rFonts w:ascii="Cambria Math"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ERAF</m:t>
                  </m:r>
                </m:e>
                <m:sub>
                  <m:r>
                    <w:rPr>
                      <w:rFonts w:ascii="Cambria Math" w:eastAsiaTheme="minorEastAsia" w:hAnsi="Cambria Math"/>
                      <w:sz w:val="24"/>
                      <w:szCs w:val="24"/>
                    </w:rPr>
                    <m:t>t</m:t>
                  </m:r>
                </m:sub>
              </m:sSub>
              <m:r>
                <w:rPr>
                  <w:rFonts w:ascii="Cambria Math" w:hAnsi="Cambria Math"/>
                  <w:sz w:val="24"/>
                  <w:szCs w:val="24"/>
                </w:rPr>
                <m:t>+</m:t>
              </m:r>
            </m:e>
          </m:nary>
          <m:sSub>
            <m:sSubPr>
              <m:ctrlPr>
                <w:rPr>
                  <w:rFonts w:ascii="Cambria Math" w:eastAsiaTheme="minorEastAsia" w:hAnsi="Cambria Math"/>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int</m:t>
              </m:r>
            </m:sub>
          </m:sSub>
        </m:oMath>
      </m:oMathPara>
    </w:p>
    <w:p w14:paraId="2A20E046" w14:textId="77777777" w:rsidR="004B55BB" w:rsidRPr="003D143A" w:rsidRDefault="004B55BB" w:rsidP="004B55BB">
      <w:pPr>
        <w:pStyle w:val="BodyText"/>
        <w:rPr>
          <w:rFonts w:eastAsiaTheme="minorEastAsia"/>
        </w:rPr>
      </w:pPr>
      <w:r w:rsidRPr="003D143A">
        <w:rPr>
          <w:rFonts w:eastAsiaTheme="minorEastAsia"/>
        </w:rPr>
        <w:t>where:</w:t>
      </w:r>
    </w:p>
    <w:p w14:paraId="4A48ABBB" w14:textId="77777777" w:rsidR="004B55BB" w:rsidRPr="009F77A4" w:rsidRDefault="000013C2">
      <w:pPr>
        <w:pStyle w:val="ListNumber2"/>
        <w:numPr>
          <w:ilvl w:val="0"/>
          <w:numId w:val="42"/>
        </w:numPr>
        <w:jc w:val="left"/>
        <w:rPr>
          <w:rFonts w:cstheme="minorHAnsi"/>
        </w:rPr>
      </w:pPr>
      <m:oMath>
        <m:r>
          <w:rPr>
            <w:rFonts w:ascii="Cambria Math" w:hAnsi="Cambria Math" w:cstheme="minorHAnsi"/>
          </w:rPr>
          <m:t>t</m:t>
        </m:r>
      </m:oMath>
      <w:r w:rsidR="004B55BB" w:rsidRPr="009F77A4">
        <w:rPr>
          <w:rFonts w:cstheme="minorHAnsi"/>
        </w:rPr>
        <w:t xml:space="preserve"> is an eligible time interval in the normal year</w:t>
      </w:r>
      <w:r w:rsidR="004B55BB">
        <w:rPr>
          <w:rFonts w:cstheme="minorHAnsi"/>
        </w:rPr>
        <w:t xml:space="preserve"> of that measurement boundary;</w:t>
      </w:r>
    </w:p>
    <w:p w14:paraId="60F0F7A7" w14:textId="77777777" w:rsidR="004B55BB" w:rsidRDefault="00000000">
      <w:pPr>
        <w:pStyle w:val="ListNumber2"/>
        <w:numPr>
          <w:ilvl w:val="0"/>
          <w:numId w:val="42"/>
        </w:numPr>
        <w:jc w:val="left"/>
      </w:pPr>
      <m:oMath>
        <m:sSub>
          <m:sSubPr>
            <m:ctrlPr>
              <w:rPr>
                <w:rFonts w:ascii="Cambria Math" w:hAnsi="Cambria Math"/>
                <w:i/>
              </w:rPr>
            </m:ctrlPr>
          </m:sSubPr>
          <m:e>
            <m:r>
              <w:rPr>
                <w:rFonts w:ascii="Cambria Math" w:hAnsi="Cambria Math"/>
              </w:rPr>
              <m:t>E</m:t>
            </m:r>
          </m:e>
          <m:sub>
            <m:r>
              <w:rPr>
                <w:rFonts w:ascii="Cambria Math" w:hAnsi="Cambria Math"/>
              </w:rPr>
              <m:t>BM,t</m:t>
            </m:r>
          </m:sub>
        </m:sSub>
      </m:oMath>
      <w:r w:rsidR="004B55BB" w:rsidRPr="00027054">
        <w:t xml:space="preserve"> is the energy consumption for </w:t>
      </w:r>
      <m:oMath>
        <m:r>
          <w:rPr>
            <w:rFonts w:ascii="Cambria Math" w:hAnsi="Cambria Math" w:cstheme="minorHAnsi"/>
          </w:rPr>
          <m:t>t</m:t>
        </m:r>
      </m:oMath>
      <w:r w:rsidR="004B55BB" w:rsidRPr="00027054">
        <w:t xml:space="preserve"> from the baseline model</w:t>
      </w:r>
      <w:r w:rsidR="004B55BB">
        <w:t xml:space="preserve"> of that measurement boundary;</w:t>
      </w:r>
      <w:r w:rsidR="004B55BB" w:rsidRPr="00027054">
        <w:t xml:space="preserve"> </w:t>
      </w:r>
    </w:p>
    <w:p w14:paraId="1759AFE4" w14:textId="77777777" w:rsidR="004B55BB" w:rsidRDefault="00000000">
      <w:pPr>
        <w:pStyle w:val="ListNumber2"/>
        <w:numPr>
          <w:ilvl w:val="0"/>
          <w:numId w:val="43"/>
        </w:numPr>
        <w:jc w:val="left"/>
      </w:pPr>
      <m:oMath>
        <m:sSub>
          <m:sSubPr>
            <m:ctrlPr>
              <w:rPr>
                <w:rFonts w:ascii="Cambria Math" w:hAnsi="Cambria Math"/>
                <w:i/>
              </w:rPr>
            </m:ctrlPr>
          </m:sSubPr>
          <m:e>
            <m:r>
              <w:rPr>
                <w:rFonts w:ascii="Cambria Math" w:hAnsi="Cambria Math"/>
              </w:rPr>
              <m:t>E</m:t>
            </m:r>
          </m:e>
          <m:sub>
            <m:r>
              <w:rPr>
                <w:rFonts w:ascii="Cambria Math" w:hAnsi="Cambria Math"/>
              </w:rPr>
              <m:t>OM,t</m:t>
            </m:r>
          </m:sub>
        </m:sSub>
      </m:oMath>
      <w:r w:rsidR="004B55BB" w:rsidRPr="00027054">
        <w:t xml:space="preserve"> is the energy consumption for </w:t>
      </w:r>
      <m:oMath>
        <m:r>
          <w:rPr>
            <w:rFonts w:ascii="Cambria Math" w:hAnsi="Cambria Math" w:cstheme="minorHAnsi"/>
          </w:rPr>
          <m:t>t</m:t>
        </m:r>
      </m:oMath>
      <w:r w:rsidR="004B55BB" w:rsidRPr="00027054">
        <w:t xml:space="preserve"> from the operating model</w:t>
      </w:r>
      <w:r w:rsidR="004B55BB">
        <w:t xml:space="preserve"> of that measurement boundary;</w:t>
      </w:r>
    </w:p>
    <w:p w14:paraId="66BD78B8" w14:textId="598472A0" w:rsidR="004B55BB" w:rsidRDefault="00000000">
      <w:pPr>
        <w:pStyle w:val="ListNumber2"/>
        <w:numPr>
          <w:ilvl w:val="0"/>
          <w:numId w:val="43"/>
        </w:numPr>
        <w:jc w:val="left"/>
      </w:pPr>
      <m:oMath>
        <m:sSub>
          <m:sSubPr>
            <m:ctrlPr>
              <w:rPr>
                <w:rFonts w:ascii="Cambria Math" w:hAnsi="Cambria Math"/>
                <w:i/>
              </w:rPr>
            </m:ctrlPr>
          </m:sSubPr>
          <m:e>
            <m:r>
              <w:rPr>
                <w:rFonts w:ascii="Cambria Math" w:hAnsi="Cambria Math"/>
              </w:rPr>
              <m:t>ERAF</m:t>
            </m:r>
          </m:e>
          <m:sub>
            <m:r>
              <w:rPr>
                <w:rFonts w:ascii="Cambria Math" w:hAnsi="Cambria Math"/>
              </w:rPr>
              <m:t>t</m:t>
            </m:r>
          </m:sub>
        </m:sSub>
      </m:oMath>
      <w:r w:rsidR="004B55BB">
        <w:t xml:space="preserve"> is the e</w:t>
      </w:r>
      <w:r w:rsidR="00723821">
        <w:t>ffective</w:t>
      </w:r>
      <w:r w:rsidR="004B55BB">
        <w:t xml:space="preserve"> range adjustment factor for </w:t>
      </w:r>
      <w:r w:rsidR="004B55BB" w:rsidRPr="00B76493">
        <w:rPr>
          <w:i/>
          <w:iCs/>
        </w:rPr>
        <w:t>t</w:t>
      </w:r>
      <w:r w:rsidR="004B55BB">
        <w:t xml:space="preserve"> of that measurement boundary; and</w:t>
      </w:r>
    </w:p>
    <w:p w14:paraId="0DCD2235" w14:textId="77777777" w:rsidR="004B55BB" w:rsidRDefault="00000000">
      <w:pPr>
        <w:pStyle w:val="ListNumber2"/>
        <w:numPr>
          <w:ilvl w:val="0"/>
          <w:numId w:val="43"/>
        </w:numPr>
        <w:jc w:val="left"/>
      </w:pPr>
      <m:oMath>
        <m:sSub>
          <m:sSubPr>
            <m:ctrlPr>
              <w:rPr>
                <w:rFonts w:ascii="Cambria Math" w:hAnsi="Cambria Math"/>
                <w:i/>
              </w:rPr>
            </m:ctrlPr>
          </m:sSubPr>
          <m:e>
            <m:r>
              <w:rPr>
                <w:rFonts w:ascii="Cambria Math" w:hAnsi="Cambria Math"/>
              </w:rPr>
              <m:t>E</m:t>
            </m:r>
          </m:e>
          <m:sub>
            <m:r>
              <w:rPr>
                <w:rFonts w:ascii="Cambria Math" w:hAnsi="Cambria Math"/>
              </w:rPr>
              <m:t>int</m:t>
            </m:r>
          </m:sub>
        </m:sSub>
      </m:oMath>
      <w:r w:rsidR="004B55BB" w:rsidRPr="00027054">
        <w:t xml:space="preserve"> is the total interactive energy savings </w:t>
      </w:r>
      <w:r w:rsidR="004B55BB">
        <w:t>of</w:t>
      </w:r>
      <w:r w:rsidR="004B55BB" w:rsidRPr="00027054">
        <w:t xml:space="preserve"> the </w:t>
      </w:r>
      <w:r w:rsidR="004B55BB">
        <w:t>measurement boundary</w:t>
      </w:r>
      <w:r w:rsidR="004B55BB" w:rsidRPr="00027054">
        <w:t xml:space="preserve"> in the normal year</w:t>
      </w:r>
      <w:r w:rsidR="004B55BB" w:rsidRPr="00DC1EB0">
        <w:t>.</w:t>
      </w:r>
    </w:p>
    <w:p w14:paraId="11A60C4B" w14:textId="77777777" w:rsidR="004B55BB" w:rsidRDefault="004B55BB" w:rsidP="004B55BB">
      <w:pPr>
        <w:spacing w:line="360" w:lineRule="auto"/>
        <w:rPr>
          <w:rFonts w:ascii="Times New Roman" w:hAnsi="Times New Roman"/>
          <w:b/>
          <w:sz w:val="24"/>
          <w:szCs w:val="24"/>
        </w:rPr>
      </w:pPr>
    </w:p>
    <w:p w14:paraId="2A326633" w14:textId="77777777" w:rsidR="004B55BB" w:rsidRDefault="004B55BB" w:rsidP="004B55BB">
      <w:pPr>
        <w:pStyle w:val="Heading3"/>
      </w:pPr>
      <w:r>
        <w:t>Measured annual energy savings</w:t>
      </w:r>
      <w:r w:rsidRPr="00B420BE">
        <w:t xml:space="preserve"> </w:t>
      </w:r>
    </w:p>
    <w:p w14:paraId="6A877AE8" w14:textId="416A8887" w:rsidR="004B55BB" w:rsidRPr="00D33F43" w:rsidRDefault="004B55BB" w:rsidP="004B55BB">
      <w:pPr>
        <w:pStyle w:val="CaptionImageorFigure"/>
      </w:pPr>
      <w:r>
        <w:t xml:space="preserve">Equation </w:t>
      </w:r>
      <w:r w:rsidR="008A6A98">
        <w:t>3</w:t>
      </w:r>
      <w:r>
        <w:t>.5</w:t>
      </w:r>
    </w:p>
    <w:p w14:paraId="6A8301F3" w14:textId="02A968C3" w:rsidR="004B55BB" w:rsidRPr="003D143A" w:rsidRDefault="00001628" w:rsidP="004B55BB">
      <w:pPr>
        <w:spacing w:line="360" w:lineRule="auto"/>
        <w:ind w:left="360"/>
        <w:rPr>
          <w:rFonts w:ascii="Times New Roman" w:hAnsi="Times New Roman"/>
          <w:sz w:val="24"/>
          <w:szCs w:val="24"/>
        </w:rPr>
      </w:pPr>
      <m:oMathPara>
        <m:oMath>
          <m:r>
            <w:rPr>
              <w:rFonts w:ascii="Cambria Math" w:hAnsi="Cambria Math"/>
              <w:sz w:val="24"/>
              <w:szCs w:val="24"/>
            </w:rPr>
            <m:t>measured annual energy savings=</m:t>
          </m:r>
          <m:nary>
            <m:naryPr>
              <m:chr m:val="∑"/>
              <m:limLoc m:val="subSup"/>
              <m:supHide m:val="1"/>
              <m:ctrlPr>
                <w:rPr>
                  <w:rFonts w:ascii="Cambria Math" w:hAnsi="Cambria Math"/>
                  <w:i/>
                  <w:sz w:val="24"/>
                  <w:szCs w:val="24"/>
                </w:rPr>
              </m:ctrlPr>
            </m:naryPr>
            <m:sub>
              <m:r>
                <w:rPr>
                  <w:rFonts w:ascii="Cambria Math" w:hAnsi="Cambria Math"/>
                  <w:sz w:val="24"/>
                  <w:szCs w:val="24"/>
                </w:rPr>
                <m:t>t</m:t>
              </m:r>
            </m:sub>
            <m:sup/>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BM,t</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meas,t</m:t>
                      </m:r>
                    </m:sub>
                  </m:sSub>
                </m:e>
              </m:d>
              <m:r>
                <w:rPr>
                  <w:rFonts w:ascii="Cambria Math" w:hAnsi="Cambria Math"/>
                  <w:sz w:val="24"/>
                  <w:szCs w:val="24"/>
                </w:rPr>
                <m:t>ERAF+</m:t>
              </m:r>
              <m:sSub>
                <m:sSubPr>
                  <m:ctrlPr>
                    <w:rPr>
                      <w:rFonts w:ascii="Cambria Math" w:eastAsiaTheme="minorEastAsia" w:hAnsi="Cambria Math"/>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int</m:t>
                  </m:r>
                </m:sub>
              </m:sSub>
            </m:e>
          </m:nary>
        </m:oMath>
      </m:oMathPara>
    </w:p>
    <w:p w14:paraId="3EEEC828" w14:textId="77777777" w:rsidR="004B55BB" w:rsidRPr="003D143A" w:rsidRDefault="004B55BB" w:rsidP="004B55BB">
      <w:pPr>
        <w:pStyle w:val="BodyText"/>
      </w:pPr>
      <w:r w:rsidRPr="003D143A">
        <w:t>where:</w:t>
      </w:r>
    </w:p>
    <w:p w14:paraId="69816A30" w14:textId="77777777" w:rsidR="004B55BB" w:rsidRDefault="000013C2">
      <w:pPr>
        <w:pStyle w:val="ListNumber2"/>
        <w:numPr>
          <w:ilvl w:val="0"/>
          <w:numId w:val="52"/>
        </w:numPr>
        <w:jc w:val="left"/>
      </w:pPr>
      <m:oMath>
        <m:r>
          <w:rPr>
            <w:rFonts w:ascii="Cambria Math" w:eastAsiaTheme="minorEastAsia" w:hAnsi="Cambria Math"/>
          </w:rPr>
          <m:t>t</m:t>
        </m:r>
      </m:oMath>
      <w:r w:rsidR="004B55BB" w:rsidRPr="0008292E">
        <w:t xml:space="preserve"> is an eligible time interval in the reporting period</w:t>
      </w:r>
      <w:r w:rsidR="004B55BB">
        <w:t xml:space="preserve"> of that measurement boundary;</w:t>
      </w:r>
    </w:p>
    <w:p w14:paraId="24D3B477" w14:textId="77777777" w:rsidR="004B55BB" w:rsidRDefault="00000000">
      <w:pPr>
        <w:pStyle w:val="ListNumber2"/>
        <w:numPr>
          <w:ilvl w:val="0"/>
          <w:numId w:val="52"/>
        </w:numPr>
        <w:jc w:val="left"/>
      </w:pPr>
      <m:oMath>
        <m:sSub>
          <m:sSubPr>
            <m:ctrlPr>
              <w:rPr>
                <w:rFonts w:ascii="Cambria Math" w:hAnsi="Cambria Math"/>
                <w:i/>
              </w:rPr>
            </m:ctrlPr>
          </m:sSubPr>
          <m:e>
            <m:r>
              <w:rPr>
                <w:rFonts w:ascii="Cambria Math" w:hAnsi="Cambria Math"/>
              </w:rPr>
              <m:t>E</m:t>
            </m:r>
          </m:e>
          <m:sub>
            <m:r>
              <w:rPr>
                <w:rFonts w:ascii="Cambria Math" w:hAnsi="Cambria Math"/>
              </w:rPr>
              <m:t>BM,t</m:t>
            </m:r>
          </m:sub>
        </m:sSub>
      </m:oMath>
      <w:r w:rsidR="004B55BB" w:rsidRPr="00227AB5">
        <w:rPr>
          <w:rFonts w:eastAsiaTheme="minorEastAsia"/>
        </w:rPr>
        <w:t xml:space="preserve"> is the energy consumption for </w:t>
      </w:r>
      <w:r w:rsidR="004B55BB" w:rsidRPr="00227AB5">
        <w:rPr>
          <w:rFonts w:eastAsiaTheme="minorEastAsia"/>
          <w:i/>
        </w:rPr>
        <w:t>t</w:t>
      </w:r>
      <w:r w:rsidR="004B55BB" w:rsidRPr="00227AB5">
        <w:rPr>
          <w:rFonts w:eastAsiaTheme="minorEastAsia"/>
        </w:rPr>
        <w:t xml:space="preserve"> from the baseline model </w:t>
      </w:r>
      <w:r w:rsidR="004B55BB">
        <w:rPr>
          <w:rFonts w:eastAsiaTheme="minorEastAsia"/>
        </w:rPr>
        <w:t>of</w:t>
      </w:r>
      <w:r w:rsidR="004B55BB" w:rsidRPr="00227AB5">
        <w:rPr>
          <w:rFonts w:eastAsiaTheme="minorEastAsia"/>
        </w:rPr>
        <w:t xml:space="preserve"> that </w:t>
      </w:r>
      <w:r w:rsidR="004B55BB">
        <w:t>measurement boundary</w:t>
      </w:r>
      <w:r w:rsidR="004B55BB">
        <w:rPr>
          <w:rFonts w:eastAsiaTheme="minorEastAsia"/>
        </w:rPr>
        <w:t>;</w:t>
      </w:r>
    </w:p>
    <w:p w14:paraId="68BF0AD3" w14:textId="1846EDC0" w:rsidR="004B55BB" w:rsidRDefault="00000000">
      <w:pPr>
        <w:pStyle w:val="ListNumber2"/>
        <w:numPr>
          <w:ilvl w:val="0"/>
          <w:numId w:val="52"/>
        </w:numPr>
        <w:jc w:val="left"/>
      </w:pPr>
      <m:oMath>
        <m:sSub>
          <m:sSubPr>
            <m:ctrlPr>
              <w:rPr>
                <w:rFonts w:ascii="Cambria Math" w:hAnsi="Cambria Math"/>
                <w:i/>
              </w:rPr>
            </m:ctrlPr>
          </m:sSubPr>
          <m:e>
            <m:r>
              <w:rPr>
                <w:rFonts w:ascii="Cambria Math" w:hAnsi="Cambria Math"/>
              </w:rPr>
              <m:t>E</m:t>
            </m:r>
          </m:e>
          <m:sub>
            <m:r>
              <w:rPr>
                <w:rFonts w:ascii="Cambria Math" w:hAnsi="Cambria Math"/>
              </w:rPr>
              <m:t>meas,t</m:t>
            </m:r>
          </m:sub>
        </m:sSub>
      </m:oMath>
      <w:r w:rsidR="004B55BB" w:rsidRPr="00227AB5">
        <w:rPr>
          <w:rFonts w:eastAsiaTheme="minorEastAsia"/>
        </w:rPr>
        <w:t xml:space="preserve"> is the measured energy consumption for </w:t>
      </w:r>
      <w:r w:rsidR="004B55BB" w:rsidRPr="00227AB5">
        <w:rPr>
          <w:rFonts w:eastAsiaTheme="minorEastAsia"/>
          <w:i/>
        </w:rPr>
        <w:t xml:space="preserve">t </w:t>
      </w:r>
      <w:r w:rsidR="004B55BB" w:rsidRPr="00227AB5">
        <w:rPr>
          <w:rFonts w:eastAsiaTheme="minorEastAsia"/>
        </w:rPr>
        <w:t xml:space="preserve">at that </w:t>
      </w:r>
      <w:r w:rsidR="004B55BB">
        <w:t>measurement boundary</w:t>
      </w:r>
      <w:r w:rsidR="004B55BB">
        <w:rPr>
          <w:rFonts w:eastAsiaTheme="minorEastAsia"/>
        </w:rPr>
        <w:t>;</w:t>
      </w:r>
    </w:p>
    <w:p w14:paraId="040F3971" w14:textId="68E6447C" w:rsidR="004B55BB" w:rsidRDefault="00000000">
      <w:pPr>
        <w:pStyle w:val="ListNumber2"/>
        <w:numPr>
          <w:ilvl w:val="0"/>
          <w:numId w:val="52"/>
        </w:numPr>
        <w:jc w:val="left"/>
      </w:pPr>
      <m:oMath>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int</m:t>
            </m:r>
          </m:sub>
        </m:sSub>
      </m:oMath>
      <w:r w:rsidR="004B55BB" w:rsidRPr="00227AB5">
        <w:rPr>
          <w:rFonts w:eastAsiaTheme="minorEastAsia"/>
        </w:rPr>
        <w:t xml:space="preserve"> is the total interactive energy savings </w:t>
      </w:r>
      <w:r w:rsidR="004B55BB">
        <w:rPr>
          <w:rFonts w:eastAsiaTheme="minorEastAsia"/>
        </w:rPr>
        <w:t>of</w:t>
      </w:r>
      <w:r w:rsidR="004B55BB" w:rsidRPr="00227AB5">
        <w:rPr>
          <w:rFonts w:eastAsiaTheme="minorEastAsia"/>
        </w:rPr>
        <w:t xml:space="preserve"> the </w:t>
      </w:r>
      <w:r w:rsidR="004B55BB">
        <w:t>measurement boundary</w:t>
      </w:r>
      <w:r w:rsidR="004B55BB" w:rsidRPr="00227AB5">
        <w:rPr>
          <w:rFonts w:eastAsiaTheme="minorEastAsia"/>
        </w:rPr>
        <w:t xml:space="preserve"> in the reporting period</w:t>
      </w:r>
      <w:r w:rsidR="00662758">
        <w:t>; and</w:t>
      </w:r>
    </w:p>
    <w:p w14:paraId="571B5008" w14:textId="7D94485F" w:rsidR="004B55BB" w:rsidRPr="00DC1EB0" w:rsidRDefault="00000000">
      <w:pPr>
        <w:pStyle w:val="ListNumber2"/>
        <w:numPr>
          <w:ilvl w:val="0"/>
          <w:numId w:val="52"/>
        </w:numPr>
        <w:jc w:val="left"/>
      </w:pPr>
      <m:oMath>
        <m:sSub>
          <m:sSubPr>
            <m:ctrlPr>
              <w:rPr>
                <w:rFonts w:ascii="Cambria Math" w:hAnsi="Cambria Math"/>
                <w:i/>
              </w:rPr>
            </m:ctrlPr>
          </m:sSubPr>
          <m:e>
            <m:r>
              <w:rPr>
                <w:rFonts w:ascii="Cambria Math" w:hAnsi="Cambria Math"/>
              </w:rPr>
              <m:t>ERAF</m:t>
            </m:r>
          </m:e>
          <m:sub>
            <m:r>
              <w:rPr>
                <w:rFonts w:ascii="Cambria Math" w:hAnsi="Cambria Math"/>
              </w:rPr>
              <m:t>t</m:t>
            </m:r>
          </m:sub>
        </m:sSub>
      </m:oMath>
      <w:r w:rsidR="00662758">
        <w:t xml:space="preserve"> is the effective range adjustment factor for </w:t>
      </w:r>
      <w:r w:rsidR="00662758" w:rsidRPr="00B76493">
        <w:rPr>
          <w:i/>
          <w:iCs/>
        </w:rPr>
        <w:t>t</w:t>
      </w:r>
      <w:r w:rsidR="00662758">
        <w:t xml:space="preserve"> from the baseline model of that measurement boundary</w:t>
      </w:r>
      <w:r w:rsidR="00B22471">
        <w:t>.</w:t>
      </w:r>
    </w:p>
    <w:p w14:paraId="4DDA34A6" w14:textId="77777777" w:rsidR="004B55BB" w:rsidRPr="00003F94" w:rsidRDefault="004B55BB" w:rsidP="004B55BB">
      <w:pPr>
        <w:pStyle w:val="ListNumber2"/>
        <w:ind w:left="1060" w:hanging="360"/>
        <w:rPr>
          <w:kern w:val="32"/>
        </w:rPr>
      </w:pPr>
    </w:p>
    <w:p w14:paraId="472293CE" w14:textId="77777777" w:rsidR="004B55BB" w:rsidRPr="00050253" w:rsidRDefault="004B55BB" w:rsidP="004B55BB">
      <w:pPr>
        <w:pStyle w:val="Heading2"/>
      </w:pPr>
      <w:bookmarkStart w:id="100" w:name="_Toc232605527"/>
      <w:r>
        <w:t>Variables</w:t>
      </w:r>
      <w:bookmarkEnd w:id="100"/>
    </w:p>
    <w:p w14:paraId="148D14F7" w14:textId="77777777" w:rsidR="004B55BB" w:rsidRPr="00050253" w:rsidRDefault="004B55BB" w:rsidP="004B55BB">
      <w:pPr>
        <w:pStyle w:val="Heading3"/>
      </w:pPr>
      <w:r>
        <w:t>Measurement boundary</w:t>
      </w:r>
    </w:p>
    <w:p w14:paraId="0369F404" w14:textId="77777777" w:rsidR="004B55BB" w:rsidRDefault="004B55BB" w:rsidP="004B55BB">
      <w:pPr>
        <w:pStyle w:val="ListNumber"/>
        <w:numPr>
          <w:ilvl w:val="0"/>
          <w:numId w:val="0"/>
        </w:numPr>
        <w:jc w:val="left"/>
      </w:pPr>
      <w:r>
        <w:t>The measurement boundary must comply with the requirements in section 2.</w:t>
      </w:r>
    </w:p>
    <w:p w14:paraId="12C2FE58" w14:textId="77777777" w:rsidR="004B55BB" w:rsidRDefault="004B55BB" w:rsidP="004B55BB">
      <w:pPr>
        <w:pStyle w:val="ListNumber"/>
        <w:numPr>
          <w:ilvl w:val="0"/>
          <w:numId w:val="0"/>
        </w:numPr>
        <w:jc w:val="left"/>
      </w:pPr>
    </w:p>
    <w:p w14:paraId="5DA434FB" w14:textId="77777777" w:rsidR="004B55BB" w:rsidRDefault="004B55BB" w:rsidP="004B55BB">
      <w:pPr>
        <w:pStyle w:val="Heading3"/>
      </w:pPr>
      <w:r>
        <w:t xml:space="preserve">Baseline and operating model </w:t>
      </w:r>
    </w:p>
    <w:p w14:paraId="7F91782B" w14:textId="77777777" w:rsidR="004B55BB" w:rsidRDefault="004B55BB">
      <w:pPr>
        <w:pStyle w:val="BodyText"/>
        <w:numPr>
          <w:ilvl w:val="0"/>
          <w:numId w:val="47"/>
        </w:numPr>
      </w:pPr>
      <w:r>
        <w:t>The baseline and operating model must comply with the requirements in section 2; and</w:t>
      </w:r>
    </w:p>
    <w:p w14:paraId="0ABBF48C" w14:textId="77777777" w:rsidR="004B55BB" w:rsidRDefault="004B55BB">
      <w:pPr>
        <w:pStyle w:val="BodyText"/>
        <w:numPr>
          <w:ilvl w:val="0"/>
          <w:numId w:val="47"/>
        </w:numPr>
      </w:pPr>
      <w:r>
        <w:t xml:space="preserve">The baseline and operating periods must comply with the requirements in section 2. </w:t>
      </w:r>
    </w:p>
    <w:p w14:paraId="67A15A20" w14:textId="77777777" w:rsidR="004B55BB" w:rsidRDefault="004B55BB" w:rsidP="004B55BB">
      <w:pPr>
        <w:pStyle w:val="BodyText"/>
      </w:pPr>
    </w:p>
    <w:p w14:paraId="340B7177" w14:textId="77777777" w:rsidR="004B55BB" w:rsidRDefault="004B55BB" w:rsidP="004B55BB">
      <w:pPr>
        <w:pStyle w:val="Heading3"/>
      </w:pPr>
      <w:r>
        <w:t>Accuracy factor</w:t>
      </w:r>
    </w:p>
    <w:p w14:paraId="360CB507" w14:textId="44931D2B" w:rsidR="004B55BB" w:rsidRDefault="004B55BB">
      <w:pPr>
        <w:pStyle w:val="ListNumber2"/>
        <w:numPr>
          <w:ilvl w:val="0"/>
          <w:numId w:val="65"/>
        </w:numPr>
        <w:jc w:val="left"/>
      </w:pPr>
      <w:r w:rsidRPr="008729F9">
        <w:t xml:space="preserve">The accuracy factor </w:t>
      </w:r>
      <w:r w:rsidRPr="00562309">
        <w:t xml:space="preserve">is determined using Table </w:t>
      </w:r>
      <w:r w:rsidR="009B624F">
        <w:t>3</w:t>
      </w:r>
      <w:r w:rsidRPr="00562309">
        <w:t>.1</w:t>
      </w:r>
      <w:r w:rsidRPr="008729F9">
        <w:t>, where the relative precision means the relative precision of the normal year savings at 90% confidence level.</w:t>
      </w:r>
      <w:r>
        <w:t xml:space="preserve"> </w:t>
      </w:r>
    </w:p>
    <w:p w14:paraId="20899C5F" w14:textId="5AD2CC97" w:rsidR="004B55BB" w:rsidRDefault="004B55BB" w:rsidP="004B55BB">
      <w:pPr>
        <w:pStyle w:val="CaptionImageorFigure"/>
      </w:pPr>
      <w:r>
        <w:lastRenderedPageBreak/>
        <w:t xml:space="preserve">Table </w:t>
      </w:r>
      <w:r w:rsidR="009B624F">
        <w:t>3</w:t>
      </w:r>
      <w:r>
        <w:t>.1</w:t>
      </w:r>
    </w:p>
    <w:tbl>
      <w:tblPr>
        <w:tblStyle w:val="LightShading"/>
        <w:tblW w:w="5000" w:type="pct"/>
        <w:tblBorders>
          <w:top w:val="single" w:sz="4" w:space="0" w:color="201547" w:themeColor="text2"/>
          <w:bottom w:val="single" w:sz="4" w:space="0" w:color="201547" w:themeColor="text2"/>
          <w:insideH w:val="single" w:sz="4" w:space="0" w:color="201547" w:themeColor="text2"/>
        </w:tblBorders>
        <w:tblLook w:val="04A0" w:firstRow="1" w:lastRow="0" w:firstColumn="1" w:lastColumn="0" w:noHBand="0" w:noVBand="1"/>
      </w:tblPr>
      <w:tblGrid>
        <w:gridCol w:w="2614"/>
        <w:gridCol w:w="3595"/>
        <w:gridCol w:w="3430"/>
      </w:tblGrid>
      <w:tr w:rsidR="004B55BB" w:rsidRPr="003D143A" w14:paraId="11F2B88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6" w:type="pct"/>
            <w:shd w:val="clear" w:color="auto" w:fill="201547" w:themeFill="text2"/>
          </w:tcPr>
          <w:p w14:paraId="5A409F48" w14:textId="77777777" w:rsidR="004B55BB" w:rsidRPr="00AE3518" w:rsidRDefault="004B55BB">
            <w:pPr>
              <w:pStyle w:val="TableHeadingCentre"/>
              <w:jc w:val="left"/>
              <w:rPr>
                <w:b/>
              </w:rPr>
            </w:pPr>
            <w:r w:rsidRPr="00AE3518">
              <w:rPr>
                <w:b/>
              </w:rPr>
              <w:t>Relative precision</w:t>
            </w:r>
          </w:p>
        </w:tc>
        <w:tc>
          <w:tcPr>
            <w:tcW w:w="1865" w:type="pct"/>
            <w:shd w:val="clear" w:color="auto" w:fill="201547" w:themeFill="text2"/>
          </w:tcPr>
          <w:p w14:paraId="7C2B84E3" w14:textId="77777777" w:rsidR="004B55BB" w:rsidRPr="00AE3518" w:rsidRDefault="004B55BB">
            <w:pPr>
              <w:pStyle w:val="TableHeadingCentre"/>
              <w:cnfStyle w:val="100000000000" w:firstRow="1" w:lastRow="0" w:firstColumn="0" w:lastColumn="0" w:oddVBand="0" w:evenVBand="0" w:oddHBand="0" w:evenHBand="0" w:firstRowFirstColumn="0" w:firstRowLastColumn="0" w:lastRowFirstColumn="0" w:lastRowLastColumn="0"/>
              <w:rPr>
                <w:b/>
              </w:rPr>
            </w:pPr>
            <w:r w:rsidRPr="00AE3518">
              <w:rPr>
                <w:b/>
              </w:rPr>
              <w:t>Accuracy factor if an energy model is developed using an estimate of the mean</w:t>
            </w:r>
          </w:p>
        </w:tc>
        <w:tc>
          <w:tcPr>
            <w:tcW w:w="1780" w:type="pct"/>
            <w:shd w:val="clear" w:color="auto" w:fill="201547" w:themeFill="text2"/>
          </w:tcPr>
          <w:p w14:paraId="2C9602B6" w14:textId="77777777" w:rsidR="004B55BB" w:rsidRPr="00AE3518" w:rsidRDefault="004B55BB">
            <w:pPr>
              <w:pStyle w:val="TableHeadingCentre"/>
              <w:cnfStyle w:val="100000000000" w:firstRow="1" w:lastRow="0" w:firstColumn="0" w:lastColumn="0" w:oddVBand="0" w:evenVBand="0" w:oddHBand="0" w:evenHBand="0" w:firstRowFirstColumn="0" w:firstRowLastColumn="0" w:lastRowFirstColumn="0" w:lastRowLastColumn="0"/>
              <w:rPr>
                <w:b/>
              </w:rPr>
            </w:pPr>
            <w:r w:rsidRPr="00AE3518">
              <w:rPr>
                <w:b/>
              </w:rPr>
              <w:t>Accuracy factor if all energy models are developed using regression analysis</w:t>
            </w:r>
          </w:p>
        </w:tc>
      </w:tr>
      <w:tr w:rsidR="004B55BB" w:rsidRPr="003D143A" w14:paraId="22329C2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6" w:type="pct"/>
            <w:shd w:val="clear" w:color="auto" w:fill="FFFFFF" w:themeFill="background1"/>
          </w:tcPr>
          <w:p w14:paraId="279E575B" w14:textId="77777777" w:rsidR="004B55BB" w:rsidRPr="003D143A" w:rsidRDefault="004B55BB">
            <w:pPr>
              <w:pStyle w:val="TableTextCentre"/>
              <w:jc w:val="left"/>
            </w:pPr>
            <w:r w:rsidRPr="003D143A">
              <w:t>&lt; 25%</w:t>
            </w:r>
          </w:p>
        </w:tc>
        <w:tc>
          <w:tcPr>
            <w:tcW w:w="1865" w:type="pct"/>
            <w:shd w:val="clear" w:color="auto" w:fill="CCE3F5" w:themeFill="background2"/>
          </w:tcPr>
          <w:p w14:paraId="008A1401" w14:textId="77777777" w:rsidR="004B55BB" w:rsidRPr="003D143A" w:rsidRDefault="004B55BB">
            <w:pPr>
              <w:pStyle w:val="TableTextCentre"/>
              <w:cnfStyle w:val="000000100000" w:firstRow="0" w:lastRow="0" w:firstColumn="0" w:lastColumn="0" w:oddVBand="0" w:evenVBand="0" w:oddHBand="1" w:evenHBand="0" w:firstRowFirstColumn="0" w:firstRowLastColumn="0" w:lastRowFirstColumn="0" w:lastRowLastColumn="0"/>
            </w:pPr>
            <w:r>
              <w:t>0.9</w:t>
            </w:r>
          </w:p>
        </w:tc>
        <w:tc>
          <w:tcPr>
            <w:tcW w:w="1780" w:type="pct"/>
            <w:shd w:val="clear" w:color="auto" w:fill="FFFFFF" w:themeFill="background1"/>
          </w:tcPr>
          <w:p w14:paraId="4C2E2AF3" w14:textId="77777777" w:rsidR="004B55BB" w:rsidRPr="003D143A" w:rsidRDefault="004B55BB">
            <w:pPr>
              <w:pStyle w:val="TableTextCentre"/>
              <w:cnfStyle w:val="000000100000" w:firstRow="0" w:lastRow="0" w:firstColumn="0" w:lastColumn="0" w:oddVBand="0" w:evenVBand="0" w:oddHBand="1" w:evenHBand="0" w:firstRowFirstColumn="0" w:firstRowLastColumn="0" w:lastRowFirstColumn="0" w:lastRowLastColumn="0"/>
            </w:pPr>
            <w:r w:rsidRPr="003D143A">
              <w:t>1</w:t>
            </w:r>
          </w:p>
        </w:tc>
      </w:tr>
      <w:tr w:rsidR="004B55BB" w:rsidRPr="003D143A" w14:paraId="179D24B3" w14:textId="77777777">
        <w:tc>
          <w:tcPr>
            <w:cnfStyle w:val="001000000000" w:firstRow="0" w:lastRow="0" w:firstColumn="1" w:lastColumn="0" w:oddVBand="0" w:evenVBand="0" w:oddHBand="0" w:evenHBand="0" w:firstRowFirstColumn="0" w:firstRowLastColumn="0" w:lastRowFirstColumn="0" w:lastRowLastColumn="0"/>
            <w:tcW w:w="1356" w:type="pct"/>
            <w:shd w:val="clear" w:color="auto" w:fill="FFFFFF" w:themeFill="background1"/>
          </w:tcPr>
          <w:p w14:paraId="0A9D2404" w14:textId="77777777" w:rsidR="004B55BB" w:rsidRPr="003D143A" w:rsidRDefault="004B55BB">
            <w:pPr>
              <w:pStyle w:val="TableTextCentre"/>
              <w:jc w:val="left"/>
            </w:pPr>
            <w:r w:rsidRPr="003D143A">
              <w:t>25% to &lt; 50%</w:t>
            </w:r>
          </w:p>
        </w:tc>
        <w:tc>
          <w:tcPr>
            <w:tcW w:w="1865" w:type="pct"/>
            <w:shd w:val="clear" w:color="auto" w:fill="CCE3F5" w:themeFill="background2"/>
          </w:tcPr>
          <w:p w14:paraId="497B687F" w14:textId="77777777" w:rsidR="004B55BB" w:rsidRPr="003D143A" w:rsidRDefault="004B55BB">
            <w:pPr>
              <w:pStyle w:val="TableTextCentre"/>
              <w:cnfStyle w:val="000000000000" w:firstRow="0" w:lastRow="0" w:firstColumn="0" w:lastColumn="0" w:oddVBand="0" w:evenVBand="0" w:oddHBand="0" w:evenHBand="0" w:firstRowFirstColumn="0" w:firstRowLastColumn="0" w:lastRowFirstColumn="0" w:lastRowLastColumn="0"/>
            </w:pPr>
            <w:r>
              <w:t>0.8</w:t>
            </w:r>
          </w:p>
        </w:tc>
        <w:tc>
          <w:tcPr>
            <w:tcW w:w="1780" w:type="pct"/>
            <w:shd w:val="clear" w:color="auto" w:fill="FFFFFF" w:themeFill="background1"/>
          </w:tcPr>
          <w:p w14:paraId="1E64AF13" w14:textId="77777777" w:rsidR="004B55BB" w:rsidRPr="003D143A" w:rsidRDefault="004B55BB">
            <w:pPr>
              <w:pStyle w:val="TableTextCentre"/>
              <w:cnfStyle w:val="000000000000" w:firstRow="0" w:lastRow="0" w:firstColumn="0" w:lastColumn="0" w:oddVBand="0" w:evenVBand="0" w:oddHBand="0" w:evenHBand="0" w:firstRowFirstColumn="0" w:firstRowLastColumn="0" w:lastRowFirstColumn="0" w:lastRowLastColumn="0"/>
            </w:pPr>
            <w:r w:rsidRPr="003D143A">
              <w:t>0.9</w:t>
            </w:r>
          </w:p>
        </w:tc>
      </w:tr>
      <w:tr w:rsidR="004B55BB" w:rsidRPr="003D143A" w14:paraId="2A76C61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6" w:type="pct"/>
            <w:shd w:val="clear" w:color="auto" w:fill="FFFFFF" w:themeFill="background1"/>
          </w:tcPr>
          <w:p w14:paraId="0295B4BB" w14:textId="77777777" w:rsidR="004B55BB" w:rsidRPr="003D143A" w:rsidRDefault="004B55BB">
            <w:pPr>
              <w:pStyle w:val="TableTextCentre"/>
              <w:jc w:val="left"/>
            </w:pPr>
            <w:r w:rsidRPr="003D143A">
              <w:t>50% to &lt; 75%</w:t>
            </w:r>
          </w:p>
        </w:tc>
        <w:tc>
          <w:tcPr>
            <w:tcW w:w="1865" w:type="pct"/>
            <w:shd w:val="clear" w:color="auto" w:fill="CCE3F5" w:themeFill="background2"/>
          </w:tcPr>
          <w:p w14:paraId="44432B45" w14:textId="77777777" w:rsidR="004B55BB" w:rsidRPr="003D143A" w:rsidRDefault="004B55BB">
            <w:pPr>
              <w:pStyle w:val="TableTextCentre"/>
              <w:cnfStyle w:val="000000100000" w:firstRow="0" w:lastRow="0" w:firstColumn="0" w:lastColumn="0" w:oddVBand="0" w:evenVBand="0" w:oddHBand="1" w:evenHBand="0" w:firstRowFirstColumn="0" w:firstRowLastColumn="0" w:lastRowFirstColumn="0" w:lastRowLastColumn="0"/>
            </w:pPr>
            <w:r>
              <w:t>0.7</w:t>
            </w:r>
          </w:p>
        </w:tc>
        <w:tc>
          <w:tcPr>
            <w:tcW w:w="1780" w:type="pct"/>
            <w:shd w:val="clear" w:color="auto" w:fill="FFFFFF" w:themeFill="background1"/>
          </w:tcPr>
          <w:p w14:paraId="5FDFDEE4" w14:textId="77777777" w:rsidR="004B55BB" w:rsidRPr="003D143A" w:rsidRDefault="004B55BB">
            <w:pPr>
              <w:pStyle w:val="TableTextCentre"/>
              <w:cnfStyle w:val="000000100000" w:firstRow="0" w:lastRow="0" w:firstColumn="0" w:lastColumn="0" w:oddVBand="0" w:evenVBand="0" w:oddHBand="1" w:evenHBand="0" w:firstRowFirstColumn="0" w:firstRowLastColumn="0" w:lastRowFirstColumn="0" w:lastRowLastColumn="0"/>
            </w:pPr>
            <w:r w:rsidRPr="003D143A">
              <w:t>0.8</w:t>
            </w:r>
          </w:p>
        </w:tc>
      </w:tr>
      <w:tr w:rsidR="004B55BB" w:rsidRPr="003D143A" w14:paraId="36B45A5B" w14:textId="77777777">
        <w:tc>
          <w:tcPr>
            <w:cnfStyle w:val="001000000000" w:firstRow="0" w:lastRow="0" w:firstColumn="1" w:lastColumn="0" w:oddVBand="0" w:evenVBand="0" w:oddHBand="0" w:evenHBand="0" w:firstRowFirstColumn="0" w:firstRowLastColumn="0" w:lastRowFirstColumn="0" w:lastRowLastColumn="0"/>
            <w:tcW w:w="1356" w:type="pct"/>
            <w:shd w:val="clear" w:color="auto" w:fill="FFFFFF" w:themeFill="background1"/>
          </w:tcPr>
          <w:p w14:paraId="299A4476" w14:textId="77777777" w:rsidR="004B55BB" w:rsidRPr="003D143A" w:rsidRDefault="004B55BB">
            <w:pPr>
              <w:pStyle w:val="TableTextCentre"/>
              <w:jc w:val="left"/>
            </w:pPr>
            <w:r w:rsidRPr="003D143A">
              <w:t>75% to &lt; 100%</w:t>
            </w:r>
          </w:p>
        </w:tc>
        <w:tc>
          <w:tcPr>
            <w:tcW w:w="1865" w:type="pct"/>
            <w:shd w:val="clear" w:color="auto" w:fill="CCE3F5" w:themeFill="background2"/>
          </w:tcPr>
          <w:p w14:paraId="1E41301F" w14:textId="77777777" w:rsidR="004B55BB" w:rsidRPr="003D143A" w:rsidRDefault="004B55BB">
            <w:pPr>
              <w:pStyle w:val="TableTextCentre"/>
              <w:cnfStyle w:val="000000000000" w:firstRow="0" w:lastRow="0" w:firstColumn="0" w:lastColumn="0" w:oddVBand="0" w:evenVBand="0" w:oddHBand="0" w:evenHBand="0" w:firstRowFirstColumn="0" w:firstRowLastColumn="0" w:lastRowFirstColumn="0" w:lastRowLastColumn="0"/>
            </w:pPr>
            <w:r>
              <w:t>0.5</w:t>
            </w:r>
          </w:p>
        </w:tc>
        <w:tc>
          <w:tcPr>
            <w:tcW w:w="1780" w:type="pct"/>
            <w:shd w:val="clear" w:color="auto" w:fill="FFFFFF" w:themeFill="background1"/>
          </w:tcPr>
          <w:p w14:paraId="45DFD327" w14:textId="77777777" w:rsidR="004B55BB" w:rsidRPr="003D143A" w:rsidRDefault="004B55BB">
            <w:pPr>
              <w:pStyle w:val="TableTextCentre"/>
              <w:cnfStyle w:val="000000000000" w:firstRow="0" w:lastRow="0" w:firstColumn="0" w:lastColumn="0" w:oddVBand="0" w:evenVBand="0" w:oddHBand="0" w:evenHBand="0" w:firstRowFirstColumn="0" w:firstRowLastColumn="0" w:lastRowFirstColumn="0" w:lastRowLastColumn="0"/>
            </w:pPr>
            <w:r w:rsidRPr="003D143A">
              <w:t>0.6</w:t>
            </w:r>
          </w:p>
        </w:tc>
      </w:tr>
      <w:tr w:rsidR="004B55BB" w:rsidRPr="003D143A" w14:paraId="21EFEBF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6" w:type="pct"/>
            <w:shd w:val="clear" w:color="auto" w:fill="FFFFFF" w:themeFill="background1"/>
          </w:tcPr>
          <w:p w14:paraId="3FFB3112" w14:textId="77777777" w:rsidR="004B55BB" w:rsidRPr="003D143A" w:rsidRDefault="004B55BB">
            <w:pPr>
              <w:pStyle w:val="TableTextCentre"/>
              <w:jc w:val="left"/>
            </w:pPr>
            <w:r w:rsidRPr="003D143A">
              <w:t>100% to &lt; 150%</w:t>
            </w:r>
          </w:p>
        </w:tc>
        <w:tc>
          <w:tcPr>
            <w:tcW w:w="1865" w:type="pct"/>
            <w:shd w:val="clear" w:color="auto" w:fill="CCE3F5" w:themeFill="background2"/>
          </w:tcPr>
          <w:p w14:paraId="22965B7A" w14:textId="77777777" w:rsidR="004B55BB" w:rsidRPr="003D143A" w:rsidRDefault="004B55BB">
            <w:pPr>
              <w:pStyle w:val="TableTextCentre"/>
              <w:cnfStyle w:val="000000100000" w:firstRow="0" w:lastRow="0" w:firstColumn="0" w:lastColumn="0" w:oddVBand="0" w:evenVBand="0" w:oddHBand="1" w:evenHBand="0" w:firstRowFirstColumn="0" w:firstRowLastColumn="0" w:lastRowFirstColumn="0" w:lastRowLastColumn="0"/>
            </w:pPr>
            <w:r>
              <w:t>0.3</w:t>
            </w:r>
          </w:p>
        </w:tc>
        <w:tc>
          <w:tcPr>
            <w:tcW w:w="1780" w:type="pct"/>
            <w:shd w:val="clear" w:color="auto" w:fill="FFFFFF" w:themeFill="background1"/>
          </w:tcPr>
          <w:p w14:paraId="7D402C49" w14:textId="77777777" w:rsidR="004B55BB" w:rsidRPr="003D143A" w:rsidRDefault="004B55BB">
            <w:pPr>
              <w:pStyle w:val="TableTextCentre"/>
              <w:cnfStyle w:val="000000100000" w:firstRow="0" w:lastRow="0" w:firstColumn="0" w:lastColumn="0" w:oddVBand="0" w:evenVBand="0" w:oddHBand="1" w:evenHBand="0" w:firstRowFirstColumn="0" w:firstRowLastColumn="0" w:lastRowFirstColumn="0" w:lastRowLastColumn="0"/>
            </w:pPr>
            <w:r w:rsidRPr="003D143A">
              <w:t>0.4</w:t>
            </w:r>
          </w:p>
        </w:tc>
      </w:tr>
      <w:tr w:rsidR="004B55BB" w:rsidRPr="003D143A" w14:paraId="6A16E73E" w14:textId="77777777">
        <w:tc>
          <w:tcPr>
            <w:cnfStyle w:val="001000000000" w:firstRow="0" w:lastRow="0" w:firstColumn="1" w:lastColumn="0" w:oddVBand="0" w:evenVBand="0" w:oddHBand="0" w:evenHBand="0" w:firstRowFirstColumn="0" w:firstRowLastColumn="0" w:lastRowFirstColumn="0" w:lastRowLastColumn="0"/>
            <w:tcW w:w="1356" w:type="pct"/>
            <w:shd w:val="clear" w:color="auto" w:fill="FFFFFF" w:themeFill="background1"/>
          </w:tcPr>
          <w:p w14:paraId="0C3C8840" w14:textId="77777777" w:rsidR="004B55BB" w:rsidRPr="003D143A" w:rsidRDefault="004B55BB">
            <w:pPr>
              <w:pStyle w:val="TableTextCentre"/>
              <w:jc w:val="left"/>
            </w:pPr>
            <w:r w:rsidRPr="003D143A">
              <w:t>150% to &lt; 200%</w:t>
            </w:r>
          </w:p>
        </w:tc>
        <w:tc>
          <w:tcPr>
            <w:tcW w:w="1865" w:type="pct"/>
            <w:shd w:val="clear" w:color="auto" w:fill="CCE3F5" w:themeFill="background2"/>
          </w:tcPr>
          <w:p w14:paraId="0943BC18" w14:textId="77777777" w:rsidR="004B55BB" w:rsidRPr="003D143A" w:rsidRDefault="004B55BB">
            <w:pPr>
              <w:pStyle w:val="TableTextCentre"/>
              <w:cnfStyle w:val="000000000000" w:firstRow="0" w:lastRow="0" w:firstColumn="0" w:lastColumn="0" w:oddVBand="0" w:evenVBand="0" w:oddHBand="0" w:evenHBand="0" w:firstRowFirstColumn="0" w:firstRowLastColumn="0" w:lastRowFirstColumn="0" w:lastRowLastColumn="0"/>
            </w:pPr>
            <w:r>
              <w:t>0.1</w:t>
            </w:r>
          </w:p>
        </w:tc>
        <w:tc>
          <w:tcPr>
            <w:tcW w:w="1780" w:type="pct"/>
            <w:shd w:val="clear" w:color="auto" w:fill="FFFFFF" w:themeFill="background1"/>
          </w:tcPr>
          <w:p w14:paraId="0693AB15" w14:textId="77777777" w:rsidR="004B55BB" w:rsidRPr="003D143A" w:rsidRDefault="004B55BB">
            <w:pPr>
              <w:pStyle w:val="TableTextCentre"/>
              <w:cnfStyle w:val="000000000000" w:firstRow="0" w:lastRow="0" w:firstColumn="0" w:lastColumn="0" w:oddVBand="0" w:evenVBand="0" w:oddHBand="0" w:evenHBand="0" w:firstRowFirstColumn="0" w:firstRowLastColumn="0" w:lastRowFirstColumn="0" w:lastRowLastColumn="0"/>
            </w:pPr>
            <w:r w:rsidRPr="003D143A">
              <w:t>0.2</w:t>
            </w:r>
          </w:p>
        </w:tc>
      </w:tr>
      <w:tr w:rsidR="004B55BB" w:rsidRPr="00B420BE" w14:paraId="406A6FB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6" w:type="pct"/>
            <w:shd w:val="clear" w:color="auto" w:fill="FFFFFF" w:themeFill="background1"/>
          </w:tcPr>
          <w:p w14:paraId="0BB23295" w14:textId="77777777" w:rsidR="004B55BB" w:rsidRPr="003D143A" w:rsidRDefault="004B55BB">
            <w:pPr>
              <w:pStyle w:val="TableTextCentre"/>
              <w:jc w:val="left"/>
            </w:pPr>
            <w:r w:rsidRPr="003D143A">
              <w:t>&gt;=200%</w:t>
            </w:r>
          </w:p>
        </w:tc>
        <w:tc>
          <w:tcPr>
            <w:tcW w:w="1865" w:type="pct"/>
            <w:shd w:val="clear" w:color="auto" w:fill="CCE3F5" w:themeFill="background2"/>
          </w:tcPr>
          <w:p w14:paraId="4E4B37AC" w14:textId="77777777" w:rsidR="004B55BB" w:rsidRPr="003D143A" w:rsidRDefault="004B55BB">
            <w:pPr>
              <w:pStyle w:val="TableTextCentre"/>
              <w:cnfStyle w:val="000000100000" w:firstRow="0" w:lastRow="0" w:firstColumn="0" w:lastColumn="0" w:oddVBand="0" w:evenVBand="0" w:oddHBand="1" w:evenHBand="0" w:firstRowFirstColumn="0" w:firstRowLastColumn="0" w:lastRowFirstColumn="0" w:lastRowLastColumn="0"/>
            </w:pPr>
            <w:r>
              <w:t>0</w:t>
            </w:r>
          </w:p>
        </w:tc>
        <w:tc>
          <w:tcPr>
            <w:tcW w:w="1780" w:type="pct"/>
            <w:shd w:val="clear" w:color="auto" w:fill="FFFFFF" w:themeFill="background1"/>
          </w:tcPr>
          <w:p w14:paraId="36A3AE82" w14:textId="77777777" w:rsidR="004B55BB" w:rsidRPr="003D143A" w:rsidRDefault="004B55BB">
            <w:pPr>
              <w:pStyle w:val="TableTextCentre"/>
              <w:cnfStyle w:val="000000100000" w:firstRow="0" w:lastRow="0" w:firstColumn="0" w:lastColumn="0" w:oddVBand="0" w:evenVBand="0" w:oddHBand="1" w:evenHBand="0" w:firstRowFirstColumn="0" w:firstRowLastColumn="0" w:lastRowFirstColumn="0" w:lastRowLastColumn="0"/>
            </w:pPr>
            <w:r w:rsidRPr="003D143A">
              <w:t>0</w:t>
            </w:r>
          </w:p>
        </w:tc>
      </w:tr>
    </w:tbl>
    <w:p w14:paraId="4E4CAC0D" w14:textId="77777777" w:rsidR="004B55BB" w:rsidRDefault="004B55BB" w:rsidP="004B55BB">
      <w:pPr>
        <w:pStyle w:val="BodyText"/>
      </w:pPr>
      <w:r>
        <w:t xml:space="preserve"> </w:t>
      </w:r>
    </w:p>
    <w:p w14:paraId="6E715020" w14:textId="77777777" w:rsidR="004B55BB" w:rsidRPr="008729F9" w:rsidRDefault="004B55BB" w:rsidP="004B55BB">
      <w:pPr>
        <w:pStyle w:val="Heading3"/>
      </w:pPr>
      <w:r w:rsidRPr="008729F9">
        <w:t>Decay factor</w:t>
      </w:r>
    </w:p>
    <w:p w14:paraId="0C1BE0ED" w14:textId="63FFB21E" w:rsidR="004B55BB" w:rsidRDefault="004B55BB" w:rsidP="004B55BB">
      <w:pPr>
        <w:pStyle w:val="ListNumber2"/>
        <w:keepNext/>
        <w:keepLines/>
        <w:numPr>
          <w:ilvl w:val="0"/>
          <w:numId w:val="28"/>
        </w:numPr>
        <w:jc w:val="left"/>
      </w:pPr>
      <w:r w:rsidRPr="008729F9">
        <w:t>The decay factor for a year i</w:t>
      </w:r>
      <w:r>
        <w:t xml:space="preserve">s assigned on a per measurement boundary basis and is </w:t>
      </w:r>
      <w:r w:rsidRPr="008729F9">
        <w:t xml:space="preserve">determined using Table </w:t>
      </w:r>
      <w:r w:rsidR="009B624F">
        <w:t>3</w:t>
      </w:r>
      <w:r>
        <w:t>.</w:t>
      </w:r>
      <w:r w:rsidRPr="008729F9">
        <w:t>2 or by applying a persistence model</w:t>
      </w:r>
      <w:r>
        <w:t>;</w:t>
      </w:r>
    </w:p>
    <w:p w14:paraId="24909CF8" w14:textId="77777777" w:rsidR="004B55BB" w:rsidRPr="008729F9" w:rsidRDefault="004B55BB" w:rsidP="004B55BB">
      <w:pPr>
        <w:pStyle w:val="ListNumber2"/>
        <w:keepNext/>
        <w:keepLines/>
        <w:numPr>
          <w:ilvl w:val="0"/>
          <w:numId w:val="28"/>
        </w:numPr>
        <w:jc w:val="left"/>
      </w:pPr>
      <w:r>
        <w:t>A persistence model must meet the following requirements:</w:t>
      </w:r>
    </w:p>
    <w:p w14:paraId="5AE2AAC3" w14:textId="77777777" w:rsidR="004B55BB" w:rsidRPr="008729F9" w:rsidRDefault="004B55BB" w:rsidP="004B55BB">
      <w:pPr>
        <w:pStyle w:val="ListNumber3"/>
        <w:keepNext/>
        <w:keepLines/>
        <w:numPr>
          <w:ilvl w:val="0"/>
          <w:numId w:val="29"/>
        </w:numPr>
        <w:jc w:val="left"/>
      </w:pPr>
      <w:r w:rsidRPr="008729F9">
        <w:t>it provides a reasonable estimate of the expected lifetime of an energy consuming product in whole years; and</w:t>
      </w:r>
    </w:p>
    <w:p w14:paraId="44BDDE6B" w14:textId="77777777" w:rsidR="004B55BB" w:rsidRPr="008729F9" w:rsidRDefault="004B55BB" w:rsidP="004B55BB">
      <w:pPr>
        <w:pStyle w:val="ListNumber3"/>
        <w:keepNext/>
        <w:keepLines/>
        <w:numPr>
          <w:ilvl w:val="0"/>
          <w:numId w:val="29"/>
        </w:numPr>
        <w:jc w:val="left"/>
      </w:pPr>
      <w:r w:rsidRPr="008729F9">
        <w:t>it provides a decay factor representing the decline in performance of the product each year by taking into account:</w:t>
      </w:r>
    </w:p>
    <w:p w14:paraId="430A9812" w14:textId="77777777" w:rsidR="004B55BB" w:rsidRPr="008729F9" w:rsidRDefault="004B55BB" w:rsidP="00FD088F">
      <w:pPr>
        <w:pStyle w:val="ListAlpha3"/>
      </w:pPr>
      <w:r w:rsidRPr="008729F9">
        <w:t>the type of the energy consuming product; and</w:t>
      </w:r>
    </w:p>
    <w:p w14:paraId="0878C548" w14:textId="77777777" w:rsidR="004B55BB" w:rsidRPr="008729F9" w:rsidRDefault="004B55BB" w:rsidP="00FD088F">
      <w:pPr>
        <w:pStyle w:val="ListAlpha3"/>
      </w:pPr>
      <w:r w:rsidRPr="008729F9">
        <w:t xml:space="preserve">how the energy consuming product is used; and </w:t>
      </w:r>
    </w:p>
    <w:p w14:paraId="1C350D5C" w14:textId="40472B0C" w:rsidR="004B55BB" w:rsidRPr="008729F9" w:rsidRDefault="004B55BB" w:rsidP="00FD088F">
      <w:pPr>
        <w:pStyle w:val="ListAlpha3"/>
      </w:pPr>
      <w:r w:rsidRPr="008729F9">
        <w:t>the environmental characteristics of the premises where the energy consuming product is used</w:t>
      </w:r>
      <w:r>
        <w:t>; and</w:t>
      </w:r>
      <w:r w:rsidR="00E068C6">
        <w:t xml:space="preserve"> </w:t>
      </w:r>
    </w:p>
    <w:p w14:paraId="3A4E50B9" w14:textId="77777777" w:rsidR="004B55BB" w:rsidRPr="008729F9" w:rsidRDefault="004B55BB" w:rsidP="00FD088F">
      <w:pPr>
        <w:pStyle w:val="ListAlpha3"/>
      </w:pPr>
      <w:r w:rsidRPr="008729F9">
        <w:t>the model provides the most conservative set of yearly decay factors when applied to more tha</w:t>
      </w:r>
      <w:r>
        <w:t xml:space="preserve">n one energy consuming product </w:t>
      </w:r>
      <w:r w:rsidRPr="003048A7">
        <w:t xml:space="preserve">or the model provides the yearly decay factors for the energy consuming product that contributes to greater than 80% of the total </w:t>
      </w:r>
      <w:r>
        <w:t xml:space="preserve">annual </w:t>
      </w:r>
      <w:r w:rsidRPr="003048A7">
        <w:t>energy savings</w:t>
      </w:r>
      <w:r>
        <w:t>.</w:t>
      </w:r>
    </w:p>
    <w:p w14:paraId="697B9BED" w14:textId="63610D00" w:rsidR="004B55BB" w:rsidRPr="00745979" w:rsidRDefault="004B55BB" w:rsidP="004B55BB">
      <w:pPr>
        <w:pStyle w:val="CaptionImageorFigure"/>
      </w:pPr>
      <w:r>
        <w:t xml:space="preserve">Table </w:t>
      </w:r>
      <w:r w:rsidR="009B624F">
        <w:t>3</w:t>
      </w:r>
      <w:r>
        <w:t>.2</w:t>
      </w:r>
    </w:p>
    <w:tbl>
      <w:tblPr>
        <w:tblStyle w:val="LightShading"/>
        <w:tblW w:w="0" w:type="auto"/>
        <w:tblBorders>
          <w:top w:val="single" w:sz="8" w:space="0" w:color="201547" w:themeColor="text2"/>
          <w:bottom w:val="single" w:sz="8" w:space="0" w:color="201547" w:themeColor="text2"/>
          <w:insideH w:val="single" w:sz="8" w:space="0" w:color="201547" w:themeColor="text2"/>
        </w:tblBorders>
        <w:tblLook w:val="04A0" w:firstRow="1" w:lastRow="0" w:firstColumn="1" w:lastColumn="0" w:noHBand="0" w:noVBand="1"/>
      </w:tblPr>
      <w:tblGrid>
        <w:gridCol w:w="844"/>
        <w:gridCol w:w="1297"/>
      </w:tblGrid>
      <w:tr w:rsidR="004B55BB" w:rsidRPr="003D143A" w14:paraId="368B079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201547" w:themeFill="text2"/>
          </w:tcPr>
          <w:p w14:paraId="4619C151" w14:textId="77777777" w:rsidR="004B55BB" w:rsidRPr="00AE3518" w:rsidRDefault="004B55BB">
            <w:pPr>
              <w:pStyle w:val="TableHeadingCentre"/>
              <w:jc w:val="left"/>
              <w:rPr>
                <w:b/>
              </w:rPr>
            </w:pPr>
            <w:r w:rsidRPr="00AE3518">
              <w:rPr>
                <w:b/>
              </w:rPr>
              <w:t>Year (</w:t>
            </w:r>
            <m:oMath>
              <m:r>
                <m:rPr>
                  <m:sty m:val="bi"/>
                </m:rPr>
                <w:rPr>
                  <w:rFonts w:ascii="Cambria Math" w:hAnsi="Cambria Math"/>
                </w:rPr>
                <m:t>i</m:t>
              </m:r>
            </m:oMath>
            <w:r w:rsidRPr="00AE3518">
              <w:rPr>
                <w:b/>
              </w:rPr>
              <w:t>)</w:t>
            </w:r>
          </w:p>
        </w:tc>
        <w:tc>
          <w:tcPr>
            <w:tcW w:w="0" w:type="auto"/>
            <w:shd w:val="clear" w:color="auto" w:fill="201547" w:themeFill="text2"/>
          </w:tcPr>
          <w:p w14:paraId="651A21AE" w14:textId="77777777" w:rsidR="004B55BB" w:rsidRPr="00AE3518" w:rsidRDefault="004B55BB">
            <w:pPr>
              <w:pStyle w:val="TableHeadingCentre"/>
              <w:cnfStyle w:val="100000000000" w:firstRow="1" w:lastRow="0" w:firstColumn="0" w:lastColumn="0" w:oddVBand="0" w:evenVBand="0" w:oddHBand="0" w:evenHBand="0" w:firstRowFirstColumn="0" w:firstRowLastColumn="0" w:lastRowFirstColumn="0" w:lastRowLastColumn="0"/>
              <w:rPr>
                <w:b/>
              </w:rPr>
            </w:pPr>
            <w:r w:rsidRPr="00AE3518">
              <w:rPr>
                <w:b/>
              </w:rPr>
              <w:t>Decay factor</w:t>
            </w:r>
          </w:p>
        </w:tc>
      </w:tr>
      <w:tr w:rsidR="004B55BB" w:rsidRPr="003D143A" w14:paraId="05E865B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0EAE5372" w14:textId="77777777" w:rsidR="004B55BB" w:rsidRPr="003D143A" w:rsidRDefault="004B55BB">
            <w:pPr>
              <w:pStyle w:val="TableTextCentre"/>
              <w:jc w:val="left"/>
            </w:pPr>
            <w:r w:rsidRPr="003D143A">
              <w:t>1</w:t>
            </w:r>
          </w:p>
        </w:tc>
        <w:tc>
          <w:tcPr>
            <w:tcW w:w="0" w:type="auto"/>
            <w:shd w:val="clear" w:color="auto" w:fill="CCE3F5" w:themeFill="background2"/>
          </w:tcPr>
          <w:p w14:paraId="50C3E300" w14:textId="77777777" w:rsidR="004B55BB" w:rsidRPr="003D143A" w:rsidRDefault="004B55BB">
            <w:pPr>
              <w:pStyle w:val="TableTextCentre"/>
              <w:cnfStyle w:val="000000100000" w:firstRow="0" w:lastRow="0" w:firstColumn="0" w:lastColumn="0" w:oddVBand="0" w:evenVBand="0" w:oddHBand="1" w:evenHBand="0" w:firstRowFirstColumn="0" w:firstRowLastColumn="0" w:lastRowFirstColumn="0" w:lastRowLastColumn="0"/>
            </w:pPr>
            <w:r w:rsidRPr="003D143A">
              <w:t>1.00</w:t>
            </w:r>
          </w:p>
        </w:tc>
      </w:tr>
      <w:tr w:rsidR="004B55BB" w:rsidRPr="003D143A" w14:paraId="403F305F" w14:textId="77777777">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F9415B2" w14:textId="77777777" w:rsidR="004B55BB" w:rsidRPr="003D143A" w:rsidRDefault="004B55BB">
            <w:pPr>
              <w:pStyle w:val="TableTextCentre"/>
              <w:jc w:val="left"/>
            </w:pPr>
            <w:r w:rsidRPr="003D143A">
              <w:t>2</w:t>
            </w:r>
          </w:p>
        </w:tc>
        <w:tc>
          <w:tcPr>
            <w:tcW w:w="0" w:type="auto"/>
            <w:shd w:val="clear" w:color="auto" w:fill="CCE3F5" w:themeFill="background2"/>
          </w:tcPr>
          <w:p w14:paraId="2F11282E" w14:textId="77777777" w:rsidR="004B55BB" w:rsidRPr="003D143A" w:rsidRDefault="004B55BB">
            <w:pPr>
              <w:pStyle w:val="TableTextCentre"/>
              <w:cnfStyle w:val="000000000000" w:firstRow="0" w:lastRow="0" w:firstColumn="0" w:lastColumn="0" w:oddVBand="0" w:evenVBand="0" w:oddHBand="0" w:evenHBand="0" w:firstRowFirstColumn="0" w:firstRowLastColumn="0" w:lastRowFirstColumn="0" w:lastRowLastColumn="0"/>
            </w:pPr>
            <w:r w:rsidRPr="003D143A">
              <w:t>0.80</w:t>
            </w:r>
          </w:p>
        </w:tc>
      </w:tr>
      <w:tr w:rsidR="004B55BB" w:rsidRPr="003D143A" w14:paraId="7882085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532F872D" w14:textId="77777777" w:rsidR="004B55BB" w:rsidRPr="003D143A" w:rsidRDefault="004B55BB">
            <w:pPr>
              <w:pStyle w:val="TableTextCentre"/>
              <w:jc w:val="left"/>
            </w:pPr>
            <w:r w:rsidRPr="003D143A">
              <w:t>3</w:t>
            </w:r>
          </w:p>
        </w:tc>
        <w:tc>
          <w:tcPr>
            <w:tcW w:w="0" w:type="auto"/>
            <w:shd w:val="clear" w:color="auto" w:fill="CCE3F5" w:themeFill="background2"/>
          </w:tcPr>
          <w:p w14:paraId="61619AF1" w14:textId="77777777" w:rsidR="004B55BB" w:rsidRPr="003D143A" w:rsidRDefault="004B55BB">
            <w:pPr>
              <w:pStyle w:val="TableTextCentre"/>
              <w:cnfStyle w:val="000000100000" w:firstRow="0" w:lastRow="0" w:firstColumn="0" w:lastColumn="0" w:oddVBand="0" w:evenVBand="0" w:oddHBand="1" w:evenHBand="0" w:firstRowFirstColumn="0" w:firstRowLastColumn="0" w:lastRowFirstColumn="0" w:lastRowLastColumn="0"/>
            </w:pPr>
            <w:r w:rsidRPr="003D143A">
              <w:t>0.64</w:t>
            </w:r>
          </w:p>
        </w:tc>
      </w:tr>
      <w:tr w:rsidR="004B55BB" w:rsidRPr="003D143A" w14:paraId="0E992E2B" w14:textId="77777777">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2F869D97" w14:textId="77777777" w:rsidR="004B55BB" w:rsidRPr="003D143A" w:rsidRDefault="004B55BB">
            <w:pPr>
              <w:pStyle w:val="TableTextCentre"/>
              <w:jc w:val="left"/>
            </w:pPr>
            <w:r w:rsidRPr="003D143A">
              <w:t>4</w:t>
            </w:r>
          </w:p>
        </w:tc>
        <w:tc>
          <w:tcPr>
            <w:tcW w:w="0" w:type="auto"/>
            <w:shd w:val="clear" w:color="auto" w:fill="CCE3F5" w:themeFill="background2"/>
          </w:tcPr>
          <w:p w14:paraId="5A58754F" w14:textId="77777777" w:rsidR="004B55BB" w:rsidRPr="003D143A" w:rsidRDefault="004B55BB">
            <w:pPr>
              <w:pStyle w:val="TableTextCentre"/>
              <w:cnfStyle w:val="000000000000" w:firstRow="0" w:lastRow="0" w:firstColumn="0" w:lastColumn="0" w:oddVBand="0" w:evenVBand="0" w:oddHBand="0" w:evenHBand="0" w:firstRowFirstColumn="0" w:firstRowLastColumn="0" w:lastRowFirstColumn="0" w:lastRowLastColumn="0"/>
            </w:pPr>
            <w:r w:rsidRPr="003D143A">
              <w:t>0.51</w:t>
            </w:r>
          </w:p>
        </w:tc>
      </w:tr>
      <w:tr w:rsidR="004B55BB" w:rsidRPr="003D143A" w14:paraId="0632EA2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258CF2A0" w14:textId="77777777" w:rsidR="004B55BB" w:rsidRPr="003D143A" w:rsidRDefault="004B55BB">
            <w:pPr>
              <w:pStyle w:val="TableTextCentre"/>
              <w:jc w:val="left"/>
            </w:pPr>
            <w:r w:rsidRPr="003D143A">
              <w:t>5</w:t>
            </w:r>
          </w:p>
        </w:tc>
        <w:tc>
          <w:tcPr>
            <w:tcW w:w="0" w:type="auto"/>
            <w:shd w:val="clear" w:color="auto" w:fill="CCE3F5" w:themeFill="background2"/>
          </w:tcPr>
          <w:p w14:paraId="2B44B726" w14:textId="77777777" w:rsidR="004B55BB" w:rsidRPr="003D143A" w:rsidRDefault="004B55BB">
            <w:pPr>
              <w:pStyle w:val="TableTextCentre"/>
              <w:cnfStyle w:val="000000100000" w:firstRow="0" w:lastRow="0" w:firstColumn="0" w:lastColumn="0" w:oddVBand="0" w:evenVBand="0" w:oddHBand="1" w:evenHBand="0" w:firstRowFirstColumn="0" w:firstRowLastColumn="0" w:lastRowFirstColumn="0" w:lastRowLastColumn="0"/>
            </w:pPr>
            <w:r w:rsidRPr="003D143A">
              <w:t>0.41</w:t>
            </w:r>
          </w:p>
        </w:tc>
      </w:tr>
      <w:tr w:rsidR="004B55BB" w:rsidRPr="003D143A" w14:paraId="231537C6" w14:textId="77777777">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6A4E6AC1" w14:textId="77777777" w:rsidR="004B55BB" w:rsidRPr="003D143A" w:rsidRDefault="004B55BB">
            <w:pPr>
              <w:pStyle w:val="TableTextCentre"/>
              <w:jc w:val="left"/>
            </w:pPr>
            <w:r w:rsidRPr="003D143A">
              <w:t>6</w:t>
            </w:r>
          </w:p>
        </w:tc>
        <w:tc>
          <w:tcPr>
            <w:tcW w:w="0" w:type="auto"/>
            <w:shd w:val="clear" w:color="auto" w:fill="CCE3F5" w:themeFill="background2"/>
          </w:tcPr>
          <w:p w14:paraId="5D6266F9" w14:textId="77777777" w:rsidR="004B55BB" w:rsidRPr="003D143A" w:rsidRDefault="004B55BB">
            <w:pPr>
              <w:pStyle w:val="TableTextCentre"/>
              <w:cnfStyle w:val="000000000000" w:firstRow="0" w:lastRow="0" w:firstColumn="0" w:lastColumn="0" w:oddVBand="0" w:evenVBand="0" w:oddHBand="0" w:evenHBand="0" w:firstRowFirstColumn="0" w:firstRowLastColumn="0" w:lastRowFirstColumn="0" w:lastRowLastColumn="0"/>
            </w:pPr>
            <w:r w:rsidRPr="003D143A">
              <w:t>0.33</w:t>
            </w:r>
          </w:p>
        </w:tc>
      </w:tr>
      <w:tr w:rsidR="004B55BB" w:rsidRPr="003D143A" w14:paraId="792083A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00096E31" w14:textId="77777777" w:rsidR="004B55BB" w:rsidRPr="003D143A" w:rsidRDefault="004B55BB">
            <w:pPr>
              <w:pStyle w:val="TableTextCentre"/>
              <w:jc w:val="left"/>
            </w:pPr>
            <w:r w:rsidRPr="003D143A">
              <w:t>7</w:t>
            </w:r>
          </w:p>
        </w:tc>
        <w:tc>
          <w:tcPr>
            <w:tcW w:w="0" w:type="auto"/>
            <w:shd w:val="clear" w:color="auto" w:fill="CCE3F5" w:themeFill="background2"/>
          </w:tcPr>
          <w:p w14:paraId="04D4F751" w14:textId="77777777" w:rsidR="004B55BB" w:rsidRPr="003D143A" w:rsidRDefault="004B55BB">
            <w:pPr>
              <w:pStyle w:val="TableTextCentre"/>
              <w:cnfStyle w:val="000000100000" w:firstRow="0" w:lastRow="0" w:firstColumn="0" w:lastColumn="0" w:oddVBand="0" w:evenVBand="0" w:oddHBand="1" w:evenHBand="0" w:firstRowFirstColumn="0" w:firstRowLastColumn="0" w:lastRowFirstColumn="0" w:lastRowLastColumn="0"/>
            </w:pPr>
            <w:r w:rsidRPr="003D143A">
              <w:t>0.26</w:t>
            </w:r>
          </w:p>
        </w:tc>
      </w:tr>
      <w:tr w:rsidR="004B55BB" w:rsidRPr="003D143A" w14:paraId="4A311123" w14:textId="77777777">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6F6802D1" w14:textId="77777777" w:rsidR="004B55BB" w:rsidRPr="003D143A" w:rsidRDefault="004B55BB">
            <w:pPr>
              <w:pStyle w:val="TableTextCentre"/>
              <w:jc w:val="left"/>
            </w:pPr>
            <w:r w:rsidRPr="003D143A">
              <w:t>8</w:t>
            </w:r>
          </w:p>
        </w:tc>
        <w:tc>
          <w:tcPr>
            <w:tcW w:w="0" w:type="auto"/>
            <w:shd w:val="clear" w:color="auto" w:fill="CCE3F5" w:themeFill="background2"/>
          </w:tcPr>
          <w:p w14:paraId="0440EF82" w14:textId="77777777" w:rsidR="004B55BB" w:rsidRPr="003D143A" w:rsidRDefault="004B55BB">
            <w:pPr>
              <w:pStyle w:val="TableTextCentre"/>
              <w:cnfStyle w:val="000000000000" w:firstRow="0" w:lastRow="0" w:firstColumn="0" w:lastColumn="0" w:oddVBand="0" w:evenVBand="0" w:oddHBand="0" w:evenHBand="0" w:firstRowFirstColumn="0" w:firstRowLastColumn="0" w:lastRowFirstColumn="0" w:lastRowLastColumn="0"/>
            </w:pPr>
            <w:r w:rsidRPr="003D143A">
              <w:t>0.21</w:t>
            </w:r>
          </w:p>
        </w:tc>
      </w:tr>
      <w:tr w:rsidR="004B55BB" w:rsidRPr="003D143A" w14:paraId="113B6DE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576B4D6C" w14:textId="77777777" w:rsidR="004B55BB" w:rsidRPr="003D143A" w:rsidRDefault="004B55BB">
            <w:pPr>
              <w:pStyle w:val="TableTextCentre"/>
              <w:jc w:val="left"/>
            </w:pPr>
            <w:r w:rsidRPr="003D143A">
              <w:t>9</w:t>
            </w:r>
          </w:p>
        </w:tc>
        <w:tc>
          <w:tcPr>
            <w:tcW w:w="0" w:type="auto"/>
            <w:shd w:val="clear" w:color="auto" w:fill="CCE3F5" w:themeFill="background2"/>
          </w:tcPr>
          <w:p w14:paraId="4A85FCAE" w14:textId="77777777" w:rsidR="004B55BB" w:rsidRPr="003D143A" w:rsidRDefault="004B55BB">
            <w:pPr>
              <w:pStyle w:val="TableTextCentre"/>
              <w:cnfStyle w:val="000000100000" w:firstRow="0" w:lastRow="0" w:firstColumn="0" w:lastColumn="0" w:oddVBand="0" w:evenVBand="0" w:oddHBand="1" w:evenHBand="0" w:firstRowFirstColumn="0" w:firstRowLastColumn="0" w:lastRowFirstColumn="0" w:lastRowLastColumn="0"/>
            </w:pPr>
            <w:r w:rsidRPr="003D143A">
              <w:t>0.17</w:t>
            </w:r>
          </w:p>
        </w:tc>
      </w:tr>
      <w:tr w:rsidR="004B55BB" w:rsidRPr="003D143A" w14:paraId="193512A5" w14:textId="77777777">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2FF36CAA" w14:textId="77777777" w:rsidR="004B55BB" w:rsidRPr="003D143A" w:rsidRDefault="004B55BB">
            <w:pPr>
              <w:pStyle w:val="TableTextCentre"/>
              <w:jc w:val="left"/>
            </w:pPr>
            <w:r w:rsidRPr="003D143A">
              <w:t>10</w:t>
            </w:r>
          </w:p>
        </w:tc>
        <w:tc>
          <w:tcPr>
            <w:tcW w:w="0" w:type="auto"/>
            <w:shd w:val="clear" w:color="auto" w:fill="CCE3F5" w:themeFill="background2"/>
          </w:tcPr>
          <w:p w14:paraId="289C8F60" w14:textId="77777777" w:rsidR="004B55BB" w:rsidRPr="003D143A" w:rsidRDefault="004B55BB">
            <w:pPr>
              <w:pStyle w:val="TableTextCentre"/>
              <w:cnfStyle w:val="000000000000" w:firstRow="0" w:lastRow="0" w:firstColumn="0" w:lastColumn="0" w:oddVBand="0" w:evenVBand="0" w:oddHBand="0" w:evenHBand="0" w:firstRowFirstColumn="0" w:firstRowLastColumn="0" w:lastRowFirstColumn="0" w:lastRowLastColumn="0"/>
            </w:pPr>
            <w:r w:rsidRPr="003D143A">
              <w:t>0.13</w:t>
            </w:r>
          </w:p>
        </w:tc>
      </w:tr>
    </w:tbl>
    <w:p w14:paraId="1E0FEB08" w14:textId="72D3DD11" w:rsidR="004B55BB" w:rsidRDefault="004B55BB">
      <w:pPr>
        <w:rPr>
          <w:rFonts w:asciiTheme="majorHAnsi" w:eastAsiaTheme="majorEastAsia" w:hAnsiTheme="majorHAnsi" w:cstheme="majorBidi"/>
          <w:bCs/>
          <w:color w:val="201547" w:themeColor="text2"/>
          <w:spacing w:val="-4"/>
          <w:sz w:val="40"/>
          <w:szCs w:val="40"/>
        </w:rPr>
      </w:pPr>
    </w:p>
    <w:p w14:paraId="777B5A5A" w14:textId="5F6E1B08" w:rsidR="0079189E" w:rsidRDefault="0079189E" w:rsidP="00E37634">
      <w:pPr>
        <w:pStyle w:val="Heading1"/>
        <w:ind w:left="426"/>
      </w:pPr>
      <w:bookmarkStart w:id="101" w:name="_Toc232605528"/>
      <w:bookmarkStart w:id="102" w:name="_Toc239413187"/>
      <w:r>
        <w:lastRenderedPageBreak/>
        <w:t>Weather normalised w</w:t>
      </w:r>
      <w:r w:rsidR="009426D6">
        <w:t>h</w:t>
      </w:r>
      <w:r>
        <w:t>ole of site electricity measurement (option C)</w:t>
      </w:r>
      <w:bookmarkEnd w:id="97"/>
      <w:bookmarkEnd w:id="101"/>
      <w:bookmarkEnd w:id="102"/>
    </w:p>
    <w:p w14:paraId="186CF7DA" w14:textId="592FE6EF" w:rsidR="007641E8" w:rsidRDefault="00605A83" w:rsidP="0079189E">
      <w:pPr>
        <w:pStyle w:val="Heading2"/>
      </w:pPr>
      <w:bookmarkStart w:id="103" w:name="_Toc200577505"/>
      <w:bookmarkStart w:id="104" w:name="_Toc232605529"/>
      <w:r>
        <w:t>Information to be provided</w:t>
      </w:r>
      <w:bookmarkEnd w:id="103"/>
      <w:bookmarkEnd w:id="104"/>
    </w:p>
    <w:p w14:paraId="3E40CDE0" w14:textId="0749BC91" w:rsidR="001546CF" w:rsidRDefault="001546CF" w:rsidP="001546CF">
      <w:pPr>
        <w:pStyle w:val="Heading3"/>
      </w:pPr>
      <w:bookmarkStart w:id="105" w:name="_Toc200577506"/>
      <w:r>
        <w:t xml:space="preserve">Information to be provided </w:t>
      </w:r>
      <w:r w:rsidR="00CB1619">
        <w:t>in an application for scoping approval</w:t>
      </w:r>
      <w:bookmarkEnd w:id="105"/>
    </w:p>
    <w:p w14:paraId="1D719D93" w14:textId="77777777" w:rsidR="0033649B" w:rsidRDefault="00674D80">
      <w:pPr>
        <w:pStyle w:val="ListNumber2"/>
        <w:numPr>
          <w:ilvl w:val="0"/>
          <w:numId w:val="61"/>
        </w:numPr>
      </w:pPr>
      <w:r>
        <w:t>A declaration that the upgrade is eligible to use the w</w:t>
      </w:r>
      <w:r w:rsidRPr="00674D80">
        <w:t xml:space="preserve">eather normalised whole of site electricity measurement </w:t>
      </w:r>
      <w:r>
        <w:t>specified measurement method</w:t>
      </w:r>
      <w:r w:rsidR="0033649B">
        <w:t>.</w:t>
      </w:r>
    </w:p>
    <w:p w14:paraId="5B0E9977" w14:textId="40728873" w:rsidR="00455EE1" w:rsidRDefault="00050D54">
      <w:pPr>
        <w:pStyle w:val="ListNumber2"/>
        <w:numPr>
          <w:ilvl w:val="0"/>
          <w:numId w:val="61"/>
        </w:numPr>
      </w:pPr>
      <w:r>
        <w:t xml:space="preserve">A declaration that </w:t>
      </w:r>
      <w:r w:rsidR="00461748">
        <w:t xml:space="preserve">data sources suitable for the </w:t>
      </w:r>
      <w:r w:rsidR="00455EE1">
        <w:t xml:space="preserve">use </w:t>
      </w:r>
      <w:r w:rsidR="008A5E17">
        <w:t xml:space="preserve">of </w:t>
      </w:r>
      <w:r w:rsidR="00455EE1">
        <w:t xml:space="preserve">the </w:t>
      </w:r>
      <w:r w:rsidR="361AC2E1">
        <w:t>whole</w:t>
      </w:r>
      <w:r w:rsidR="00455EE1">
        <w:t xml:space="preserve"> of site electricity measurement (option C) with weather normalised method </w:t>
      </w:r>
      <w:r w:rsidR="00461748">
        <w:t>will</w:t>
      </w:r>
      <w:r w:rsidR="00455EE1">
        <w:t xml:space="preserve"> be used</w:t>
      </w:r>
      <w:r w:rsidR="00461748">
        <w:t xml:space="preserve">. Specifically: </w:t>
      </w:r>
    </w:p>
    <w:p w14:paraId="5A224D5C" w14:textId="68D96670" w:rsidR="00455EE1" w:rsidRDefault="00565548">
      <w:pPr>
        <w:pStyle w:val="BodyText"/>
        <w:numPr>
          <w:ilvl w:val="1"/>
          <w:numId w:val="36"/>
        </w:numPr>
      </w:pPr>
      <w:r>
        <w:t>e</w:t>
      </w:r>
      <w:r w:rsidR="00455EE1">
        <w:t>lectricity data collected from a utility billing meter at the premises;</w:t>
      </w:r>
    </w:p>
    <w:p w14:paraId="70FEA82C" w14:textId="4B120FA3" w:rsidR="00050D54" w:rsidRDefault="00565548">
      <w:pPr>
        <w:pStyle w:val="BodyText"/>
        <w:numPr>
          <w:ilvl w:val="1"/>
          <w:numId w:val="36"/>
        </w:numPr>
      </w:pPr>
      <w:r>
        <w:t>w</w:t>
      </w:r>
      <w:r w:rsidR="00455EE1">
        <w:t>eather</w:t>
      </w:r>
      <w:r w:rsidR="00B70F18">
        <w:t xml:space="preserve"> or temperature</w:t>
      </w:r>
      <w:r w:rsidR="00455EE1">
        <w:t xml:space="preserve"> data from the Bureau of Meteorology or another reliable source </w:t>
      </w:r>
      <w:r w:rsidR="00616DF0">
        <w:t xml:space="preserve">measured </w:t>
      </w:r>
      <w:r w:rsidR="00BF32CF">
        <w:t xml:space="preserve">in a location applicable for </w:t>
      </w:r>
      <w:r w:rsidR="00B70F18">
        <w:t>the premises</w:t>
      </w:r>
      <w:r w:rsidR="00161BB8">
        <w:t>; and</w:t>
      </w:r>
    </w:p>
    <w:p w14:paraId="03E27401" w14:textId="3258B73D" w:rsidR="00995F22" w:rsidRDefault="00565548">
      <w:pPr>
        <w:pStyle w:val="BodyText"/>
        <w:numPr>
          <w:ilvl w:val="1"/>
          <w:numId w:val="36"/>
        </w:numPr>
      </w:pPr>
      <w:r>
        <w:t>o</w:t>
      </w:r>
      <w:r w:rsidR="006B2A11">
        <w:t xml:space="preserve">ptionally, </w:t>
      </w:r>
      <w:r w:rsidR="004502B8">
        <w:t>if</w:t>
      </w:r>
      <w:r w:rsidR="00995F22">
        <w:t xml:space="preserve"> the premises has pre-existing solar PV, </w:t>
      </w:r>
      <w:r w:rsidR="00995F22" w:rsidRPr="00995F22">
        <w:t>solar radiation</w:t>
      </w:r>
      <w:r w:rsidR="00995F22">
        <w:t xml:space="preserve"> data from </w:t>
      </w:r>
      <w:r w:rsidR="007B6DB0">
        <w:t xml:space="preserve">the Bureau of Meteorology or another reliable source measured in a location applicable for the premises.  </w:t>
      </w:r>
    </w:p>
    <w:p w14:paraId="50B6CBAB" w14:textId="7B09B92F" w:rsidR="009776FB" w:rsidRDefault="00884DE5">
      <w:pPr>
        <w:pStyle w:val="BodyText"/>
        <w:numPr>
          <w:ilvl w:val="0"/>
          <w:numId w:val="61"/>
        </w:numPr>
      </w:pPr>
      <w:r>
        <w:t xml:space="preserve">A declaration </w:t>
      </w:r>
      <w:r w:rsidR="00455EE1">
        <w:t>that calculations</w:t>
      </w:r>
      <w:r w:rsidR="00050D54">
        <w:t xml:space="preserve"> or analysis</w:t>
      </w:r>
      <w:r w:rsidR="00455EE1">
        <w:t xml:space="preserve"> have been perform</w:t>
      </w:r>
      <w:r w:rsidR="33996357">
        <w:t>ed</w:t>
      </w:r>
      <w:r w:rsidR="00455EE1">
        <w:t xml:space="preserve"> to confirm that the project is </w:t>
      </w:r>
      <w:r w:rsidR="00050D54">
        <w:t xml:space="preserve">suitable to use this </w:t>
      </w:r>
      <w:r w:rsidR="00762EB2">
        <w:t xml:space="preserve">specified measurement </w:t>
      </w:r>
      <w:r w:rsidR="00050D54">
        <w:t>method, including</w:t>
      </w:r>
      <w:r w:rsidR="009776FB">
        <w:t>:</w:t>
      </w:r>
    </w:p>
    <w:p w14:paraId="13C71E39" w14:textId="107A7CAD" w:rsidR="003F0EEE" w:rsidRDefault="00050D54">
      <w:pPr>
        <w:pStyle w:val="BodyText"/>
        <w:numPr>
          <w:ilvl w:val="1"/>
          <w:numId w:val="61"/>
        </w:numPr>
      </w:pPr>
      <w:r>
        <w:t xml:space="preserve">that </w:t>
      </w:r>
      <w:r w:rsidR="68DAB862">
        <w:t xml:space="preserve">the project is </w:t>
      </w:r>
      <w:r w:rsidR="00455EE1">
        <w:t xml:space="preserve">estimated to save </w:t>
      </w:r>
      <w:r w:rsidR="00254EBE">
        <w:t xml:space="preserve">equal to or </w:t>
      </w:r>
      <w:r w:rsidR="1A84B143">
        <w:t>greater</w:t>
      </w:r>
      <w:r w:rsidR="00455EE1">
        <w:t xml:space="preserve"> than 10% of the metered electricity of the site</w:t>
      </w:r>
      <w:r w:rsidR="00706FD2">
        <w:t xml:space="preserve"> or </w:t>
      </w:r>
      <w:r w:rsidR="007A2122" w:rsidRPr="007A2122">
        <w:t>that the expected standard error of savings is less than half of the saving</w:t>
      </w:r>
      <w:r w:rsidR="004415B7">
        <w:t xml:space="preserve">s; </w:t>
      </w:r>
    </w:p>
    <w:p w14:paraId="252508DC" w14:textId="5A0260A6" w:rsidR="00E33408" w:rsidRDefault="001C67BD">
      <w:pPr>
        <w:pStyle w:val="BodyText"/>
        <w:numPr>
          <w:ilvl w:val="1"/>
          <w:numId w:val="61"/>
        </w:numPr>
      </w:pPr>
      <w:r>
        <w:t xml:space="preserve">The performance of the </w:t>
      </w:r>
      <w:r w:rsidR="00CD64CE">
        <w:t xml:space="preserve">premises </w:t>
      </w:r>
      <w:r>
        <w:t>is weather dependent</w:t>
      </w:r>
      <w:r w:rsidR="004415B7">
        <w:t xml:space="preserve">; </w:t>
      </w:r>
      <w:r w:rsidR="002A18E9">
        <w:t>and</w:t>
      </w:r>
    </w:p>
    <w:p w14:paraId="19C208E8" w14:textId="7285EF55" w:rsidR="004415B7" w:rsidRDefault="004415B7">
      <w:pPr>
        <w:pStyle w:val="BodyText"/>
        <w:numPr>
          <w:ilvl w:val="1"/>
          <w:numId w:val="61"/>
        </w:numPr>
      </w:pPr>
      <w:r w:rsidRPr="004415B7">
        <w:t>the prescribed activity is</w:t>
      </w:r>
      <w:r>
        <w:t xml:space="preserve"> not</w:t>
      </w:r>
      <w:r w:rsidRPr="004415B7">
        <w:t xml:space="preserve"> the installation of rooftop solar or any other form of on-site electricity generation</w:t>
      </w:r>
      <w:r w:rsidR="007C5311">
        <w:t>.</w:t>
      </w:r>
      <w:r w:rsidR="0022797F">
        <w:br/>
      </w:r>
    </w:p>
    <w:p w14:paraId="054FA030" w14:textId="73C62E23" w:rsidR="00605A83" w:rsidRDefault="00605A83" w:rsidP="00605A83">
      <w:pPr>
        <w:pStyle w:val="Heading2"/>
      </w:pPr>
      <w:bookmarkStart w:id="106" w:name="_Toc200577507"/>
      <w:bookmarkStart w:id="107" w:name="_Toc232605530"/>
      <w:r>
        <w:t>Methods</w:t>
      </w:r>
      <w:bookmarkEnd w:id="106"/>
      <w:bookmarkEnd w:id="107"/>
    </w:p>
    <w:p w14:paraId="5D84297D" w14:textId="44D4D78D" w:rsidR="00DB400C" w:rsidRPr="00DB400C" w:rsidRDefault="00DB400C" w:rsidP="009D421E">
      <w:pPr>
        <w:pStyle w:val="BodyText"/>
      </w:pPr>
      <w:r w:rsidRPr="00DB400C">
        <w:t xml:space="preserve">The carbon dioxide equivalent (in tonnes) of greenhouse gases to be reduced by undertaking a project is calculated using Equation </w:t>
      </w:r>
      <w:r w:rsidR="00B22471">
        <w:t>4</w:t>
      </w:r>
      <w:r>
        <w:t>.1</w:t>
      </w:r>
      <w:r w:rsidRPr="00DB400C">
        <w:t xml:space="preserve">, where variables are determined in accordance with section 2, this section and </w:t>
      </w:r>
      <w:r w:rsidRPr="00E37634">
        <w:rPr>
          <w:i/>
        </w:rPr>
        <w:t>Accounting For COVID-19 Under VEU (2021)</w:t>
      </w:r>
      <w:r w:rsidRPr="00DB400C">
        <w:t xml:space="preserve"> where applicable.</w:t>
      </w:r>
    </w:p>
    <w:p w14:paraId="78997A9B" w14:textId="3361C35D" w:rsidR="00974E5C" w:rsidRDefault="00DB400C" w:rsidP="00974E5C">
      <w:pPr>
        <w:pStyle w:val="Heading3"/>
      </w:pPr>
      <w:bookmarkStart w:id="108" w:name="_Toc188540997"/>
      <w:bookmarkStart w:id="109" w:name="_Toc200577508"/>
      <w:r>
        <w:t>C</w:t>
      </w:r>
      <w:r w:rsidR="00974E5C">
        <w:t>arbon dioxide equivalent to be reduced</w:t>
      </w:r>
      <w:bookmarkEnd w:id="108"/>
      <w:bookmarkEnd w:id="109"/>
    </w:p>
    <w:p w14:paraId="23566E9D" w14:textId="345E1829" w:rsidR="00DB400C" w:rsidRPr="00DB400C" w:rsidRDefault="00DB400C" w:rsidP="00DB400C">
      <w:pPr>
        <w:pStyle w:val="CaptionImageorFigure"/>
      </w:pPr>
      <w:r>
        <w:t xml:space="preserve">Equation </w:t>
      </w:r>
      <w:r w:rsidR="00B22471">
        <w:t>4</w:t>
      </w:r>
      <w:r>
        <w:t>.1</w:t>
      </w:r>
    </w:p>
    <w:p w14:paraId="33018EC3" w14:textId="2D12B1DE" w:rsidR="00974E5C" w:rsidRDefault="00974E5C" w:rsidP="00974E5C">
      <w:pPr>
        <w:pStyle w:val="BodyText"/>
      </w:pPr>
      <m:oMathPara>
        <m:oMath>
          <m:r>
            <w:rPr>
              <w:rFonts w:ascii="Cambria Math" w:hAnsi="Cambria Math"/>
            </w:rPr>
            <m:t xml:space="preserve">carbon dioxide equivalent= </m:t>
          </m:r>
          <m:nary>
            <m:naryPr>
              <m:chr m:val="∑"/>
              <m:limLoc m:val="subSup"/>
              <m:supHide m:val="1"/>
              <m:ctrlPr>
                <w:rPr>
                  <w:rFonts w:ascii="Cambria Math" w:hAnsi="Cambria Math"/>
                  <w:i/>
                </w:rPr>
              </m:ctrlPr>
            </m:naryPr>
            <m:sub>
              <m:r>
                <w:rPr>
                  <w:rFonts w:ascii="Cambria Math" w:hAnsi="Cambria Math"/>
                </w:rPr>
                <m:t>j</m:t>
              </m:r>
            </m:sub>
            <m:sup/>
            <m:e>
              <m:d>
                <m:dPr>
                  <m:ctrlPr>
                    <w:rPr>
                      <w:rFonts w:ascii="Cambria Math" w:hAnsi="Cambria Math"/>
                      <w:i/>
                    </w:rPr>
                  </m:ctrlPr>
                </m:dPr>
                <m:e>
                  <m:sSub>
                    <m:sSubPr>
                      <m:ctrlPr>
                        <w:rPr>
                          <w:rFonts w:ascii="Cambria Math" w:hAnsi="Cambria Math"/>
                          <w:i/>
                        </w:rPr>
                      </m:ctrlPr>
                    </m:sSubPr>
                    <m:e>
                      <m:r>
                        <w:rPr>
                          <w:rFonts w:ascii="Cambria Math" w:hAnsi="Cambria Math"/>
                        </w:rPr>
                        <m:t>Savings</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EF</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RF</m:t>
                      </m:r>
                    </m:e>
                    <m:sub>
                      <m:r>
                        <w:rPr>
                          <w:rFonts w:ascii="Cambria Math" w:hAnsi="Cambria Math"/>
                        </w:rPr>
                        <m:t>j</m:t>
                      </m:r>
                    </m:sub>
                  </m:sSub>
                  <m:r>
                    <w:rPr>
                      <w:rFonts w:ascii="Cambria Math" w:hAnsi="Cambria Math"/>
                    </w:rPr>
                    <m:t xml:space="preserve"> ×</m:t>
                  </m:r>
                  <m:sSub>
                    <m:sSubPr>
                      <m:ctrlPr>
                        <w:rPr>
                          <w:rFonts w:ascii="Cambria Math" w:hAnsi="Cambria Math"/>
                          <w:i/>
                        </w:rPr>
                      </m:ctrlPr>
                    </m:sSubPr>
                    <m:e>
                      <m:r>
                        <w:rPr>
                          <w:rFonts w:ascii="Cambria Math" w:hAnsi="Cambria Math"/>
                        </w:rPr>
                        <m:t>AF</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PF</m:t>
                      </m:r>
                    </m:e>
                    <m:sub>
                      <m:r>
                        <w:rPr>
                          <w:rFonts w:ascii="Cambria Math" w:hAnsi="Cambria Math"/>
                        </w:rPr>
                        <m:t>j</m:t>
                      </m:r>
                    </m:sub>
                  </m:sSub>
                </m:e>
              </m:d>
              <m:r>
                <w:rPr>
                  <w:rFonts w:ascii="Cambria Math" w:hAnsi="Cambria Math"/>
                </w:rPr>
                <m:t>-counted savings</m:t>
              </m:r>
            </m:e>
          </m:nary>
        </m:oMath>
      </m:oMathPara>
    </w:p>
    <w:p w14:paraId="5DCE8B75" w14:textId="43CA8311" w:rsidR="00974E5C" w:rsidRDefault="00974E5C" w:rsidP="00974E5C">
      <w:pPr>
        <w:pStyle w:val="BodyText"/>
      </w:pPr>
      <w:r>
        <w:t>where:</w:t>
      </w:r>
    </w:p>
    <w:p w14:paraId="57C8DF52" w14:textId="5469F7D8" w:rsidR="00974E5C" w:rsidRPr="00F768C1" w:rsidRDefault="00974E5C">
      <w:pPr>
        <w:pStyle w:val="ListNumber2"/>
        <w:numPr>
          <w:ilvl w:val="0"/>
          <w:numId w:val="66"/>
        </w:numPr>
        <w:jc w:val="left"/>
      </w:pPr>
      <m:oMath>
        <m:r>
          <w:rPr>
            <w:rFonts w:ascii="Cambria Math" w:hAnsi="Cambria Math"/>
          </w:rPr>
          <m:t>j</m:t>
        </m:r>
      </m:oMath>
      <w:r>
        <w:t xml:space="preserve">  is the measurement boundary number in the case that there are multiple measurement boundaries </w:t>
      </w:r>
      <w:r w:rsidR="00A17E00">
        <w:t xml:space="preserve">included in </w:t>
      </w:r>
      <w:r>
        <w:t>one project</w:t>
      </w:r>
      <w:r w:rsidR="00EB209B">
        <w:t>;</w:t>
      </w:r>
    </w:p>
    <w:p w14:paraId="502C2222" w14:textId="18D1B1DE" w:rsidR="00974E5C" w:rsidRDefault="00974E5C">
      <w:pPr>
        <w:pStyle w:val="ListNumber2"/>
        <w:numPr>
          <w:ilvl w:val="0"/>
          <w:numId w:val="66"/>
        </w:numPr>
        <w:jc w:val="left"/>
      </w:pPr>
      <w:proofErr w:type="spellStart"/>
      <w:r w:rsidRPr="009E7AE4">
        <w:rPr>
          <w:i/>
        </w:rPr>
        <w:t>savings</w:t>
      </w:r>
      <w:r w:rsidR="00C5777B" w:rsidRPr="00724070">
        <w:rPr>
          <w:i/>
          <w:vertAlign w:val="subscript"/>
        </w:rPr>
        <w:t>j</w:t>
      </w:r>
      <w:proofErr w:type="spellEnd"/>
      <w:r w:rsidRPr="00DD0D8F">
        <w:t xml:space="preserve"> is</w:t>
      </w:r>
      <w:r w:rsidR="00912C9D">
        <w:t xml:space="preserve"> the normal year savings</w:t>
      </w:r>
      <w:r w:rsidRPr="00DD0D8F">
        <w:t xml:space="preserve"> calculated in MWh using </w:t>
      </w:r>
      <w:r w:rsidRPr="009D421E">
        <w:t xml:space="preserve">Equation </w:t>
      </w:r>
      <w:r w:rsidR="00502A96">
        <w:t>4</w:t>
      </w:r>
      <w:r w:rsidRPr="009D421E">
        <w:t>.</w:t>
      </w:r>
      <w:r w:rsidR="009D421E">
        <w:t>2</w:t>
      </w:r>
      <w:r w:rsidR="00912C9D" w:rsidRPr="009D421E">
        <w:t xml:space="preserve"> for</w:t>
      </w:r>
      <w:r w:rsidR="00912C9D">
        <w:t xml:space="preserve"> measurement boun</w:t>
      </w:r>
      <w:r w:rsidR="004B349E">
        <w:t>dary</w:t>
      </w:r>
      <w:r w:rsidR="00C5777B">
        <w:t xml:space="preserve"> </w:t>
      </w:r>
      <m:oMath>
        <m:r>
          <w:rPr>
            <w:rFonts w:ascii="Cambria Math" w:hAnsi="Cambria Math"/>
          </w:rPr>
          <m:t>j</m:t>
        </m:r>
      </m:oMath>
      <w:r w:rsidR="00EB209B">
        <w:t>;</w:t>
      </w:r>
    </w:p>
    <w:p w14:paraId="482647EB" w14:textId="2AF332F5" w:rsidR="00974E5C" w:rsidRPr="00647CCC" w:rsidRDefault="00000000">
      <w:pPr>
        <w:pStyle w:val="ListNumber2"/>
        <w:numPr>
          <w:ilvl w:val="0"/>
          <w:numId w:val="66"/>
        </w:numPr>
        <w:rPr>
          <w:iCs/>
        </w:rPr>
      </w:pPr>
      <m:oMath>
        <m:sSub>
          <m:sSubPr>
            <m:ctrlPr>
              <w:rPr>
                <w:rFonts w:ascii="Cambria Math" w:hAnsi="Cambria Math"/>
                <w:i/>
              </w:rPr>
            </m:ctrlPr>
          </m:sSubPr>
          <m:e>
            <m:r>
              <w:rPr>
                <w:rFonts w:ascii="Cambria Math" w:hAnsi="Cambria Math"/>
              </w:rPr>
              <m:t>EF</m:t>
            </m:r>
          </m:e>
          <m:sub>
            <m:r>
              <w:rPr>
                <w:rFonts w:ascii="Cambria Math" w:hAnsi="Cambria Math"/>
              </w:rPr>
              <m:t>j</m:t>
            </m:r>
          </m:sub>
        </m:sSub>
      </m:oMath>
      <w:r w:rsidR="00974E5C">
        <w:rPr>
          <w:i/>
        </w:rPr>
        <w:t xml:space="preserve"> </w:t>
      </w:r>
      <w:r w:rsidR="00272CC3">
        <w:rPr>
          <w:iCs/>
        </w:rPr>
        <w:t>is the emissions factor for that measurement boundary</w:t>
      </w:r>
      <w:r w:rsidR="00EB209B">
        <w:rPr>
          <w:iCs/>
        </w:rPr>
        <w:t>;</w:t>
      </w:r>
    </w:p>
    <w:p w14:paraId="7FA1ECD7" w14:textId="1B768C5C" w:rsidR="00974E5C" w:rsidRDefault="00000000">
      <w:pPr>
        <w:pStyle w:val="ListNumber2"/>
        <w:numPr>
          <w:ilvl w:val="0"/>
          <w:numId w:val="66"/>
        </w:numPr>
      </w:pPr>
      <m:oMath>
        <m:sSub>
          <m:sSubPr>
            <m:ctrlPr>
              <w:rPr>
                <w:rFonts w:ascii="Cambria Math" w:hAnsi="Cambria Math"/>
                <w:i/>
              </w:rPr>
            </m:ctrlPr>
          </m:sSubPr>
          <m:e>
            <m:r>
              <w:rPr>
                <w:rFonts w:ascii="Cambria Math" w:hAnsi="Cambria Math"/>
              </w:rPr>
              <m:t>RF</m:t>
            </m:r>
          </m:e>
          <m:sub>
            <m:r>
              <w:rPr>
                <w:rFonts w:ascii="Cambria Math" w:hAnsi="Cambria Math"/>
              </w:rPr>
              <m:t>j</m:t>
            </m:r>
          </m:sub>
        </m:sSub>
      </m:oMath>
      <w:r w:rsidR="00974E5C" w:rsidRPr="00DD0D8F">
        <w:t xml:space="preserve"> is the regional factor</w:t>
      </w:r>
      <w:r w:rsidR="00227663">
        <w:t xml:space="preserve"> for that measurement boundary</w:t>
      </w:r>
      <w:r w:rsidR="00974E5C" w:rsidRPr="00DD0D8F">
        <w:t xml:space="preserve">, </w:t>
      </w:r>
      <w:r w:rsidR="00227663" w:rsidRPr="00DD0D8F">
        <w:t xml:space="preserve">which is 0.98 if the </w:t>
      </w:r>
      <w:r w:rsidR="00227663">
        <w:t>premises</w:t>
      </w:r>
      <w:r w:rsidR="00227663" w:rsidRPr="00DD0D8F">
        <w:t xml:space="preserve"> is in metropolitan Victoria or 1.04 if the </w:t>
      </w:r>
      <w:r w:rsidR="00227663">
        <w:t>premises</w:t>
      </w:r>
      <w:r w:rsidR="00227663" w:rsidRPr="00DD0D8F">
        <w:t xml:space="preserve"> is in regional Victoria</w:t>
      </w:r>
      <w:r w:rsidR="00227663">
        <w:t xml:space="preserve">, as defined in the Locations Variable List in the </w:t>
      </w:r>
      <w:r w:rsidR="00227663" w:rsidRPr="00E37634">
        <w:rPr>
          <w:i/>
        </w:rPr>
        <w:t>Victorian Energy Upgrades Specifications 2018</w:t>
      </w:r>
      <w:r w:rsidR="00EB209B">
        <w:t>;</w:t>
      </w:r>
    </w:p>
    <w:p w14:paraId="0207F895" w14:textId="2540ACBB" w:rsidR="00974E5C" w:rsidRPr="00DD0D8F" w:rsidRDefault="00000000">
      <w:pPr>
        <w:pStyle w:val="ListNumber2"/>
        <w:numPr>
          <w:ilvl w:val="0"/>
          <w:numId w:val="66"/>
        </w:numPr>
      </w:pPr>
      <m:oMath>
        <m:sSub>
          <m:sSubPr>
            <m:ctrlPr>
              <w:rPr>
                <w:rFonts w:ascii="Cambria Math" w:hAnsi="Cambria Math"/>
              </w:rPr>
            </m:ctrlPr>
          </m:sSubPr>
          <m:e>
            <m:r>
              <m:rPr>
                <m:sty m:val="p"/>
              </m:rPr>
              <w:rPr>
                <w:rFonts w:ascii="Cambria Math" w:hAnsi="Cambria Math"/>
              </w:rPr>
              <m:t>AF</m:t>
            </m:r>
          </m:e>
          <m:sub>
            <m:r>
              <w:rPr>
                <w:rFonts w:ascii="Cambria Math" w:hAnsi="Cambria Math"/>
              </w:rPr>
              <m:t>j</m:t>
            </m:r>
          </m:sub>
        </m:sSub>
      </m:oMath>
      <w:r w:rsidR="00974E5C" w:rsidRPr="005174F9">
        <w:t xml:space="preserve"> is the accuracy factor</w:t>
      </w:r>
      <w:r w:rsidR="00974E5C">
        <w:t xml:space="preserve"> for the measurement boundary, being </w:t>
      </w:r>
      <w:r w:rsidR="00AC653A">
        <w:t>1</w:t>
      </w:r>
      <w:r w:rsidR="00EB209B">
        <w:t>;</w:t>
      </w:r>
    </w:p>
    <w:p w14:paraId="06D82501" w14:textId="03CDFF16" w:rsidR="00974E5C" w:rsidRDefault="00000000">
      <w:pPr>
        <w:pStyle w:val="ListNumber2"/>
        <w:numPr>
          <w:ilvl w:val="0"/>
          <w:numId w:val="66"/>
        </w:numPr>
      </w:pPr>
      <m:oMath>
        <m:sSub>
          <m:sSubPr>
            <m:ctrlPr>
              <w:rPr>
                <w:rFonts w:ascii="Cambria Math" w:hAnsi="Cambria Math"/>
              </w:rPr>
            </m:ctrlPr>
          </m:sSubPr>
          <m:e>
            <m:r>
              <m:rPr>
                <m:sty m:val="p"/>
              </m:rPr>
              <w:rPr>
                <w:rFonts w:ascii="Cambria Math" w:hAnsi="Cambria Math"/>
              </w:rPr>
              <m:t>PF</m:t>
            </m:r>
          </m:e>
          <m:sub>
            <m:r>
              <m:rPr>
                <m:sty m:val="p"/>
              </m:rPr>
              <w:rPr>
                <w:rFonts w:ascii="Cambria Math" w:hAnsi="Cambria Math"/>
              </w:rPr>
              <m:t>j</m:t>
            </m:r>
          </m:sub>
        </m:sSub>
      </m:oMath>
      <w:r w:rsidR="00974E5C" w:rsidRPr="005174F9">
        <w:t xml:space="preserve"> is</w:t>
      </w:r>
      <w:r w:rsidR="00974E5C" w:rsidRPr="00DD0D8F">
        <w:t xml:space="preserve"> the </w:t>
      </w:r>
      <w:r w:rsidR="00AC653A">
        <w:t>persistence</w:t>
      </w:r>
      <w:r w:rsidR="00974E5C" w:rsidRPr="00DD0D8F">
        <w:t xml:space="preserve"> factor for </w:t>
      </w:r>
      <w:r w:rsidR="00974E5C">
        <w:t>that measurement boundary</w:t>
      </w:r>
      <w:r w:rsidR="00EB209B">
        <w:t>; and</w:t>
      </w:r>
    </w:p>
    <w:p w14:paraId="21A8CD9A" w14:textId="3A54C79B" w:rsidR="007C5311" w:rsidRDefault="007C5311">
      <w:pPr>
        <w:pStyle w:val="ListNumber2"/>
        <w:numPr>
          <w:ilvl w:val="0"/>
          <w:numId w:val="66"/>
        </w:numPr>
        <w:jc w:val="left"/>
      </w:pPr>
      <w:r w:rsidRPr="001D6A03">
        <w:rPr>
          <w:i/>
          <w:iCs/>
        </w:rPr>
        <w:t>counted savings</w:t>
      </w:r>
      <w:r>
        <w:t xml:space="preserve"> is </w:t>
      </w:r>
      <w:r w:rsidRPr="00A21848">
        <w:t>a variable determined in accordance with section</w:t>
      </w:r>
      <w:r>
        <w:t xml:space="preserve"> 2. </w:t>
      </w:r>
    </w:p>
    <w:p w14:paraId="39AFAB24" w14:textId="77777777" w:rsidR="007C5311" w:rsidRDefault="007C5311" w:rsidP="00974E5C">
      <w:pPr>
        <w:pStyle w:val="ListNumber2"/>
      </w:pPr>
    </w:p>
    <w:p w14:paraId="0E50CE76" w14:textId="0CE82FE5" w:rsidR="00B46994" w:rsidRDefault="00B46994" w:rsidP="00B46994">
      <w:pPr>
        <w:pStyle w:val="Heading3"/>
      </w:pPr>
      <w:bookmarkStart w:id="110" w:name="_Toc188540998"/>
      <w:bookmarkStart w:id="111" w:name="_Toc200577509"/>
      <w:r>
        <w:lastRenderedPageBreak/>
        <w:t>Normal year energy savings</w:t>
      </w:r>
      <w:bookmarkEnd w:id="110"/>
      <w:bookmarkEnd w:id="111"/>
      <w:r>
        <w:t xml:space="preserve"> </w:t>
      </w:r>
    </w:p>
    <w:p w14:paraId="7A0A7DBE" w14:textId="3FA14460" w:rsidR="00DB400C" w:rsidRPr="00DB400C" w:rsidRDefault="00DB400C" w:rsidP="00F83712">
      <w:pPr>
        <w:pStyle w:val="CaptionImageorFigure"/>
      </w:pPr>
      <w:r>
        <w:t xml:space="preserve">Equation </w:t>
      </w:r>
      <w:r w:rsidR="00C97EA3">
        <w:t>4</w:t>
      </w:r>
      <w:r>
        <w:t>.2</w:t>
      </w:r>
    </w:p>
    <w:p w14:paraId="4D0D4A7A" w14:textId="46F432BE" w:rsidR="00B46994" w:rsidRPr="003D143A" w:rsidRDefault="00B46994" w:rsidP="67F75A7D">
      <w:pPr>
        <w:spacing w:line="360" w:lineRule="auto"/>
        <w:jc w:val="center"/>
        <w:rPr>
          <w:rFonts w:ascii="Times New Roman" w:eastAsiaTheme="minorEastAsia" w:hAnsi="Times New Roman"/>
          <w:sz w:val="24"/>
          <w:szCs w:val="24"/>
        </w:rPr>
      </w:pPr>
      <m:oMathPara>
        <m:oMath>
          <m:r>
            <w:rPr>
              <w:rFonts w:ascii="Cambria Math" w:hAnsi="Cambria Math"/>
              <w:sz w:val="24"/>
              <w:szCs w:val="24"/>
            </w:rPr>
            <m:t>normal year savings=</m:t>
          </m:r>
          <m:nary>
            <m:naryPr>
              <m:chr m:val="∑"/>
              <m:limLoc m:val="subSup"/>
              <m:supHide m:val="1"/>
              <m:ctrlPr>
                <w:rPr>
                  <w:rFonts w:ascii="Cambria Math" w:hAnsi="Cambria Math"/>
                  <w:i/>
                  <w:sz w:val="24"/>
                  <w:szCs w:val="24"/>
                </w:rPr>
              </m:ctrlPr>
            </m:naryPr>
            <m:sub>
              <m:r>
                <w:rPr>
                  <w:rFonts w:ascii="Cambria Math" w:hAnsi="Cambria Math"/>
                  <w:sz w:val="24"/>
                  <w:szCs w:val="24"/>
                </w:rPr>
                <m:t>t</m:t>
              </m:r>
            </m:sub>
            <m:sup/>
            <m:e>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BM,t</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OM,t</m:t>
                  </m:r>
                </m:sub>
              </m:sSub>
              <m:r>
                <w:rPr>
                  <w:rFonts w:ascii="Cambria Math"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 xml:space="preserve"> ERAF</m:t>
                  </m:r>
                </m:e>
                <m:sub>
                  <m:r>
                    <w:rPr>
                      <w:rFonts w:ascii="Cambria Math" w:eastAsiaTheme="minorEastAsia" w:hAnsi="Cambria Math"/>
                      <w:sz w:val="24"/>
                      <w:szCs w:val="24"/>
                    </w:rPr>
                    <m:t>t</m:t>
                  </m:r>
                </m:sub>
              </m:sSub>
            </m:e>
          </m:nary>
        </m:oMath>
      </m:oMathPara>
    </w:p>
    <w:p w14:paraId="11EEFA59" w14:textId="77777777" w:rsidR="00B46994" w:rsidRPr="003D143A" w:rsidRDefault="00B46994" w:rsidP="00B46994">
      <w:pPr>
        <w:pStyle w:val="BodyText"/>
        <w:rPr>
          <w:rFonts w:eastAsiaTheme="minorEastAsia"/>
        </w:rPr>
      </w:pPr>
      <w:r w:rsidRPr="003D143A">
        <w:rPr>
          <w:rFonts w:eastAsiaTheme="minorEastAsia"/>
        </w:rPr>
        <w:t>where:</w:t>
      </w:r>
    </w:p>
    <w:p w14:paraId="1806DB83" w14:textId="21055B92" w:rsidR="00B46994" w:rsidRPr="009F77A4" w:rsidRDefault="00B46994">
      <w:pPr>
        <w:pStyle w:val="ListNumber2"/>
        <w:numPr>
          <w:ilvl w:val="0"/>
          <w:numId w:val="67"/>
        </w:numPr>
        <w:jc w:val="left"/>
        <w:rPr>
          <w:rFonts w:cstheme="minorHAnsi"/>
        </w:rPr>
      </w:pPr>
      <m:oMath>
        <m:r>
          <w:rPr>
            <w:rFonts w:ascii="Cambria Math" w:hAnsi="Cambria Math" w:cstheme="minorHAnsi"/>
          </w:rPr>
          <m:t>t</m:t>
        </m:r>
      </m:oMath>
      <w:r w:rsidRPr="009F77A4">
        <w:rPr>
          <w:rFonts w:cstheme="minorHAnsi"/>
        </w:rPr>
        <w:t xml:space="preserve"> is an eligible time interval in the normal year</w:t>
      </w:r>
      <w:r>
        <w:rPr>
          <w:rFonts w:cstheme="minorHAnsi"/>
        </w:rPr>
        <w:t xml:space="preserve"> of that measurement boundary</w:t>
      </w:r>
      <w:r w:rsidR="00EB209B">
        <w:rPr>
          <w:rFonts w:cstheme="minorHAnsi"/>
        </w:rPr>
        <w:t>;</w:t>
      </w:r>
    </w:p>
    <w:p w14:paraId="5A1FE663" w14:textId="218225BD" w:rsidR="00B46994" w:rsidRDefault="00000000">
      <w:pPr>
        <w:pStyle w:val="ListNumber2"/>
        <w:numPr>
          <w:ilvl w:val="0"/>
          <w:numId w:val="67"/>
        </w:numPr>
        <w:jc w:val="left"/>
      </w:pPr>
      <m:oMath>
        <m:sSub>
          <m:sSubPr>
            <m:ctrlPr>
              <w:rPr>
                <w:rFonts w:ascii="Cambria Math" w:hAnsi="Cambria Math"/>
                <w:i/>
              </w:rPr>
            </m:ctrlPr>
          </m:sSubPr>
          <m:e>
            <m:r>
              <w:rPr>
                <w:rFonts w:ascii="Cambria Math" w:hAnsi="Cambria Math"/>
              </w:rPr>
              <m:t>E</m:t>
            </m:r>
          </m:e>
          <m:sub>
            <m:r>
              <w:rPr>
                <w:rFonts w:ascii="Cambria Math" w:hAnsi="Cambria Math"/>
              </w:rPr>
              <m:t>BM,t</m:t>
            </m:r>
          </m:sub>
        </m:sSub>
      </m:oMath>
      <w:r w:rsidR="00B46994" w:rsidRPr="00027054">
        <w:t xml:space="preserve"> is the energy consumption for </w:t>
      </w:r>
      <m:oMath>
        <m:r>
          <w:rPr>
            <w:rFonts w:ascii="Cambria Math" w:hAnsi="Cambria Math" w:cstheme="minorHAnsi"/>
          </w:rPr>
          <m:t>t</m:t>
        </m:r>
      </m:oMath>
      <w:r w:rsidR="00B46994" w:rsidRPr="00027054">
        <w:t xml:space="preserve"> from the baseline model</w:t>
      </w:r>
      <w:r w:rsidR="00B46994">
        <w:t xml:space="preserve"> of that measurement boundary</w:t>
      </w:r>
      <w:r w:rsidR="00EB209B">
        <w:t>;</w:t>
      </w:r>
    </w:p>
    <w:p w14:paraId="14D64DD7" w14:textId="61A997A9" w:rsidR="00B46994" w:rsidRDefault="00000000">
      <w:pPr>
        <w:pStyle w:val="ListNumber2"/>
        <w:numPr>
          <w:ilvl w:val="0"/>
          <w:numId w:val="67"/>
        </w:numPr>
        <w:jc w:val="left"/>
      </w:pPr>
      <m:oMath>
        <m:sSub>
          <m:sSubPr>
            <m:ctrlPr>
              <w:rPr>
                <w:rFonts w:ascii="Cambria Math" w:hAnsi="Cambria Math"/>
                <w:i/>
              </w:rPr>
            </m:ctrlPr>
          </m:sSubPr>
          <m:e>
            <m:r>
              <w:rPr>
                <w:rFonts w:ascii="Cambria Math" w:hAnsi="Cambria Math"/>
              </w:rPr>
              <m:t>E</m:t>
            </m:r>
          </m:e>
          <m:sub>
            <m:r>
              <w:rPr>
                <w:rFonts w:ascii="Cambria Math" w:hAnsi="Cambria Math"/>
              </w:rPr>
              <m:t>OM,t</m:t>
            </m:r>
          </m:sub>
        </m:sSub>
      </m:oMath>
      <w:r w:rsidR="00B46994" w:rsidRPr="00027054">
        <w:t xml:space="preserve"> is the energy consumption for </w:t>
      </w:r>
      <m:oMath>
        <m:r>
          <w:rPr>
            <w:rFonts w:ascii="Cambria Math" w:hAnsi="Cambria Math" w:cstheme="minorHAnsi"/>
          </w:rPr>
          <m:t>t</m:t>
        </m:r>
      </m:oMath>
      <w:r w:rsidR="00B46994" w:rsidRPr="00027054">
        <w:t xml:space="preserve"> from the operating model</w:t>
      </w:r>
      <w:r w:rsidR="00B46994">
        <w:t xml:space="preserve"> of that measurement boundar</w:t>
      </w:r>
      <w:r w:rsidR="00EB209B">
        <w:t>y; and</w:t>
      </w:r>
    </w:p>
    <w:p w14:paraId="7C74FDD4" w14:textId="3F9C5018" w:rsidR="00B46994" w:rsidRPr="009D17AD" w:rsidRDefault="00000000">
      <w:pPr>
        <w:pStyle w:val="ListNumber2"/>
        <w:numPr>
          <w:ilvl w:val="0"/>
          <w:numId w:val="67"/>
        </w:numPr>
        <w:jc w:val="left"/>
      </w:pPr>
      <m:oMath>
        <m:sSub>
          <m:sSubPr>
            <m:ctrlPr>
              <w:rPr>
                <w:rFonts w:ascii="Cambria Math" w:hAnsi="Cambria Math"/>
                <w:i/>
              </w:rPr>
            </m:ctrlPr>
          </m:sSubPr>
          <m:e>
            <m:r>
              <w:rPr>
                <w:rFonts w:ascii="Cambria Math" w:hAnsi="Cambria Math"/>
              </w:rPr>
              <m:t>ERAF</m:t>
            </m:r>
          </m:e>
          <m:sub>
            <m:r>
              <w:rPr>
                <w:rFonts w:ascii="Cambria Math" w:hAnsi="Cambria Math"/>
              </w:rPr>
              <m:t>t</m:t>
            </m:r>
          </m:sub>
        </m:sSub>
      </m:oMath>
      <w:r w:rsidR="00B46994" w:rsidRPr="009D17AD">
        <w:t xml:space="preserve"> is the </w:t>
      </w:r>
      <w:r w:rsidR="00C97EA3">
        <w:t>effective</w:t>
      </w:r>
      <w:r w:rsidR="00C97EA3" w:rsidRPr="009D17AD">
        <w:t xml:space="preserve"> </w:t>
      </w:r>
      <w:r w:rsidR="00B46994" w:rsidRPr="009D17AD">
        <w:t xml:space="preserve">range adjustment factor for </w:t>
      </w:r>
      <w:r w:rsidR="00B46994" w:rsidRPr="009D17AD">
        <w:rPr>
          <w:i/>
          <w:iCs/>
        </w:rPr>
        <w:t>t</w:t>
      </w:r>
      <w:r w:rsidR="00B46994" w:rsidRPr="009D17AD">
        <w:t xml:space="preserve"> of that measurement boundary</w:t>
      </w:r>
      <w:r w:rsidR="001E3097">
        <w:t>.</w:t>
      </w:r>
    </w:p>
    <w:p w14:paraId="1DCD3B53" w14:textId="4F8CB91E" w:rsidR="00605A83" w:rsidRDefault="00605A83" w:rsidP="00605A83">
      <w:pPr>
        <w:pStyle w:val="BodyText"/>
      </w:pPr>
    </w:p>
    <w:p w14:paraId="33EBCE58" w14:textId="73B67C1C" w:rsidR="00605A83" w:rsidRDefault="00605A83" w:rsidP="00605A83">
      <w:pPr>
        <w:pStyle w:val="Heading2"/>
      </w:pPr>
      <w:bookmarkStart w:id="112" w:name="_Toc200577510"/>
      <w:bookmarkStart w:id="113" w:name="_Toc232605531"/>
      <w:r>
        <w:t>Variables</w:t>
      </w:r>
      <w:bookmarkEnd w:id="112"/>
      <w:bookmarkEnd w:id="113"/>
    </w:p>
    <w:p w14:paraId="5FECFCB4" w14:textId="032AD192" w:rsidR="00605A83" w:rsidRDefault="00605A83" w:rsidP="00605A83">
      <w:pPr>
        <w:pStyle w:val="Heading3"/>
      </w:pPr>
      <w:bookmarkStart w:id="114" w:name="_Toc200577511"/>
      <w:r>
        <w:t>Measured energy savings</w:t>
      </w:r>
      <w:bookmarkEnd w:id="114"/>
    </w:p>
    <w:p w14:paraId="654D319E" w14:textId="356E33E2" w:rsidR="002566A2" w:rsidRDefault="00A10AA6">
      <w:pPr>
        <w:pStyle w:val="BodyText"/>
        <w:numPr>
          <w:ilvl w:val="0"/>
          <w:numId w:val="38"/>
        </w:numPr>
      </w:pPr>
      <w:r>
        <w:t>For the purpose of this</w:t>
      </w:r>
      <w:r w:rsidR="00762EB2">
        <w:t xml:space="preserve"> specified measurement</w:t>
      </w:r>
      <w:r>
        <w:t xml:space="preserve"> method</w:t>
      </w:r>
      <w:r w:rsidR="00C959EB">
        <w:t>,</w:t>
      </w:r>
      <w:r>
        <w:t xml:space="preserve"> </w:t>
      </w:r>
      <w:r w:rsidR="00C0600D">
        <w:t xml:space="preserve">the measurement boundary must align with the </w:t>
      </w:r>
      <w:r w:rsidR="00901888">
        <w:t xml:space="preserve">boundary of the </w:t>
      </w:r>
      <w:r w:rsidR="006776D5">
        <w:t>electricity site meter</w:t>
      </w:r>
      <w:r w:rsidR="00E2321A">
        <w:t>(s)</w:t>
      </w:r>
      <w:r w:rsidR="006776D5">
        <w:t xml:space="preserve"> </w:t>
      </w:r>
      <w:r w:rsidR="00F553FF">
        <w:t>for the premises</w:t>
      </w:r>
      <w:r w:rsidR="007B3600">
        <w:t>; and</w:t>
      </w:r>
    </w:p>
    <w:p w14:paraId="5B2AAC96" w14:textId="00F65D8D" w:rsidR="008A4C80" w:rsidRPr="002566A2" w:rsidRDefault="008A4C80">
      <w:pPr>
        <w:pStyle w:val="BodyText"/>
        <w:numPr>
          <w:ilvl w:val="0"/>
          <w:numId w:val="38"/>
        </w:numPr>
      </w:pPr>
      <w:r>
        <w:t xml:space="preserve">All other requirements for the measurement boundary also apply. </w:t>
      </w:r>
    </w:p>
    <w:p w14:paraId="03A2A676" w14:textId="77777777" w:rsidR="0022797F" w:rsidRPr="002566A2" w:rsidRDefault="0022797F" w:rsidP="0022797F">
      <w:pPr>
        <w:pStyle w:val="BodyText"/>
      </w:pPr>
    </w:p>
    <w:p w14:paraId="0857B390" w14:textId="666F80FF" w:rsidR="00605A83" w:rsidRDefault="00605A83" w:rsidP="00605A83">
      <w:pPr>
        <w:pStyle w:val="Heading3"/>
      </w:pPr>
      <w:bookmarkStart w:id="115" w:name="_Toc200577512"/>
      <w:r>
        <w:t>Accuracy factor</w:t>
      </w:r>
      <w:bookmarkEnd w:id="115"/>
    </w:p>
    <w:p w14:paraId="4B3BF1B4" w14:textId="58F09724" w:rsidR="00D3559F" w:rsidRPr="00D3559F" w:rsidRDefault="00D3559F" w:rsidP="00D3559F">
      <w:pPr>
        <w:pStyle w:val="BodyText"/>
      </w:pPr>
      <w:r>
        <w:t xml:space="preserve">For the purpose of this </w:t>
      </w:r>
      <w:r w:rsidR="00762EB2">
        <w:t xml:space="preserve">specified measurement </w:t>
      </w:r>
      <w:r>
        <w:t xml:space="preserve">method, the accuracy factor is 1. </w:t>
      </w:r>
    </w:p>
    <w:p w14:paraId="4282C19C" w14:textId="77777777" w:rsidR="0022797F" w:rsidRPr="00D3559F" w:rsidRDefault="0022797F" w:rsidP="00D3559F">
      <w:pPr>
        <w:pStyle w:val="BodyText"/>
      </w:pPr>
    </w:p>
    <w:p w14:paraId="5BB9CCE9" w14:textId="0DF806E1" w:rsidR="00605A83" w:rsidRDefault="00605A83" w:rsidP="00605A83">
      <w:pPr>
        <w:pStyle w:val="Heading3"/>
      </w:pPr>
      <w:bookmarkStart w:id="116" w:name="_Toc200577513"/>
      <w:r>
        <w:t>Normal year</w:t>
      </w:r>
      <w:bookmarkEnd w:id="116"/>
    </w:p>
    <w:p w14:paraId="3C9BB635" w14:textId="20E326CF" w:rsidR="00E34BA4" w:rsidRDefault="00E34BA4">
      <w:pPr>
        <w:pStyle w:val="BodyText"/>
        <w:numPr>
          <w:ilvl w:val="0"/>
          <w:numId w:val="60"/>
        </w:numPr>
      </w:pPr>
      <w:r>
        <w:t xml:space="preserve">For the purpose of this </w:t>
      </w:r>
      <w:r w:rsidR="00762EB2">
        <w:t xml:space="preserve">specified measurement </w:t>
      </w:r>
      <w:r>
        <w:t xml:space="preserve">method, the normal year </w:t>
      </w:r>
      <w:r w:rsidR="00B04F87">
        <w:t>can be based on:</w:t>
      </w:r>
    </w:p>
    <w:p w14:paraId="4DA41C3C" w14:textId="19C7D06A" w:rsidR="0056106C" w:rsidRDefault="007B3600">
      <w:pPr>
        <w:pStyle w:val="BodyText"/>
        <w:numPr>
          <w:ilvl w:val="1"/>
          <w:numId w:val="60"/>
        </w:numPr>
      </w:pPr>
      <w:r>
        <w:t>h</w:t>
      </w:r>
      <w:r w:rsidR="006B51AD">
        <w:t>istorical w</w:t>
      </w:r>
      <w:r w:rsidR="0056106C">
        <w:t xml:space="preserve">eather data from the Bureau of Meteorology from the nearest </w:t>
      </w:r>
      <w:r w:rsidR="00694FEB">
        <w:t xml:space="preserve">suitable </w:t>
      </w:r>
      <w:r w:rsidR="0056106C">
        <w:t>weather station to the premises</w:t>
      </w:r>
      <w:r w:rsidR="00785194">
        <w:t>,</w:t>
      </w:r>
      <w:r w:rsidR="007F4EA6">
        <w:t xml:space="preserve"> for the calendar year or financial year directly prior to the commencement of works</w:t>
      </w:r>
      <w:r w:rsidR="00470B65">
        <w:t>;</w:t>
      </w:r>
      <w:r w:rsidR="00785194">
        <w:t xml:space="preserve"> or </w:t>
      </w:r>
    </w:p>
    <w:p w14:paraId="371E2684" w14:textId="287D9FAE" w:rsidR="006B51AD" w:rsidRDefault="007B3600">
      <w:pPr>
        <w:pStyle w:val="BodyText"/>
        <w:numPr>
          <w:ilvl w:val="1"/>
          <w:numId w:val="60"/>
        </w:numPr>
      </w:pPr>
      <w:r>
        <w:t>a</w:t>
      </w:r>
      <w:r w:rsidR="006B51AD">
        <w:t xml:space="preserve"> typical meteorological year </w:t>
      </w:r>
      <w:r w:rsidR="7735FC32">
        <w:t xml:space="preserve">of </w:t>
      </w:r>
      <w:r w:rsidR="00C02DBC">
        <w:t>data for</w:t>
      </w:r>
      <w:r w:rsidR="00143EE1">
        <w:t xml:space="preserve"> a suitable location</w:t>
      </w:r>
      <w:r w:rsidR="009A5B69">
        <w:t>.</w:t>
      </w:r>
      <w:r w:rsidR="00143EE1">
        <w:t xml:space="preserve"> </w:t>
      </w:r>
    </w:p>
    <w:p w14:paraId="518337D6" w14:textId="77777777" w:rsidR="0022797F" w:rsidRDefault="0022797F" w:rsidP="0022797F">
      <w:pPr>
        <w:pStyle w:val="BodyText"/>
      </w:pPr>
    </w:p>
    <w:p w14:paraId="4F9664E4" w14:textId="6A564021" w:rsidR="00605A83" w:rsidRDefault="00605A83" w:rsidP="00605A83">
      <w:pPr>
        <w:pStyle w:val="Heading3"/>
      </w:pPr>
      <w:bookmarkStart w:id="117" w:name="_Toc200577514"/>
      <w:r>
        <w:t>Interactive energy savings</w:t>
      </w:r>
      <w:bookmarkEnd w:id="117"/>
    </w:p>
    <w:p w14:paraId="38DCFCEC" w14:textId="4F6E87CC" w:rsidR="0034715E" w:rsidRPr="00327F13" w:rsidRDefault="00327F13" w:rsidP="00D52008">
      <w:pPr>
        <w:pStyle w:val="BodyText"/>
      </w:pPr>
      <w:r w:rsidRPr="00327F13">
        <w:t>Given the</w:t>
      </w:r>
      <w:r w:rsidR="00186A82" w:rsidRPr="00327F13">
        <w:t xml:space="preserve"> Option C, whole of premises measurement approach</w:t>
      </w:r>
      <w:r w:rsidRPr="00327F13">
        <w:t>, i</w:t>
      </w:r>
      <w:r w:rsidR="0034715E" w:rsidRPr="00327F13">
        <w:t xml:space="preserve">nteractive savings are </w:t>
      </w:r>
      <w:r w:rsidR="00DA21AA" w:rsidRPr="00327F13">
        <w:t xml:space="preserve">not accounted for in this </w:t>
      </w:r>
      <w:r w:rsidR="00762EB2">
        <w:t xml:space="preserve">specified measurement </w:t>
      </w:r>
      <w:r w:rsidR="00DA21AA" w:rsidRPr="009D17AD">
        <w:t>method</w:t>
      </w:r>
      <w:r w:rsidR="00186A82" w:rsidRPr="009D17AD">
        <w:t xml:space="preserve"> – if the project has interactive </w:t>
      </w:r>
      <w:r w:rsidR="00A47DC9">
        <w:t>effects</w:t>
      </w:r>
      <w:r w:rsidR="001C6A3D" w:rsidRPr="009D17AD">
        <w:t xml:space="preserve"> greater than 1% of the</w:t>
      </w:r>
      <w:r w:rsidR="008E2D95" w:rsidRPr="009D17AD">
        <w:t xml:space="preserve"> energy for the</w:t>
      </w:r>
      <w:r w:rsidR="001C6A3D" w:rsidRPr="009D17AD">
        <w:t xml:space="preserve"> </w:t>
      </w:r>
      <w:r w:rsidR="008E2D95" w:rsidRPr="009D17AD">
        <w:t>measurement boundary</w:t>
      </w:r>
      <w:r w:rsidRPr="009D17AD">
        <w:t xml:space="preserve"> an alternative method</w:t>
      </w:r>
      <w:r w:rsidRPr="00327F13">
        <w:t xml:space="preserve"> should be used. </w:t>
      </w:r>
    </w:p>
    <w:p w14:paraId="5239EB86" w14:textId="77777777" w:rsidR="0022797F" w:rsidRPr="00327F13" w:rsidRDefault="0022797F" w:rsidP="00D52008">
      <w:pPr>
        <w:pStyle w:val="BodyText"/>
      </w:pPr>
    </w:p>
    <w:p w14:paraId="14AC82B1" w14:textId="6A98CE75" w:rsidR="00605A83" w:rsidRDefault="007F6F29" w:rsidP="00605A83">
      <w:pPr>
        <w:pStyle w:val="Heading3"/>
      </w:pPr>
      <w:bookmarkStart w:id="118" w:name="_Toc200577515"/>
      <w:r>
        <w:t>Persistence</w:t>
      </w:r>
      <w:r w:rsidR="00605A83">
        <w:t xml:space="preserve"> factor</w:t>
      </w:r>
      <w:bookmarkEnd w:id="118"/>
    </w:p>
    <w:p w14:paraId="4A259EAC" w14:textId="4AA5AF8A" w:rsidR="007F6F29" w:rsidRPr="007F6F29" w:rsidRDefault="007F6F29" w:rsidP="004B1D44">
      <w:pPr>
        <w:pStyle w:val="BodyText"/>
      </w:pPr>
      <w:r>
        <w:t xml:space="preserve">For the purpose of this </w:t>
      </w:r>
      <w:r w:rsidR="00A01290">
        <w:t xml:space="preserve">specified measurement </w:t>
      </w:r>
      <w:r>
        <w:t>method</w:t>
      </w:r>
      <w:r w:rsidR="00735D04">
        <w:t>,</w:t>
      </w:r>
      <w:r>
        <w:t xml:space="preserve"> the persistence factor is </w:t>
      </w:r>
      <w:r w:rsidR="001036F5">
        <w:t>9</w:t>
      </w:r>
      <w:r w:rsidR="001C7F38">
        <w:t xml:space="preserve">. </w:t>
      </w:r>
    </w:p>
    <w:p w14:paraId="07921CC4" w14:textId="046A2FE0" w:rsidR="00E80893" w:rsidRDefault="00E80893" w:rsidP="0022797F">
      <w:pPr>
        <w:pStyle w:val="Heading1-Topofpage"/>
        <w:numPr>
          <w:ilvl w:val="0"/>
          <w:numId w:val="0"/>
        </w:numPr>
        <w:ind w:left="432" w:hanging="432"/>
      </w:pPr>
    </w:p>
    <w:p w14:paraId="44628225" w14:textId="2CB08708" w:rsidR="00E80893" w:rsidRDefault="00E80893" w:rsidP="0022797F">
      <w:pPr>
        <w:pStyle w:val="Heading1-Topofpage"/>
        <w:numPr>
          <w:ilvl w:val="0"/>
          <w:numId w:val="0"/>
        </w:numPr>
        <w:ind w:left="432" w:hanging="432"/>
        <w:sectPr w:rsidR="00E80893" w:rsidSect="00747A21">
          <w:pgSz w:w="11907" w:h="16839" w:code="9"/>
          <w:pgMar w:top="1134" w:right="1134" w:bottom="1134" w:left="1134" w:header="283" w:footer="283" w:gutter="0"/>
          <w:cols w:space="454"/>
          <w:noEndnote/>
          <w:docGrid w:linePitch="360"/>
        </w:sectPr>
      </w:pPr>
    </w:p>
    <w:p w14:paraId="77E9673D" w14:textId="7F6976CB" w:rsidR="00E80893" w:rsidRDefault="00E80893" w:rsidP="00E37634">
      <w:pPr>
        <w:pStyle w:val="Heading1"/>
        <w:ind w:left="426"/>
      </w:pPr>
      <w:bookmarkStart w:id="119" w:name="_Toc200577516"/>
      <w:bookmarkStart w:id="120" w:name="_Toc232605532"/>
      <w:bookmarkStart w:id="121" w:name="_Toc239413188"/>
      <w:r>
        <w:lastRenderedPageBreak/>
        <w:t>Weather normalised whole of site gas measurement (option C)</w:t>
      </w:r>
      <w:bookmarkEnd w:id="119"/>
      <w:bookmarkEnd w:id="120"/>
      <w:bookmarkEnd w:id="121"/>
    </w:p>
    <w:p w14:paraId="502A88EB" w14:textId="77777777" w:rsidR="00E80893" w:rsidRDefault="00E80893" w:rsidP="00E80893">
      <w:pPr>
        <w:pStyle w:val="Heading2"/>
      </w:pPr>
      <w:bookmarkStart w:id="122" w:name="_Toc200577517"/>
      <w:bookmarkStart w:id="123" w:name="_Toc232605533"/>
      <w:r>
        <w:t>Information to be provided</w:t>
      </w:r>
      <w:bookmarkEnd w:id="122"/>
      <w:bookmarkEnd w:id="123"/>
    </w:p>
    <w:p w14:paraId="0AD37FA8" w14:textId="77777777" w:rsidR="00E80893" w:rsidRDefault="00E80893" w:rsidP="00E80893">
      <w:pPr>
        <w:pStyle w:val="Heading3"/>
      </w:pPr>
      <w:bookmarkStart w:id="124" w:name="_Toc200577518"/>
      <w:r>
        <w:t>Information to be provided in an application for scoping approval</w:t>
      </w:r>
      <w:bookmarkEnd w:id="124"/>
    </w:p>
    <w:p w14:paraId="0CED14F3" w14:textId="72F77DA7" w:rsidR="0033649B" w:rsidRPr="0033649B" w:rsidRDefault="0033649B">
      <w:pPr>
        <w:pStyle w:val="ListParagraph"/>
        <w:numPr>
          <w:ilvl w:val="0"/>
          <w:numId w:val="55"/>
        </w:numPr>
      </w:pPr>
      <w:r w:rsidRPr="0033649B">
        <w:t xml:space="preserve">A declaration that the upgrade is eligible to use the weather normalised whole of site </w:t>
      </w:r>
      <w:r>
        <w:t>gas</w:t>
      </w:r>
      <w:r w:rsidRPr="0033649B">
        <w:t xml:space="preserve"> measurement specified measurement method.</w:t>
      </w:r>
    </w:p>
    <w:p w14:paraId="6ED5132A" w14:textId="5BBAA8B1" w:rsidR="00E80893" w:rsidRDefault="00E80893">
      <w:pPr>
        <w:pStyle w:val="BodyText"/>
        <w:numPr>
          <w:ilvl w:val="0"/>
          <w:numId w:val="55"/>
        </w:numPr>
      </w:pPr>
      <w:r>
        <w:t xml:space="preserve">A declaration that data sources suitable for the use the whole of site gas measurement (option C) with weather normalised method will be used. Specifically: </w:t>
      </w:r>
    </w:p>
    <w:p w14:paraId="7F4D28DE" w14:textId="3372E0B3" w:rsidR="00E80893" w:rsidRDefault="007A30EA">
      <w:pPr>
        <w:pStyle w:val="BodyText"/>
        <w:numPr>
          <w:ilvl w:val="1"/>
          <w:numId w:val="55"/>
        </w:numPr>
      </w:pPr>
      <w:r>
        <w:t>g</w:t>
      </w:r>
      <w:r w:rsidR="00E80893">
        <w:t>as data collected from a utility billing meter at the premises; and</w:t>
      </w:r>
    </w:p>
    <w:p w14:paraId="4E25BB2B" w14:textId="2CF43D63" w:rsidR="00E80893" w:rsidRDefault="007A30EA">
      <w:pPr>
        <w:pStyle w:val="BodyText"/>
        <w:numPr>
          <w:ilvl w:val="1"/>
          <w:numId w:val="55"/>
        </w:numPr>
      </w:pPr>
      <w:r>
        <w:t>w</w:t>
      </w:r>
      <w:r w:rsidR="00E80893">
        <w:t xml:space="preserve">eather or temperature data from the Bureau of Meteorology or another reliable source measured in a location applicable for the premises. </w:t>
      </w:r>
    </w:p>
    <w:p w14:paraId="4BE00416" w14:textId="33672322" w:rsidR="00E80893" w:rsidRDefault="00E80893">
      <w:pPr>
        <w:pStyle w:val="BodyText"/>
        <w:numPr>
          <w:ilvl w:val="0"/>
          <w:numId w:val="55"/>
        </w:numPr>
      </w:pPr>
      <w:r>
        <w:t xml:space="preserve">A declaration that calculations or analysis have been performed to confirm that the project is suitable to use this </w:t>
      </w:r>
      <w:r w:rsidR="00C84203">
        <w:t xml:space="preserve">specified measurement </w:t>
      </w:r>
      <w:r>
        <w:t xml:space="preserve">method, including that the project is estimated to save equal to or greater than 10% of the metered </w:t>
      </w:r>
      <w:r w:rsidR="002A22FC">
        <w:t xml:space="preserve">gas </w:t>
      </w:r>
      <w:r>
        <w:t xml:space="preserve">of the site or </w:t>
      </w:r>
      <w:r w:rsidRPr="007A2122">
        <w:t>that the expected standard error of savings is less than half of the saving</w:t>
      </w:r>
      <w:r>
        <w:t>s</w:t>
      </w:r>
      <w:r w:rsidR="006935CA">
        <w:t xml:space="preserve">. </w:t>
      </w:r>
      <w:r>
        <w:t xml:space="preserve"> </w:t>
      </w:r>
    </w:p>
    <w:p w14:paraId="0538DE16" w14:textId="77777777" w:rsidR="0022797F" w:rsidRDefault="0022797F" w:rsidP="0022797F">
      <w:pPr>
        <w:pStyle w:val="BodyText"/>
      </w:pPr>
    </w:p>
    <w:p w14:paraId="7A7C47FD" w14:textId="77777777" w:rsidR="00E80893" w:rsidRDefault="00E80893" w:rsidP="00E80893">
      <w:pPr>
        <w:pStyle w:val="Heading2"/>
      </w:pPr>
      <w:bookmarkStart w:id="125" w:name="_Toc200577519"/>
      <w:bookmarkStart w:id="126" w:name="_Toc232605534"/>
      <w:r>
        <w:t>Methods</w:t>
      </w:r>
      <w:bookmarkEnd w:id="125"/>
      <w:bookmarkEnd w:id="126"/>
    </w:p>
    <w:p w14:paraId="5727EF57" w14:textId="6AB97332" w:rsidR="00DB400C" w:rsidRPr="00DB400C" w:rsidRDefault="00DB400C" w:rsidP="008D39D3">
      <w:pPr>
        <w:pStyle w:val="BodyText"/>
      </w:pPr>
      <w:r w:rsidRPr="00DB400C">
        <w:t xml:space="preserve">The carbon dioxide equivalent (in tonnes) of greenhouse gases to be reduced by undertaking a project is calculated using Equation </w:t>
      </w:r>
      <w:r w:rsidR="00DC0115">
        <w:t>5</w:t>
      </w:r>
      <w:r>
        <w:t>.1</w:t>
      </w:r>
      <w:r w:rsidRPr="00DB400C">
        <w:t xml:space="preserve">, where variables are determined in accordance with section 2, this section and </w:t>
      </w:r>
      <w:r w:rsidRPr="00E37634">
        <w:rPr>
          <w:i/>
        </w:rPr>
        <w:t>Accounting For COVID-19 Under VEU (2021)</w:t>
      </w:r>
      <w:r w:rsidRPr="00DB400C">
        <w:t xml:space="preserve"> where applicable.</w:t>
      </w:r>
    </w:p>
    <w:p w14:paraId="0CE2AE99" w14:textId="7F9BA1BB" w:rsidR="00E80893" w:rsidRDefault="00C15358" w:rsidP="00E80893">
      <w:pPr>
        <w:pStyle w:val="Heading3"/>
      </w:pPr>
      <w:bookmarkStart w:id="127" w:name="_Toc200577520"/>
      <w:r>
        <w:t>C</w:t>
      </w:r>
      <w:r w:rsidR="00E80893">
        <w:t>arbon dioxide equivalent to be reduced</w:t>
      </w:r>
      <w:bookmarkEnd w:id="127"/>
    </w:p>
    <w:p w14:paraId="69C717F8" w14:textId="67853421" w:rsidR="00106974" w:rsidRPr="00106974" w:rsidRDefault="00106974" w:rsidP="00106974">
      <w:pPr>
        <w:pStyle w:val="CaptionImageorFigure"/>
      </w:pPr>
      <w:r>
        <w:t xml:space="preserve">Equation </w:t>
      </w:r>
      <w:r w:rsidR="00D07013">
        <w:t>5</w:t>
      </w:r>
      <w:r>
        <w:t>.1</w:t>
      </w:r>
    </w:p>
    <w:p w14:paraId="6F50D675" w14:textId="0E104A17" w:rsidR="00E80893" w:rsidRDefault="00E80893" w:rsidP="00E80893">
      <w:pPr>
        <w:pStyle w:val="BodyText"/>
      </w:pPr>
      <m:oMathPara>
        <m:oMath>
          <m:r>
            <w:rPr>
              <w:rFonts w:ascii="Cambria Math" w:hAnsi="Cambria Math"/>
            </w:rPr>
            <m:t xml:space="preserve">carbon dioxide equivalent= </m:t>
          </m:r>
          <m:nary>
            <m:naryPr>
              <m:chr m:val="∑"/>
              <m:limLoc m:val="subSup"/>
              <m:supHide m:val="1"/>
              <m:ctrlPr>
                <w:rPr>
                  <w:rFonts w:ascii="Cambria Math" w:hAnsi="Cambria Math"/>
                  <w:i/>
                </w:rPr>
              </m:ctrlPr>
            </m:naryPr>
            <m:sub>
              <m:r>
                <w:rPr>
                  <w:rFonts w:ascii="Cambria Math" w:hAnsi="Cambria Math"/>
                </w:rPr>
                <m:t>j</m:t>
              </m:r>
            </m:sub>
            <m:sup/>
            <m:e>
              <m:r>
                <w:rPr>
                  <w:rFonts w:ascii="Cambria Math" w:hAnsi="Cambria Math"/>
                </w:rPr>
                <m:t>(</m:t>
              </m:r>
              <m:sSub>
                <m:sSubPr>
                  <m:ctrlPr>
                    <w:rPr>
                      <w:rFonts w:ascii="Cambria Math" w:hAnsi="Cambria Math"/>
                      <w:i/>
                    </w:rPr>
                  </m:ctrlPr>
                </m:sSubPr>
                <m:e>
                  <m:r>
                    <w:rPr>
                      <w:rFonts w:ascii="Cambria Math" w:hAnsi="Cambria Math"/>
                    </w:rPr>
                    <m:t>Savings</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EF</m:t>
                  </m:r>
                </m:e>
                <m:sub>
                  <m:r>
                    <w:rPr>
                      <w:rFonts w:ascii="Cambria Math" w:hAnsi="Cambria Math"/>
                    </w:rPr>
                    <m:t>j</m:t>
                  </m:r>
                </m:sub>
              </m:sSub>
              <m:r>
                <w:rPr>
                  <w:rFonts w:ascii="Cambria Math" w:hAnsi="Cambria Math"/>
                </w:rPr>
                <m:t xml:space="preserve"> ×</m:t>
              </m:r>
              <m:sSub>
                <m:sSubPr>
                  <m:ctrlPr>
                    <w:rPr>
                      <w:rFonts w:ascii="Cambria Math" w:hAnsi="Cambria Math"/>
                      <w:i/>
                    </w:rPr>
                  </m:ctrlPr>
                </m:sSubPr>
                <m:e>
                  <m:r>
                    <w:rPr>
                      <w:rFonts w:ascii="Cambria Math" w:hAnsi="Cambria Math"/>
                    </w:rPr>
                    <m:t>AF</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PF</m:t>
                  </m:r>
                </m:e>
                <m:sub>
                  <m:r>
                    <w:rPr>
                      <w:rFonts w:ascii="Cambria Math" w:hAnsi="Cambria Math"/>
                    </w:rPr>
                    <m:t>j</m:t>
                  </m:r>
                </m:sub>
              </m:sSub>
              <m:r>
                <w:rPr>
                  <w:rFonts w:ascii="Cambria Math" w:hAnsi="Cambria Math"/>
                </w:rPr>
                <m:t>)</m:t>
              </m:r>
            </m:e>
          </m:nary>
          <m:r>
            <w:rPr>
              <w:rFonts w:ascii="Cambria Math" w:hAnsi="Cambria Math"/>
            </w:rPr>
            <m:t>-counted savings</m:t>
          </m:r>
        </m:oMath>
      </m:oMathPara>
    </w:p>
    <w:p w14:paraId="0B402D29" w14:textId="77777777" w:rsidR="00E80893" w:rsidRDefault="00E80893" w:rsidP="00E80893">
      <w:pPr>
        <w:pStyle w:val="BodyText"/>
      </w:pPr>
      <w:r>
        <w:t>where:</w:t>
      </w:r>
    </w:p>
    <w:p w14:paraId="05C56504" w14:textId="694335F2" w:rsidR="00E80893" w:rsidRPr="00F768C1" w:rsidRDefault="00E80893">
      <w:pPr>
        <w:pStyle w:val="ListNumber2"/>
        <w:numPr>
          <w:ilvl w:val="0"/>
          <w:numId w:val="68"/>
        </w:numPr>
        <w:jc w:val="left"/>
      </w:pPr>
      <m:oMath>
        <m:r>
          <w:rPr>
            <w:rFonts w:ascii="Cambria Math" w:hAnsi="Cambria Math"/>
          </w:rPr>
          <m:t>j</m:t>
        </m:r>
      </m:oMath>
      <w:r>
        <w:t xml:space="preserve">  is the measurement boundary number in the case that there are multiple measurement boundaries included in one project</w:t>
      </w:r>
      <w:r w:rsidR="007B3600">
        <w:t>;</w:t>
      </w:r>
    </w:p>
    <w:p w14:paraId="00C103C7" w14:textId="7C2DD690" w:rsidR="00E80893" w:rsidRDefault="00E80893">
      <w:pPr>
        <w:pStyle w:val="ListNumber2"/>
        <w:numPr>
          <w:ilvl w:val="0"/>
          <w:numId w:val="68"/>
        </w:numPr>
        <w:jc w:val="left"/>
      </w:pPr>
      <w:proofErr w:type="spellStart"/>
      <w:r w:rsidRPr="009E7AE4">
        <w:rPr>
          <w:i/>
        </w:rPr>
        <w:t>savings</w:t>
      </w:r>
      <w:r w:rsidRPr="00724070">
        <w:rPr>
          <w:i/>
          <w:vertAlign w:val="subscript"/>
        </w:rPr>
        <w:t>j</w:t>
      </w:r>
      <w:proofErr w:type="spellEnd"/>
      <w:r w:rsidRPr="00DD0D8F">
        <w:t xml:space="preserve"> is</w:t>
      </w:r>
      <w:r>
        <w:t xml:space="preserve"> the normal year savings</w:t>
      </w:r>
      <w:r w:rsidRPr="00DD0D8F">
        <w:t xml:space="preserve"> calculated in </w:t>
      </w:r>
      <w:r w:rsidR="00D00B1D">
        <w:t>GJ</w:t>
      </w:r>
      <w:r w:rsidRPr="00DD0D8F">
        <w:t xml:space="preserve"> using </w:t>
      </w:r>
      <w:r w:rsidRPr="00F83712">
        <w:t>Equation</w:t>
      </w:r>
      <w:r w:rsidR="00CB574D" w:rsidRPr="00F83712">
        <w:t xml:space="preserve"> </w:t>
      </w:r>
      <w:r w:rsidR="00D07013">
        <w:t>5</w:t>
      </w:r>
      <w:r w:rsidR="00CB574D" w:rsidRPr="00F83712">
        <w:t>.2</w:t>
      </w:r>
      <w:r w:rsidRPr="00E42B74">
        <w:t xml:space="preserve"> for</w:t>
      </w:r>
      <w:r>
        <w:t xml:space="preserve"> measurement boundary </w:t>
      </w:r>
      <m:oMath>
        <m:r>
          <w:rPr>
            <w:rFonts w:ascii="Cambria Math" w:hAnsi="Cambria Math"/>
          </w:rPr>
          <m:t>j</m:t>
        </m:r>
      </m:oMath>
      <w:r w:rsidR="007B3600">
        <w:t>;</w:t>
      </w:r>
    </w:p>
    <w:p w14:paraId="07BA9B0D" w14:textId="4492FA91" w:rsidR="00E80893" w:rsidRPr="00647CCC" w:rsidRDefault="00E80893">
      <w:pPr>
        <w:pStyle w:val="ListNumber2"/>
        <w:numPr>
          <w:ilvl w:val="0"/>
          <w:numId w:val="68"/>
        </w:numPr>
        <w:rPr>
          <w:iCs/>
        </w:rPr>
      </w:pPr>
      <w:proofErr w:type="spellStart"/>
      <w:r>
        <w:rPr>
          <w:i/>
        </w:rPr>
        <w:t>EF</w:t>
      </w:r>
      <w:r w:rsidRPr="00724070">
        <w:rPr>
          <w:i/>
          <w:vertAlign w:val="subscript"/>
        </w:rPr>
        <w:t>j</w:t>
      </w:r>
      <w:proofErr w:type="spellEnd"/>
      <w:r>
        <w:rPr>
          <w:i/>
        </w:rPr>
        <w:t xml:space="preserve"> </w:t>
      </w:r>
      <w:r>
        <w:rPr>
          <w:iCs/>
        </w:rPr>
        <w:t>is the emissions factor for that measurement boundary</w:t>
      </w:r>
      <w:r w:rsidR="007B3600">
        <w:rPr>
          <w:iCs/>
        </w:rPr>
        <w:t>;</w:t>
      </w:r>
    </w:p>
    <w:p w14:paraId="14BE9C92" w14:textId="7B020C34" w:rsidR="00E80893" w:rsidRPr="00DD0D8F" w:rsidRDefault="00000000">
      <w:pPr>
        <w:pStyle w:val="ListNumber2"/>
        <w:numPr>
          <w:ilvl w:val="0"/>
          <w:numId w:val="68"/>
        </w:numPr>
      </w:pPr>
      <m:oMath>
        <m:sSub>
          <m:sSubPr>
            <m:ctrlPr>
              <w:rPr>
                <w:rFonts w:ascii="Cambria Math" w:hAnsi="Cambria Math"/>
              </w:rPr>
            </m:ctrlPr>
          </m:sSubPr>
          <m:e>
            <m:r>
              <m:rPr>
                <m:sty m:val="p"/>
              </m:rPr>
              <w:rPr>
                <w:rFonts w:ascii="Cambria Math" w:hAnsi="Cambria Math"/>
              </w:rPr>
              <m:t>AF</m:t>
            </m:r>
          </m:e>
          <m:sub>
            <m:r>
              <w:rPr>
                <w:rFonts w:ascii="Cambria Math" w:hAnsi="Cambria Math"/>
              </w:rPr>
              <m:t>j</m:t>
            </m:r>
          </m:sub>
        </m:sSub>
      </m:oMath>
      <w:r w:rsidR="00E80893" w:rsidRPr="005174F9">
        <w:t xml:space="preserve"> is the accuracy factor</w:t>
      </w:r>
      <w:r w:rsidR="00E80893">
        <w:t xml:space="preserve"> for the measurement boundary, being </w:t>
      </w:r>
      <w:r w:rsidR="006935CA">
        <w:t>0.9</w:t>
      </w:r>
      <w:r w:rsidR="007B3600">
        <w:t>;</w:t>
      </w:r>
    </w:p>
    <w:p w14:paraId="6F893AEE" w14:textId="62965D4D" w:rsidR="00E80893" w:rsidRDefault="00000000">
      <w:pPr>
        <w:pStyle w:val="ListNumber2"/>
        <w:numPr>
          <w:ilvl w:val="0"/>
          <w:numId w:val="68"/>
        </w:numPr>
      </w:pPr>
      <m:oMath>
        <m:sSub>
          <m:sSubPr>
            <m:ctrlPr>
              <w:rPr>
                <w:rFonts w:ascii="Cambria Math" w:hAnsi="Cambria Math"/>
              </w:rPr>
            </m:ctrlPr>
          </m:sSubPr>
          <m:e>
            <m:r>
              <m:rPr>
                <m:sty m:val="p"/>
              </m:rPr>
              <w:rPr>
                <w:rFonts w:ascii="Cambria Math" w:hAnsi="Cambria Math"/>
              </w:rPr>
              <m:t>PF</m:t>
            </m:r>
          </m:e>
          <m:sub>
            <m:r>
              <m:rPr>
                <m:sty m:val="p"/>
              </m:rPr>
              <w:rPr>
                <w:rFonts w:ascii="Cambria Math" w:hAnsi="Cambria Math"/>
              </w:rPr>
              <m:t>j</m:t>
            </m:r>
          </m:sub>
        </m:sSub>
      </m:oMath>
      <w:r w:rsidR="00E80893" w:rsidRPr="005174F9">
        <w:t xml:space="preserve"> is</w:t>
      </w:r>
      <w:r w:rsidR="00E80893" w:rsidRPr="00DD0D8F">
        <w:t xml:space="preserve"> the </w:t>
      </w:r>
      <w:r w:rsidR="00E80893">
        <w:t>persistence</w:t>
      </w:r>
      <w:r w:rsidR="00E80893" w:rsidRPr="00DD0D8F">
        <w:t xml:space="preserve"> factor for </w:t>
      </w:r>
      <w:r w:rsidR="00E80893">
        <w:t>that measurement boundary</w:t>
      </w:r>
      <w:r w:rsidR="007B3600">
        <w:t>; and</w:t>
      </w:r>
    </w:p>
    <w:p w14:paraId="47F38817" w14:textId="508E8CCB" w:rsidR="007C5311" w:rsidRDefault="007C5311">
      <w:pPr>
        <w:pStyle w:val="ListNumber2"/>
        <w:numPr>
          <w:ilvl w:val="0"/>
          <w:numId w:val="68"/>
        </w:numPr>
        <w:jc w:val="left"/>
      </w:pPr>
      <w:r w:rsidRPr="001D6A03">
        <w:rPr>
          <w:i/>
          <w:iCs/>
        </w:rPr>
        <w:t>counted savings</w:t>
      </w:r>
      <w:r>
        <w:t xml:space="preserve"> is </w:t>
      </w:r>
      <w:r w:rsidRPr="00A21848">
        <w:t>a variable determined in accordance with section</w:t>
      </w:r>
      <w:r>
        <w:t xml:space="preserve"> 2</w:t>
      </w:r>
      <w:r w:rsidR="001E3097">
        <w:t>.</w:t>
      </w:r>
    </w:p>
    <w:p w14:paraId="277E39BE" w14:textId="77777777" w:rsidR="007C5311" w:rsidRDefault="007C5311" w:rsidP="00E80893">
      <w:pPr>
        <w:pStyle w:val="ListNumber2"/>
      </w:pPr>
    </w:p>
    <w:p w14:paraId="7EA6B342" w14:textId="3CEA43F8" w:rsidR="00E80893" w:rsidRDefault="00E80893" w:rsidP="00E80893">
      <w:pPr>
        <w:pStyle w:val="Heading3"/>
      </w:pPr>
      <w:bookmarkStart w:id="128" w:name="_Toc200577521"/>
      <w:r>
        <w:t>Normal year energy savings</w:t>
      </w:r>
      <w:bookmarkEnd w:id="128"/>
      <w:r>
        <w:t xml:space="preserve"> </w:t>
      </w:r>
    </w:p>
    <w:p w14:paraId="5BF23A30" w14:textId="058D46D4" w:rsidR="00106974" w:rsidRPr="00106974" w:rsidRDefault="00106974" w:rsidP="00106974">
      <w:pPr>
        <w:pStyle w:val="CaptionImageorFigure"/>
      </w:pPr>
      <w:r>
        <w:t xml:space="preserve">Equation </w:t>
      </w:r>
      <w:r w:rsidR="00D07013">
        <w:t>5</w:t>
      </w:r>
      <w:r>
        <w:t>.2</w:t>
      </w:r>
    </w:p>
    <w:p w14:paraId="5C37D7B2" w14:textId="77777777" w:rsidR="00E80893" w:rsidRPr="003D143A" w:rsidRDefault="00E80893" w:rsidP="00E80893">
      <w:pPr>
        <w:spacing w:line="360" w:lineRule="auto"/>
        <w:jc w:val="center"/>
        <w:rPr>
          <w:rFonts w:ascii="Times New Roman" w:eastAsiaTheme="minorEastAsia" w:hAnsi="Times New Roman"/>
          <w:sz w:val="24"/>
          <w:szCs w:val="24"/>
        </w:rPr>
      </w:pPr>
      <m:oMathPara>
        <m:oMath>
          <m:r>
            <w:rPr>
              <w:rFonts w:ascii="Cambria Math" w:hAnsi="Cambria Math"/>
              <w:sz w:val="24"/>
              <w:szCs w:val="24"/>
            </w:rPr>
            <m:t>normal year savings=</m:t>
          </m:r>
          <m:nary>
            <m:naryPr>
              <m:chr m:val="∑"/>
              <m:limLoc m:val="subSup"/>
              <m:supHide m:val="1"/>
              <m:ctrlPr>
                <w:rPr>
                  <w:rFonts w:ascii="Cambria Math" w:hAnsi="Cambria Math"/>
                  <w:i/>
                  <w:sz w:val="24"/>
                  <w:szCs w:val="24"/>
                </w:rPr>
              </m:ctrlPr>
            </m:naryPr>
            <m:sub>
              <m:r>
                <w:rPr>
                  <w:rFonts w:ascii="Cambria Math" w:hAnsi="Cambria Math"/>
                  <w:sz w:val="24"/>
                  <w:szCs w:val="24"/>
                </w:rPr>
                <m:t>t</m:t>
              </m:r>
            </m:sub>
            <m:sup/>
            <m:e>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BM,t</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OM,t</m:t>
                  </m:r>
                </m:sub>
              </m:sSub>
              <m:r>
                <w:rPr>
                  <w:rFonts w:ascii="Cambria Math"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ERAF</m:t>
                  </m:r>
                </m:e>
                <m:sub>
                  <m:r>
                    <w:rPr>
                      <w:rFonts w:ascii="Cambria Math" w:eastAsiaTheme="minorEastAsia" w:hAnsi="Cambria Math"/>
                      <w:sz w:val="24"/>
                      <w:szCs w:val="24"/>
                    </w:rPr>
                    <m:t>t</m:t>
                  </m:r>
                </m:sub>
              </m:sSub>
            </m:e>
          </m:nary>
        </m:oMath>
      </m:oMathPara>
    </w:p>
    <w:p w14:paraId="655AB715" w14:textId="77777777" w:rsidR="00E80893" w:rsidRPr="003D143A" w:rsidRDefault="00E80893" w:rsidP="00E80893">
      <w:pPr>
        <w:pStyle w:val="BodyText"/>
        <w:rPr>
          <w:rFonts w:eastAsiaTheme="minorEastAsia"/>
        </w:rPr>
      </w:pPr>
      <w:r w:rsidRPr="003D143A">
        <w:rPr>
          <w:rFonts w:eastAsiaTheme="minorEastAsia"/>
        </w:rPr>
        <w:t>where:</w:t>
      </w:r>
    </w:p>
    <w:p w14:paraId="642E7E4A" w14:textId="5F8BD812" w:rsidR="00E80893" w:rsidRPr="009F77A4" w:rsidRDefault="00E80893">
      <w:pPr>
        <w:pStyle w:val="ListNumber2"/>
        <w:numPr>
          <w:ilvl w:val="0"/>
          <w:numId w:val="69"/>
        </w:numPr>
        <w:jc w:val="left"/>
        <w:rPr>
          <w:rFonts w:cstheme="minorHAnsi"/>
        </w:rPr>
      </w:pPr>
      <m:oMath>
        <m:r>
          <w:rPr>
            <w:rFonts w:ascii="Cambria Math" w:hAnsi="Cambria Math" w:cstheme="minorHAnsi"/>
          </w:rPr>
          <m:t>t</m:t>
        </m:r>
      </m:oMath>
      <w:r w:rsidRPr="009F77A4">
        <w:rPr>
          <w:rFonts w:cstheme="minorHAnsi"/>
        </w:rPr>
        <w:t xml:space="preserve"> is an eligible time interval in the normal year</w:t>
      </w:r>
      <w:r>
        <w:rPr>
          <w:rFonts w:cstheme="minorHAnsi"/>
        </w:rPr>
        <w:t xml:space="preserve"> of that measurement boundary</w:t>
      </w:r>
      <w:r w:rsidR="007B3600">
        <w:rPr>
          <w:rFonts w:cstheme="minorHAnsi"/>
        </w:rPr>
        <w:t>;</w:t>
      </w:r>
    </w:p>
    <w:p w14:paraId="66AFB8AB" w14:textId="148E26D6" w:rsidR="00E80893" w:rsidRDefault="00000000">
      <w:pPr>
        <w:pStyle w:val="ListNumber2"/>
        <w:numPr>
          <w:ilvl w:val="0"/>
          <w:numId w:val="69"/>
        </w:numPr>
        <w:jc w:val="left"/>
      </w:pPr>
      <m:oMath>
        <m:sSub>
          <m:sSubPr>
            <m:ctrlPr>
              <w:rPr>
                <w:rFonts w:ascii="Cambria Math" w:hAnsi="Cambria Math"/>
                <w:i/>
              </w:rPr>
            </m:ctrlPr>
          </m:sSubPr>
          <m:e>
            <m:r>
              <w:rPr>
                <w:rFonts w:ascii="Cambria Math" w:hAnsi="Cambria Math"/>
              </w:rPr>
              <m:t>E</m:t>
            </m:r>
          </m:e>
          <m:sub>
            <m:r>
              <w:rPr>
                <w:rFonts w:ascii="Cambria Math" w:hAnsi="Cambria Math"/>
              </w:rPr>
              <m:t>BM,t</m:t>
            </m:r>
          </m:sub>
        </m:sSub>
      </m:oMath>
      <w:r w:rsidR="00E80893" w:rsidRPr="00027054">
        <w:t xml:space="preserve"> is the energy consumption for </w:t>
      </w:r>
      <m:oMath>
        <m:r>
          <w:rPr>
            <w:rFonts w:ascii="Cambria Math" w:hAnsi="Cambria Math" w:cstheme="minorHAnsi"/>
          </w:rPr>
          <m:t>t</m:t>
        </m:r>
      </m:oMath>
      <w:r w:rsidR="00E80893" w:rsidRPr="00027054">
        <w:t xml:space="preserve"> from the baseline model</w:t>
      </w:r>
      <w:r w:rsidR="00E80893">
        <w:t xml:space="preserve"> of that measurement boundary</w:t>
      </w:r>
      <w:r w:rsidR="007B3600">
        <w:t>;</w:t>
      </w:r>
    </w:p>
    <w:p w14:paraId="7E4C6583" w14:textId="21833D48" w:rsidR="00E80893" w:rsidRDefault="00000000">
      <w:pPr>
        <w:pStyle w:val="ListNumber2"/>
        <w:numPr>
          <w:ilvl w:val="0"/>
          <w:numId w:val="69"/>
        </w:numPr>
        <w:jc w:val="left"/>
      </w:pPr>
      <m:oMath>
        <m:sSub>
          <m:sSubPr>
            <m:ctrlPr>
              <w:rPr>
                <w:rFonts w:ascii="Cambria Math" w:hAnsi="Cambria Math"/>
                <w:i/>
              </w:rPr>
            </m:ctrlPr>
          </m:sSubPr>
          <m:e>
            <m:r>
              <w:rPr>
                <w:rFonts w:ascii="Cambria Math" w:hAnsi="Cambria Math"/>
              </w:rPr>
              <m:t>E</m:t>
            </m:r>
          </m:e>
          <m:sub>
            <m:r>
              <w:rPr>
                <w:rFonts w:ascii="Cambria Math" w:hAnsi="Cambria Math"/>
              </w:rPr>
              <m:t>OM,t</m:t>
            </m:r>
          </m:sub>
        </m:sSub>
      </m:oMath>
      <w:r w:rsidR="00E80893" w:rsidRPr="00027054">
        <w:t xml:space="preserve"> is the energy consumption for </w:t>
      </w:r>
      <m:oMath>
        <m:r>
          <w:rPr>
            <w:rFonts w:ascii="Cambria Math" w:hAnsi="Cambria Math" w:cstheme="minorHAnsi"/>
          </w:rPr>
          <m:t>t</m:t>
        </m:r>
      </m:oMath>
      <w:r w:rsidR="00E80893" w:rsidRPr="00027054">
        <w:t xml:space="preserve"> from the operating model</w:t>
      </w:r>
      <w:r w:rsidR="00E80893">
        <w:t xml:space="preserve"> of that measurement boundary</w:t>
      </w:r>
      <w:r w:rsidR="007B3600">
        <w:t>; and</w:t>
      </w:r>
    </w:p>
    <w:p w14:paraId="53DF5A49" w14:textId="794C2370" w:rsidR="00E80893" w:rsidRDefault="00000000">
      <w:pPr>
        <w:pStyle w:val="ListNumber2"/>
        <w:numPr>
          <w:ilvl w:val="0"/>
          <w:numId w:val="69"/>
        </w:numPr>
        <w:jc w:val="left"/>
      </w:pPr>
      <m:oMath>
        <m:sSub>
          <m:sSubPr>
            <m:ctrlPr>
              <w:rPr>
                <w:rFonts w:ascii="Cambria Math" w:hAnsi="Cambria Math"/>
                <w:i/>
              </w:rPr>
            </m:ctrlPr>
          </m:sSubPr>
          <m:e>
            <m:r>
              <w:rPr>
                <w:rFonts w:ascii="Cambria Math" w:hAnsi="Cambria Math"/>
              </w:rPr>
              <m:t>ERAF</m:t>
            </m:r>
          </m:e>
          <m:sub>
            <m:r>
              <w:rPr>
                <w:rFonts w:ascii="Cambria Math" w:hAnsi="Cambria Math"/>
              </w:rPr>
              <m:t>t</m:t>
            </m:r>
          </m:sub>
        </m:sSub>
      </m:oMath>
      <w:r w:rsidR="00E80893" w:rsidRPr="00F83712">
        <w:t xml:space="preserve"> is the </w:t>
      </w:r>
      <w:r w:rsidR="00D07013" w:rsidRPr="00F83712">
        <w:t>e</w:t>
      </w:r>
      <w:r w:rsidR="00D07013">
        <w:t>ffective</w:t>
      </w:r>
      <w:r w:rsidR="00D07013" w:rsidRPr="00F83712">
        <w:t xml:space="preserve"> </w:t>
      </w:r>
      <w:r w:rsidR="00E80893" w:rsidRPr="00F83712">
        <w:t xml:space="preserve">range adjustment factor for </w:t>
      </w:r>
      <w:r w:rsidR="00E80893" w:rsidRPr="00F83712">
        <w:rPr>
          <w:i/>
          <w:iCs/>
        </w:rPr>
        <w:t>t</w:t>
      </w:r>
      <w:r w:rsidR="00E80893" w:rsidRPr="00F83712">
        <w:t xml:space="preserve"> of that measurement boundary</w:t>
      </w:r>
      <w:r w:rsidR="00484A43">
        <w:t>.</w:t>
      </w:r>
    </w:p>
    <w:p w14:paraId="1B4C7E75" w14:textId="77777777" w:rsidR="00DD4E15" w:rsidRPr="00F83712" w:rsidRDefault="00DD4E15" w:rsidP="00DD4E15">
      <w:pPr>
        <w:pStyle w:val="ListNumber2"/>
        <w:jc w:val="left"/>
      </w:pPr>
    </w:p>
    <w:p w14:paraId="6045AA32" w14:textId="77777777" w:rsidR="00E80893" w:rsidRDefault="00E80893" w:rsidP="00E80893">
      <w:pPr>
        <w:pStyle w:val="Heading2"/>
      </w:pPr>
      <w:bookmarkStart w:id="129" w:name="_Toc200577522"/>
      <w:bookmarkStart w:id="130" w:name="_Toc232605535"/>
      <w:r>
        <w:t>Variables</w:t>
      </w:r>
      <w:bookmarkEnd w:id="129"/>
      <w:bookmarkEnd w:id="130"/>
    </w:p>
    <w:p w14:paraId="6B9F2FBB" w14:textId="77777777" w:rsidR="00E80893" w:rsidRDefault="00E80893" w:rsidP="00E80893">
      <w:pPr>
        <w:pStyle w:val="Heading3"/>
      </w:pPr>
      <w:bookmarkStart w:id="131" w:name="_Toc200577523"/>
      <w:r>
        <w:t>Measured energy savings</w:t>
      </w:r>
      <w:bookmarkEnd w:id="131"/>
    </w:p>
    <w:p w14:paraId="54F70488" w14:textId="16BB9A5C" w:rsidR="00E80893" w:rsidRDefault="00E80893">
      <w:pPr>
        <w:pStyle w:val="BodyText"/>
        <w:numPr>
          <w:ilvl w:val="0"/>
          <w:numId w:val="56"/>
        </w:numPr>
      </w:pPr>
      <w:r>
        <w:t xml:space="preserve">For the purpose of this </w:t>
      </w:r>
      <w:r w:rsidR="00C84203">
        <w:t xml:space="preserve">specified measurement </w:t>
      </w:r>
      <w:r>
        <w:t xml:space="preserve">method the measurement boundary must align with the boundary of the </w:t>
      </w:r>
      <w:r w:rsidR="00D00B1D">
        <w:t xml:space="preserve">gas </w:t>
      </w:r>
      <w:r>
        <w:t>site meter(s) for the premises</w:t>
      </w:r>
      <w:r w:rsidR="007B3600">
        <w:t>; and</w:t>
      </w:r>
    </w:p>
    <w:p w14:paraId="2375A8F4" w14:textId="0EA68CE5" w:rsidR="00E80893" w:rsidRPr="002566A2" w:rsidRDefault="00E80893">
      <w:pPr>
        <w:pStyle w:val="BodyText"/>
        <w:numPr>
          <w:ilvl w:val="0"/>
          <w:numId w:val="56"/>
        </w:numPr>
      </w:pPr>
      <w:r>
        <w:t xml:space="preserve">All other requirements for the measurement boundary also apply. </w:t>
      </w:r>
    </w:p>
    <w:p w14:paraId="62DE302B" w14:textId="77777777" w:rsidR="0022797F" w:rsidRPr="002566A2" w:rsidRDefault="0022797F" w:rsidP="0022797F">
      <w:pPr>
        <w:pStyle w:val="BodyText"/>
      </w:pPr>
    </w:p>
    <w:p w14:paraId="73DF606B" w14:textId="77777777" w:rsidR="00E80893" w:rsidRDefault="00E80893" w:rsidP="00E80893">
      <w:pPr>
        <w:pStyle w:val="Heading3"/>
      </w:pPr>
      <w:bookmarkStart w:id="132" w:name="_Toc200577524"/>
      <w:r>
        <w:t>Accuracy factor</w:t>
      </w:r>
      <w:bookmarkEnd w:id="132"/>
    </w:p>
    <w:p w14:paraId="5B82E986" w14:textId="361D6814" w:rsidR="00E80893" w:rsidRPr="00D3559F" w:rsidRDefault="00E80893" w:rsidP="00E80893">
      <w:pPr>
        <w:pStyle w:val="BodyText"/>
      </w:pPr>
      <w:r>
        <w:t xml:space="preserve">For the purpose of this </w:t>
      </w:r>
      <w:r w:rsidR="00C84203">
        <w:t xml:space="preserve">specified measurement </w:t>
      </w:r>
      <w:r>
        <w:t xml:space="preserve">method, the accuracy factor is </w:t>
      </w:r>
      <w:r w:rsidR="006935CA">
        <w:t>0.9</w:t>
      </w:r>
      <w:r>
        <w:t xml:space="preserve">. </w:t>
      </w:r>
    </w:p>
    <w:p w14:paraId="487CABA9" w14:textId="77777777" w:rsidR="0022797F" w:rsidRPr="00D3559F" w:rsidRDefault="0022797F" w:rsidP="00E80893">
      <w:pPr>
        <w:pStyle w:val="BodyText"/>
      </w:pPr>
    </w:p>
    <w:p w14:paraId="48458EDF" w14:textId="77777777" w:rsidR="00E80893" w:rsidRDefault="00E80893" w:rsidP="00E80893">
      <w:pPr>
        <w:pStyle w:val="Heading3"/>
      </w:pPr>
      <w:bookmarkStart w:id="133" w:name="_Toc200577525"/>
      <w:r>
        <w:t>Normal year</w:t>
      </w:r>
      <w:bookmarkEnd w:id="133"/>
    </w:p>
    <w:p w14:paraId="2F86EF02" w14:textId="212EAAFF" w:rsidR="00E80893" w:rsidRDefault="00E80893">
      <w:pPr>
        <w:pStyle w:val="BodyText"/>
        <w:numPr>
          <w:ilvl w:val="0"/>
          <w:numId w:val="80"/>
        </w:numPr>
      </w:pPr>
      <w:r>
        <w:t xml:space="preserve">For the purpose of this </w:t>
      </w:r>
      <w:r w:rsidR="00C84203">
        <w:t xml:space="preserve">specified measurement </w:t>
      </w:r>
      <w:r>
        <w:t xml:space="preserve">method, the </w:t>
      </w:r>
      <w:r w:rsidR="00F83712">
        <w:t xml:space="preserve">independent variables for the </w:t>
      </w:r>
      <w:r>
        <w:t xml:space="preserve">normal year </w:t>
      </w:r>
      <w:r w:rsidR="00F83712">
        <w:t xml:space="preserve">should </w:t>
      </w:r>
      <w:r>
        <w:t>be based on:</w:t>
      </w:r>
    </w:p>
    <w:p w14:paraId="0900BF96" w14:textId="2319471F" w:rsidR="00F83712" w:rsidRDefault="00484A43">
      <w:pPr>
        <w:pStyle w:val="BodyText"/>
        <w:numPr>
          <w:ilvl w:val="1"/>
          <w:numId w:val="80"/>
        </w:numPr>
      </w:pPr>
      <w:r>
        <w:t>h</w:t>
      </w:r>
      <w:r w:rsidR="00F83712" w:rsidRPr="00F83712">
        <w:t>istorical weather data from the Bureau of Meteorology from the nearest suitable weather station to the premises, for the calendar year or financial year directly prior to the commencement of works</w:t>
      </w:r>
      <w:r w:rsidR="00F83712">
        <w:t>;</w:t>
      </w:r>
      <w:r w:rsidR="00F83712" w:rsidRPr="00F83712">
        <w:t xml:space="preserve"> or </w:t>
      </w:r>
    </w:p>
    <w:p w14:paraId="20EC98A1" w14:textId="355994DE" w:rsidR="00E80893" w:rsidRDefault="00484A43">
      <w:pPr>
        <w:pStyle w:val="BodyText"/>
        <w:numPr>
          <w:ilvl w:val="1"/>
          <w:numId w:val="80"/>
        </w:numPr>
      </w:pPr>
      <w:r>
        <w:t>a</w:t>
      </w:r>
      <w:r w:rsidR="00E80893">
        <w:t xml:space="preserve"> typical meteorological year of data for a suitable location. </w:t>
      </w:r>
    </w:p>
    <w:p w14:paraId="3AAE1451" w14:textId="77777777" w:rsidR="0022797F" w:rsidRDefault="0022797F" w:rsidP="0022797F">
      <w:pPr>
        <w:pStyle w:val="BodyText"/>
      </w:pPr>
    </w:p>
    <w:p w14:paraId="34141BBE" w14:textId="10C9106A" w:rsidR="00B46DC6" w:rsidRDefault="00745B3B" w:rsidP="00E80893">
      <w:pPr>
        <w:pStyle w:val="Heading3"/>
      </w:pPr>
      <w:bookmarkStart w:id="134" w:name="_Toc200577526"/>
      <w:r>
        <w:t xml:space="preserve">Baseline </w:t>
      </w:r>
      <w:r w:rsidR="003955D9">
        <w:t xml:space="preserve">and operating </w:t>
      </w:r>
      <w:r w:rsidR="00B46DC6">
        <w:t>model</w:t>
      </w:r>
      <w:bookmarkEnd w:id="134"/>
    </w:p>
    <w:p w14:paraId="38418332" w14:textId="78F8826F" w:rsidR="00490BA0" w:rsidRPr="00490BA0" w:rsidRDefault="00490BA0" w:rsidP="009F1066">
      <w:pPr>
        <w:pStyle w:val="BodyText"/>
      </w:pPr>
      <w:r>
        <w:t>The requirements for the baseline and operating model listed in Section 2 a</w:t>
      </w:r>
      <w:r w:rsidR="0060109B">
        <w:t>re</w:t>
      </w:r>
      <w:r>
        <w:t xml:space="preserve"> modified in the following ways for this </w:t>
      </w:r>
      <w:r w:rsidR="00C84691">
        <w:t xml:space="preserve">specified measurement </w:t>
      </w:r>
      <w:r>
        <w:t xml:space="preserve">method: </w:t>
      </w:r>
    </w:p>
    <w:p w14:paraId="6BFD9C0F" w14:textId="668E6249" w:rsidR="00B46DC6" w:rsidRPr="005C7BF9" w:rsidRDefault="00B46DC6">
      <w:pPr>
        <w:pStyle w:val="ListNumber2"/>
        <w:numPr>
          <w:ilvl w:val="0"/>
          <w:numId w:val="44"/>
        </w:numPr>
        <w:jc w:val="left"/>
      </w:pPr>
      <w:r w:rsidRPr="005C7BF9">
        <w:t>A baseline energy model is</w:t>
      </w:r>
      <w:r>
        <w:t xml:space="preserve"> </w:t>
      </w:r>
      <w:r w:rsidRPr="005C7BF9">
        <w:t>established by</w:t>
      </w:r>
      <w:r>
        <w:t xml:space="preserve"> </w:t>
      </w:r>
      <w:r w:rsidRPr="005C7BF9">
        <w:t>regression analysis that:</w:t>
      </w:r>
    </w:p>
    <w:p w14:paraId="7B58E6B4" w14:textId="201EA5DB" w:rsidR="00B46DC6" w:rsidRPr="00D01A0D" w:rsidRDefault="00B46DC6">
      <w:pPr>
        <w:pStyle w:val="ListAlpha3"/>
        <w:numPr>
          <w:ilvl w:val="1"/>
          <w:numId w:val="44"/>
        </w:numPr>
      </w:pPr>
      <w:r w:rsidRPr="00D01A0D">
        <w:t>is based on the value</w:t>
      </w:r>
      <w:r>
        <w:t>s</w:t>
      </w:r>
      <w:r w:rsidRPr="00D01A0D">
        <w:t xml:space="preserve"> of the measured energy consumption</w:t>
      </w:r>
      <w:r>
        <w:t xml:space="preserve"> within the measurement boundary</w:t>
      </w:r>
      <w:r w:rsidRPr="00D01A0D">
        <w:t xml:space="preserve"> and independent variables during the baseline period where site constants are at their normal values; and</w:t>
      </w:r>
    </w:p>
    <w:p w14:paraId="1C977FF4" w14:textId="48B0D3CD" w:rsidR="00B46DC6" w:rsidRPr="00D01A0D" w:rsidRDefault="00B46DC6">
      <w:pPr>
        <w:pStyle w:val="ListAlpha3"/>
        <w:numPr>
          <w:ilvl w:val="1"/>
          <w:numId w:val="44"/>
        </w:numPr>
      </w:pPr>
      <w:r w:rsidRPr="00D01A0D">
        <w:t>is based on at least 80% of the total number of time intervals in the baseline period (for a baseline energy model)</w:t>
      </w:r>
      <w:r w:rsidR="00484A43">
        <w:t>;</w:t>
      </w:r>
      <w:r w:rsidRPr="00D01A0D">
        <w:t xml:space="preserve"> and</w:t>
      </w:r>
    </w:p>
    <w:p w14:paraId="5A45EA3D" w14:textId="6BBBE144" w:rsidR="00B46DC6" w:rsidRDefault="00B46DC6">
      <w:pPr>
        <w:pStyle w:val="ListAlpha3"/>
        <w:numPr>
          <w:ilvl w:val="1"/>
          <w:numId w:val="44"/>
        </w:numPr>
      </w:pPr>
      <w:r>
        <w:t xml:space="preserve">has one less than at least six times </w:t>
      </w:r>
      <w:r w:rsidRPr="00FB7989">
        <w:t>as many</w:t>
      </w:r>
      <w:r>
        <w:t xml:space="preserve"> independent observations of the independent variables as the number of independent variables in the energy model. </w:t>
      </w:r>
    </w:p>
    <w:p w14:paraId="0F692A9E" w14:textId="53F76EB4" w:rsidR="00B46DC6" w:rsidRPr="008729F9" w:rsidRDefault="00B46DC6">
      <w:pPr>
        <w:pStyle w:val="ListNumber2"/>
        <w:numPr>
          <w:ilvl w:val="0"/>
          <w:numId w:val="44"/>
        </w:numPr>
        <w:jc w:val="left"/>
      </w:pPr>
      <w:r w:rsidRPr="008729F9">
        <w:t xml:space="preserve">The baseline period referred to in </w:t>
      </w:r>
      <w:r w:rsidRPr="008729F9">
        <w:fldChar w:fldCharType="begin"/>
      </w:r>
      <w:r w:rsidRPr="008729F9">
        <w:instrText xml:space="preserve"> REF _Ref466022401 \r \h  \* MERGEFORMAT </w:instrText>
      </w:r>
      <w:r w:rsidRPr="008729F9">
        <w:fldChar w:fldCharType="separate"/>
      </w:r>
      <w:r w:rsidR="003363DF">
        <w:t>(1)</w:t>
      </w:r>
      <w:r w:rsidRPr="008729F9">
        <w:fldChar w:fldCharType="end"/>
      </w:r>
      <w:r w:rsidRPr="008729F9">
        <w:t>:</w:t>
      </w:r>
    </w:p>
    <w:p w14:paraId="50949A1B" w14:textId="7FF02B80" w:rsidR="00B46DC6" w:rsidRPr="008729F9" w:rsidRDefault="00B46DC6">
      <w:pPr>
        <w:pStyle w:val="ListNumber3"/>
        <w:numPr>
          <w:ilvl w:val="1"/>
          <w:numId w:val="44"/>
        </w:numPr>
        <w:jc w:val="left"/>
      </w:pPr>
      <w:r w:rsidRPr="008729F9">
        <w:t xml:space="preserve">must not end more than </w:t>
      </w:r>
      <w:r w:rsidR="00A750D7">
        <w:t>36</w:t>
      </w:r>
      <w:r w:rsidR="00A750D7" w:rsidRPr="008729F9">
        <w:t xml:space="preserve"> </w:t>
      </w:r>
      <w:r w:rsidRPr="008729F9">
        <w:t>months before the day</w:t>
      </w:r>
      <w:r>
        <w:t xml:space="preserve"> work for the purposes of the upgrade has commenced at the Premises</w:t>
      </w:r>
      <w:r w:rsidRPr="008729F9">
        <w:t>; and</w:t>
      </w:r>
    </w:p>
    <w:p w14:paraId="6FE8EC2D" w14:textId="1EE6F00B" w:rsidR="00B46DC6" w:rsidRDefault="00B46DC6">
      <w:pPr>
        <w:pStyle w:val="ListNumber3"/>
        <w:numPr>
          <w:ilvl w:val="1"/>
          <w:numId w:val="44"/>
        </w:numPr>
        <w:jc w:val="left"/>
      </w:pPr>
      <w:r w:rsidRPr="008729F9">
        <w:t xml:space="preserve">must end before the day and time that </w:t>
      </w:r>
      <w:r>
        <w:t>work for the purposes of the upgrade has commenced at the premises.</w:t>
      </w:r>
    </w:p>
    <w:p w14:paraId="141EE759" w14:textId="4BD53B1E" w:rsidR="00B54B48" w:rsidRPr="00B46DC6" w:rsidRDefault="00346CF2">
      <w:pPr>
        <w:pStyle w:val="ListNumber3"/>
        <w:numPr>
          <w:ilvl w:val="0"/>
          <w:numId w:val="44"/>
        </w:numPr>
        <w:jc w:val="left"/>
      </w:pPr>
      <w:r>
        <w:t xml:space="preserve">The operating model is established as per the directions in </w:t>
      </w:r>
      <w:r w:rsidR="00C93740">
        <w:t xml:space="preserve">Section </w:t>
      </w:r>
      <w:r>
        <w:t xml:space="preserve">2 of this document. </w:t>
      </w:r>
    </w:p>
    <w:p w14:paraId="7A3258FC" w14:textId="77777777" w:rsidR="0022797F" w:rsidRPr="00B46DC6" w:rsidRDefault="0022797F" w:rsidP="0022797F">
      <w:pPr>
        <w:pStyle w:val="ListNumber3"/>
        <w:ind w:left="0" w:firstLine="0"/>
        <w:jc w:val="left"/>
      </w:pPr>
    </w:p>
    <w:p w14:paraId="2FA81867" w14:textId="20A34ED6" w:rsidR="00E80893" w:rsidRDefault="00E80893" w:rsidP="00E80893">
      <w:pPr>
        <w:pStyle w:val="Heading3"/>
      </w:pPr>
      <w:bookmarkStart w:id="135" w:name="_Toc200577527"/>
      <w:r>
        <w:lastRenderedPageBreak/>
        <w:t>Interactive energy savings</w:t>
      </w:r>
      <w:bookmarkEnd w:id="135"/>
    </w:p>
    <w:p w14:paraId="089315B0" w14:textId="3442642B" w:rsidR="00322D98" w:rsidRPr="00327F13" w:rsidRDefault="00322D98" w:rsidP="00322D98">
      <w:pPr>
        <w:pStyle w:val="BodyText"/>
      </w:pPr>
      <w:r w:rsidRPr="00327F13">
        <w:t xml:space="preserve">Given the Option C, whole of premises measurement approach, interactive </w:t>
      </w:r>
      <w:r w:rsidR="008B41F6">
        <w:t>effects</w:t>
      </w:r>
      <w:r w:rsidRPr="00327F13">
        <w:t xml:space="preserve"> are not accounted for in this </w:t>
      </w:r>
      <w:r>
        <w:t xml:space="preserve">specified measurement </w:t>
      </w:r>
      <w:r w:rsidRPr="009D17AD">
        <w:t xml:space="preserve">method – if the project has interactive </w:t>
      </w:r>
      <w:r>
        <w:t>effects</w:t>
      </w:r>
      <w:r w:rsidRPr="009D17AD">
        <w:t xml:space="preserve"> greater than 1% of the energy for the measurement boundary an alternative method</w:t>
      </w:r>
      <w:r w:rsidRPr="00327F13">
        <w:t xml:space="preserve"> should be used. </w:t>
      </w:r>
    </w:p>
    <w:p w14:paraId="228FD0B6" w14:textId="77777777" w:rsidR="00E0789E" w:rsidRPr="00327F13" w:rsidRDefault="00E0789E" w:rsidP="00E80893">
      <w:pPr>
        <w:pStyle w:val="BodyText"/>
      </w:pPr>
    </w:p>
    <w:p w14:paraId="138CF6A9" w14:textId="77777777" w:rsidR="00E80893" w:rsidRDefault="00E80893" w:rsidP="00E80893">
      <w:pPr>
        <w:pStyle w:val="Heading3"/>
      </w:pPr>
      <w:bookmarkStart w:id="136" w:name="_Toc200577528"/>
      <w:r>
        <w:t>Persistence factor</w:t>
      </w:r>
      <w:bookmarkEnd w:id="136"/>
    </w:p>
    <w:p w14:paraId="21DF7116" w14:textId="7F62438E" w:rsidR="00E80893" w:rsidRPr="007F6F29" w:rsidRDefault="00E80893" w:rsidP="00E80893">
      <w:pPr>
        <w:pStyle w:val="BodyText"/>
      </w:pPr>
      <w:r>
        <w:t>For the purpose of this</w:t>
      </w:r>
      <w:r w:rsidR="00B5084E">
        <w:t xml:space="preserve"> </w:t>
      </w:r>
      <w:r w:rsidR="00C84691">
        <w:t xml:space="preserve">specified measurement </w:t>
      </w:r>
      <w:r>
        <w:t>method</w:t>
      </w:r>
      <w:r w:rsidR="00B5084E">
        <w:t>,</w:t>
      </w:r>
      <w:r>
        <w:t xml:space="preserve"> the persistence factor is 9. </w:t>
      </w:r>
    </w:p>
    <w:p w14:paraId="3209F4D3" w14:textId="33FA462D" w:rsidR="00BD2DEE" w:rsidRDefault="00BD2DEE">
      <w:r>
        <w:br w:type="page"/>
      </w:r>
    </w:p>
    <w:p w14:paraId="77F94E1A" w14:textId="72FF338F" w:rsidR="00DC41BD" w:rsidRDefault="00DC41BD" w:rsidP="00DC41BD">
      <w:pPr>
        <w:pStyle w:val="Heading1"/>
        <w:ind w:left="426"/>
      </w:pPr>
      <w:bookmarkStart w:id="137" w:name="_Toc239413189"/>
      <w:bookmarkStart w:id="138" w:name="_Toc200577529"/>
      <w:bookmarkStart w:id="139" w:name="_Toc232605536"/>
      <w:r>
        <w:lastRenderedPageBreak/>
        <w:t>Retrofit isolation for non-seasonal motors and rotating equipment (option B)</w:t>
      </w:r>
      <w:bookmarkEnd w:id="137"/>
      <w:r>
        <w:t xml:space="preserve"> </w:t>
      </w:r>
    </w:p>
    <w:p w14:paraId="428BD42E" w14:textId="17752F0B" w:rsidR="00BD2DEE" w:rsidRDefault="00BD2DEE" w:rsidP="00BD2DEE">
      <w:pPr>
        <w:pStyle w:val="Heading2"/>
      </w:pPr>
      <w:bookmarkStart w:id="140" w:name="_Toc200577530"/>
      <w:bookmarkStart w:id="141" w:name="_Toc232605537"/>
      <w:bookmarkEnd w:id="138"/>
      <w:bookmarkEnd w:id="139"/>
      <w:r>
        <w:t>Information to be provided</w:t>
      </w:r>
      <w:bookmarkEnd w:id="140"/>
      <w:bookmarkEnd w:id="141"/>
    </w:p>
    <w:p w14:paraId="0957C494" w14:textId="1157148D" w:rsidR="00BD2DEE" w:rsidRDefault="00BD2DEE" w:rsidP="00BD2DEE">
      <w:pPr>
        <w:pStyle w:val="Heading3"/>
      </w:pPr>
      <w:bookmarkStart w:id="142" w:name="_Toc200577531"/>
      <w:r>
        <w:t>Information to be provided in an application for scoping approval</w:t>
      </w:r>
      <w:bookmarkEnd w:id="142"/>
    </w:p>
    <w:p w14:paraId="2193CD59" w14:textId="289A2B3F" w:rsidR="00872139" w:rsidRPr="00FF084A" w:rsidRDefault="00150736">
      <w:pPr>
        <w:pStyle w:val="ListNumber2"/>
        <w:numPr>
          <w:ilvl w:val="0"/>
          <w:numId w:val="81"/>
        </w:numPr>
        <w:jc w:val="left"/>
      </w:pPr>
      <w:r>
        <w:t xml:space="preserve">A declaration that the upgrade is </w:t>
      </w:r>
      <w:r w:rsidR="00872139">
        <w:t xml:space="preserve">eligible to use the </w:t>
      </w:r>
      <w:r w:rsidR="652448CA">
        <w:t xml:space="preserve">retrofit isolation for </w:t>
      </w:r>
      <w:r w:rsidR="00123081">
        <w:t xml:space="preserve">non-seasonal motors and </w:t>
      </w:r>
      <w:r w:rsidR="007135C4">
        <w:t>rotating equipment</w:t>
      </w:r>
      <w:r w:rsidR="00872139">
        <w:t xml:space="preserve"> specified measurement method</w:t>
      </w:r>
      <w:r>
        <w:t>, and meets the following criteria:</w:t>
      </w:r>
    </w:p>
    <w:p w14:paraId="3E398CEC" w14:textId="6DB41018" w:rsidR="00872139" w:rsidRPr="004712BE" w:rsidRDefault="00DD4E15">
      <w:pPr>
        <w:pStyle w:val="ListNumber2"/>
        <w:numPr>
          <w:ilvl w:val="1"/>
          <w:numId w:val="81"/>
        </w:numPr>
        <w:jc w:val="left"/>
      </w:pPr>
      <w:r>
        <w:t>i</w:t>
      </w:r>
      <w:r w:rsidR="00872139">
        <w:t xml:space="preserve">s not part of a system where the operation is materially impacted by </w:t>
      </w:r>
      <w:r w:rsidR="3936DC16">
        <w:t>seasonal</w:t>
      </w:r>
      <w:r w:rsidR="00872139">
        <w:t xml:space="preserve"> changes, which may include </w:t>
      </w:r>
      <w:r w:rsidR="001E5894">
        <w:t>rotating equipment</w:t>
      </w:r>
      <w:r w:rsidR="00872139">
        <w:t xml:space="preserve"> installed as part of:</w:t>
      </w:r>
    </w:p>
    <w:p w14:paraId="40E01F6A" w14:textId="244CF5E2" w:rsidR="00872139" w:rsidRPr="00224F81" w:rsidRDefault="00DD4E15">
      <w:pPr>
        <w:pStyle w:val="ListNumber2"/>
        <w:numPr>
          <w:ilvl w:val="2"/>
          <w:numId w:val="81"/>
        </w:numPr>
        <w:jc w:val="left"/>
      </w:pPr>
      <w:r>
        <w:t>heating, cooling, air-conditioning or ventilation (HVAC) systems;</w:t>
      </w:r>
    </w:p>
    <w:p w14:paraId="7121EBA3" w14:textId="1F7965C0" w:rsidR="00872139" w:rsidRPr="00224F81" w:rsidRDefault="00DD4E15">
      <w:pPr>
        <w:pStyle w:val="ListNumber2"/>
        <w:numPr>
          <w:ilvl w:val="2"/>
          <w:numId w:val="81"/>
        </w:numPr>
        <w:jc w:val="left"/>
      </w:pPr>
      <w:r>
        <w:t xml:space="preserve">cool room or </w:t>
      </w:r>
      <w:r w:rsidRPr="00FF49E2">
        <w:t>refrigeration</w:t>
      </w:r>
      <w:r>
        <w:t xml:space="preserve"> systems;</w:t>
      </w:r>
    </w:p>
    <w:p w14:paraId="3D59CD04" w14:textId="505D51D4" w:rsidR="00872139" w:rsidRPr="004712BE" w:rsidRDefault="00DD4E15">
      <w:pPr>
        <w:pStyle w:val="ListNumber2"/>
        <w:numPr>
          <w:ilvl w:val="2"/>
          <w:numId w:val="81"/>
        </w:numPr>
        <w:jc w:val="left"/>
      </w:pPr>
      <w:r>
        <w:t>agricultural irrigation systems;</w:t>
      </w:r>
    </w:p>
    <w:p w14:paraId="1A3FE550" w14:textId="00BEC2CA" w:rsidR="00E51D7A" w:rsidRDefault="00DD4E15">
      <w:pPr>
        <w:pStyle w:val="ListNumber2"/>
        <w:numPr>
          <w:ilvl w:val="2"/>
          <w:numId w:val="81"/>
        </w:numPr>
        <w:jc w:val="left"/>
      </w:pPr>
      <w:r>
        <w:t>agricultural ventilation systems; or</w:t>
      </w:r>
    </w:p>
    <w:p w14:paraId="391AF596" w14:textId="045DAACE" w:rsidR="00872139" w:rsidRPr="004712BE" w:rsidRDefault="00DD4E15">
      <w:pPr>
        <w:pStyle w:val="ListNumber2"/>
        <w:numPr>
          <w:ilvl w:val="2"/>
          <w:numId w:val="81"/>
        </w:numPr>
        <w:jc w:val="left"/>
      </w:pPr>
      <w:r>
        <w:t xml:space="preserve">sites </w:t>
      </w:r>
      <w:r w:rsidR="00E51D7A">
        <w:t xml:space="preserve">with </w:t>
      </w:r>
      <w:r w:rsidR="00F94550">
        <w:t>a</w:t>
      </w:r>
      <w:r w:rsidR="00E51D7A">
        <w:t xml:space="preserve"> </w:t>
      </w:r>
      <w:r w:rsidR="009D6448">
        <w:t xml:space="preserve">seasonal </w:t>
      </w:r>
      <w:r w:rsidR="7A653DEB">
        <w:t>production cycle</w:t>
      </w:r>
      <w:r w:rsidR="00F94550">
        <w:t xml:space="preserve"> </w:t>
      </w:r>
      <w:r w:rsidR="009D6448">
        <w:t xml:space="preserve">or a </w:t>
      </w:r>
      <w:r w:rsidR="00E51D7A">
        <w:t xml:space="preserve">production </w:t>
      </w:r>
      <w:r w:rsidR="7A653DEB">
        <w:t>cycle</w:t>
      </w:r>
      <w:r w:rsidR="00F94550">
        <w:t xml:space="preserve"> longer than 30 days</w:t>
      </w:r>
      <w:r w:rsidR="00872139">
        <w:t xml:space="preserve">.  </w:t>
      </w:r>
    </w:p>
    <w:p w14:paraId="397BBD34" w14:textId="67F82310" w:rsidR="00872139" w:rsidRPr="00E41E49" w:rsidRDefault="00DD4E15">
      <w:pPr>
        <w:pStyle w:val="ListNumber2"/>
        <w:numPr>
          <w:ilvl w:val="1"/>
          <w:numId w:val="81"/>
        </w:numPr>
        <w:jc w:val="left"/>
      </w:pPr>
      <w:r>
        <w:t>i</w:t>
      </w:r>
      <w:r w:rsidR="00872139">
        <w:t xml:space="preserve">s part of a system where the operational cycle is </w:t>
      </w:r>
      <w:r w:rsidR="008749F4">
        <w:t>30 days</w:t>
      </w:r>
      <w:r w:rsidR="00626A95">
        <w:t xml:space="preserve"> or less</w:t>
      </w:r>
      <w:r w:rsidR="00872139">
        <w:t xml:space="preserve">, which may include </w:t>
      </w:r>
      <w:r w:rsidR="003A19ED">
        <w:t>rotating equipment</w:t>
      </w:r>
      <w:r w:rsidR="00872139">
        <w:t xml:space="preserve"> </w:t>
      </w:r>
      <w:r w:rsidR="00C60234">
        <w:t>installed</w:t>
      </w:r>
      <w:r w:rsidR="00872139">
        <w:t xml:space="preserve"> as part of:</w:t>
      </w:r>
    </w:p>
    <w:p w14:paraId="5B164A35" w14:textId="12CA3A31" w:rsidR="00872139" w:rsidRDefault="00DD4E15">
      <w:pPr>
        <w:pStyle w:val="ListNumber2"/>
        <w:numPr>
          <w:ilvl w:val="2"/>
          <w:numId w:val="81"/>
        </w:numPr>
        <w:jc w:val="left"/>
      </w:pPr>
      <w:r>
        <w:t>car park ventilation systems;</w:t>
      </w:r>
    </w:p>
    <w:p w14:paraId="0129B6B0" w14:textId="14200BDF" w:rsidR="00872139" w:rsidRPr="003D10FC" w:rsidRDefault="00DD4E15">
      <w:pPr>
        <w:pStyle w:val="ListNumber2"/>
        <w:numPr>
          <w:ilvl w:val="2"/>
          <w:numId w:val="81"/>
        </w:numPr>
        <w:jc w:val="left"/>
      </w:pPr>
      <w:r>
        <w:t>food processing: drying, roasting, or packaging systems;</w:t>
      </w:r>
    </w:p>
    <w:p w14:paraId="44751EB9" w14:textId="3617B2CC" w:rsidR="00872139" w:rsidRPr="00E41E49" w:rsidRDefault="00DD4E15">
      <w:pPr>
        <w:pStyle w:val="ListNumber2"/>
        <w:numPr>
          <w:ilvl w:val="2"/>
          <w:numId w:val="81"/>
        </w:numPr>
        <w:jc w:val="left"/>
      </w:pPr>
      <w:r>
        <w:t>conveyor systems and material handling systems;</w:t>
      </w:r>
    </w:p>
    <w:p w14:paraId="77AC779F" w14:textId="19C8BB48" w:rsidR="00626A95" w:rsidRDefault="00DD4E15">
      <w:pPr>
        <w:pStyle w:val="ListNumber2"/>
        <w:numPr>
          <w:ilvl w:val="2"/>
          <w:numId w:val="81"/>
        </w:numPr>
        <w:jc w:val="left"/>
      </w:pPr>
      <w:r>
        <w:t>blower systems;</w:t>
      </w:r>
    </w:p>
    <w:p w14:paraId="328EB940" w14:textId="7FDBE1DC" w:rsidR="00F73F4A" w:rsidRDefault="00DD4E15">
      <w:pPr>
        <w:pStyle w:val="ListNumber2"/>
        <w:numPr>
          <w:ilvl w:val="2"/>
          <w:numId w:val="81"/>
        </w:numPr>
        <w:jc w:val="left"/>
      </w:pPr>
      <w:r>
        <w:t>air compressors;</w:t>
      </w:r>
    </w:p>
    <w:p w14:paraId="6581FD01" w14:textId="7D64AB0C" w:rsidR="00F73F4A" w:rsidRDefault="00DD4E15">
      <w:pPr>
        <w:pStyle w:val="ListNumber2"/>
        <w:numPr>
          <w:ilvl w:val="2"/>
          <w:numId w:val="81"/>
        </w:numPr>
        <w:jc w:val="left"/>
      </w:pPr>
      <w:r>
        <w:t>grinding and crushing processes; or</w:t>
      </w:r>
    </w:p>
    <w:p w14:paraId="7689351E" w14:textId="7BBE288E" w:rsidR="00872139" w:rsidRPr="002A333E" w:rsidRDefault="00DD4E15">
      <w:pPr>
        <w:pStyle w:val="ListNumber2"/>
        <w:numPr>
          <w:ilvl w:val="2"/>
          <w:numId w:val="81"/>
        </w:numPr>
        <w:jc w:val="left"/>
      </w:pPr>
      <w:r>
        <w:t>elevators and escalators</w:t>
      </w:r>
      <w:r w:rsidR="00872139">
        <w:t xml:space="preserve">.  </w:t>
      </w:r>
    </w:p>
    <w:p w14:paraId="35FC7262" w14:textId="28F299F2" w:rsidR="00872139" w:rsidRPr="005540B4" w:rsidRDefault="00DD4E15">
      <w:pPr>
        <w:pStyle w:val="ListNumber2"/>
        <w:numPr>
          <w:ilvl w:val="1"/>
          <w:numId w:val="81"/>
        </w:numPr>
        <w:jc w:val="left"/>
      </w:pPr>
      <w:r>
        <w:t>f</w:t>
      </w:r>
      <w:r w:rsidR="00872139">
        <w:t xml:space="preserve">or a project with more than one premises, the application for approval of a scoping plan must confirm that each premises is eligible to use this specified measurement method. </w:t>
      </w:r>
    </w:p>
    <w:p w14:paraId="7D908544" w14:textId="56095041" w:rsidR="00625504" w:rsidRDefault="00150736">
      <w:pPr>
        <w:pStyle w:val="ListNumber2"/>
        <w:numPr>
          <w:ilvl w:val="0"/>
          <w:numId w:val="81"/>
        </w:numPr>
        <w:jc w:val="left"/>
      </w:pPr>
      <w:r>
        <w:t xml:space="preserve">Provide details of the </w:t>
      </w:r>
      <w:r w:rsidR="00842895">
        <w:t xml:space="preserve">proposed </w:t>
      </w:r>
      <w:r w:rsidR="00154DCB">
        <w:t xml:space="preserve">energy </w:t>
      </w:r>
      <w:r w:rsidR="00842895">
        <w:t xml:space="preserve">measurement </w:t>
      </w:r>
      <w:r w:rsidR="00154DCB">
        <w:t>approach</w:t>
      </w:r>
      <w:r w:rsidR="00625504">
        <w:t>, which may include:</w:t>
      </w:r>
    </w:p>
    <w:p w14:paraId="134B0309" w14:textId="4A061D78" w:rsidR="00872139" w:rsidRDefault="00D82770">
      <w:pPr>
        <w:pStyle w:val="ListNumber2"/>
        <w:numPr>
          <w:ilvl w:val="1"/>
          <w:numId w:val="81"/>
        </w:numPr>
        <w:jc w:val="left"/>
      </w:pPr>
      <w:r>
        <w:t>a</w:t>
      </w:r>
      <w:r w:rsidR="0033234E">
        <w:t xml:space="preserve"> </w:t>
      </w:r>
      <w:r w:rsidR="00762758">
        <w:t xml:space="preserve">device </w:t>
      </w:r>
      <w:r w:rsidR="00F90073">
        <w:t>(</w:t>
      </w:r>
      <w:r w:rsidR="000A7A1F">
        <w:t>or devices)</w:t>
      </w:r>
      <w:r w:rsidR="00762758">
        <w:t xml:space="preserve"> which </w:t>
      </w:r>
      <w:r w:rsidR="00872139">
        <w:t>measure</w:t>
      </w:r>
      <w:r w:rsidR="00762758">
        <w:t>s</w:t>
      </w:r>
      <w:r w:rsidR="00872139">
        <w:t xml:space="preserve"> </w:t>
      </w:r>
      <w:r w:rsidR="74FDE1C3">
        <w:t>and logs</w:t>
      </w:r>
      <w:r w:rsidR="3936DC16">
        <w:t xml:space="preserve"> </w:t>
      </w:r>
      <w:r w:rsidR="00572C98">
        <w:t>true</w:t>
      </w:r>
      <w:r w:rsidR="00872139">
        <w:t xml:space="preserve"> </w:t>
      </w:r>
      <w:r w:rsidR="007D1044">
        <w:t>power</w:t>
      </w:r>
      <w:r w:rsidR="00572C98">
        <w:t xml:space="preserve"> (including power factor)</w:t>
      </w:r>
      <w:r w:rsidR="00352827">
        <w:t>;</w:t>
      </w:r>
      <w:r w:rsidR="00FE259C">
        <w:t xml:space="preserve"> or</w:t>
      </w:r>
    </w:p>
    <w:p w14:paraId="46310272" w14:textId="4D10A669" w:rsidR="00FE259C" w:rsidRPr="00872139" w:rsidRDefault="00D82770">
      <w:pPr>
        <w:pStyle w:val="ListNumber2"/>
        <w:numPr>
          <w:ilvl w:val="1"/>
          <w:numId w:val="81"/>
        </w:numPr>
        <w:jc w:val="left"/>
      </w:pPr>
      <w:r>
        <w:t>f</w:t>
      </w:r>
      <w:r w:rsidR="00FE259C">
        <w:t xml:space="preserve">or an upgrade </w:t>
      </w:r>
      <w:r w:rsidR="00FE259C" w:rsidRPr="00FE259C">
        <w:t xml:space="preserve">where the system being upgraded accounts for </w:t>
      </w:r>
      <w:r w:rsidR="00400AAF">
        <w:t>the majority of</w:t>
      </w:r>
      <w:r w:rsidR="00FE259C" w:rsidRPr="00FE259C">
        <w:t xml:space="preserve"> the energy metered by</w:t>
      </w:r>
      <w:r w:rsidR="00FE259C">
        <w:t xml:space="preserve"> a </w:t>
      </w:r>
      <w:r w:rsidR="00FE259C" w:rsidRPr="00FE259C">
        <w:t>meter</w:t>
      </w:r>
      <w:r w:rsidR="00FE259C">
        <w:t xml:space="preserve">, a utility meter or sub meter.  </w:t>
      </w:r>
    </w:p>
    <w:p w14:paraId="131AD596" w14:textId="77777777" w:rsidR="008114EC" w:rsidRPr="00872139" w:rsidRDefault="008114EC" w:rsidP="008114EC">
      <w:pPr>
        <w:pStyle w:val="ListNumber2"/>
        <w:jc w:val="left"/>
      </w:pPr>
    </w:p>
    <w:p w14:paraId="7F6CE515" w14:textId="7E7696B0" w:rsidR="00C47AFA" w:rsidRDefault="00BD2DEE" w:rsidP="008114EC">
      <w:pPr>
        <w:pStyle w:val="Heading3"/>
      </w:pPr>
      <w:bookmarkStart w:id="143" w:name="_Toc200577532"/>
      <w:r>
        <w:t>Information to be provided in an application for approval of a project impact report</w:t>
      </w:r>
      <w:bookmarkEnd w:id="143"/>
      <w:r>
        <w:t xml:space="preserve"> </w:t>
      </w:r>
    </w:p>
    <w:p w14:paraId="44A107DF" w14:textId="40163F5D" w:rsidR="00415C5F" w:rsidRDefault="00415C5F">
      <w:pPr>
        <w:pStyle w:val="ListNumber2"/>
        <w:numPr>
          <w:ilvl w:val="0"/>
          <w:numId w:val="70"/>
        </w:numPr>
        <w:jc w:val="left"/>
      </w:pPr>
      <w:r>
        <w:t xml:space="preserve">Evidence that the site meets the declarations </w:t>
      </w:r>
      <w:r w:rsidR="00BA5A77">
        <w:t xml:space="preserve">indicated in </w:t>
      </w:r>
      <w:r w:rsidR="00591B38">
        <w:t>6</w:t>
      </w:r>
      <w:r w:rsidR="00BA5A77">
        <w:t>.1</w:t>
      </w:r>
      <w:r w:rsidR="00E311D1">
        <w:t>;</w:t>
      </w:r>
    </w:p>
    <w:p w14:paraId="1E9E33C9" w14:textId="2CB7AE3C" w:rsidR="00C44BA6" w:rsidRDefault="00C44BA6">
      <w:pPr>
        <w:pStyle w:val="ListNumber2"/>
        <w:numPr>
          <w:ilvl w:val="0"/>
          <w:numId w:val="70"/>
        </w:numPr>
        <w:jc w:val="left"/>
      </w:pPr>
      <w:r w:rsidRPr="00617191">
        <w:t>Evidence of operating hours if applicable</w:t>
      </w:r>
      <w:r w:rsidR="00E311D1">
        <w:t>;</w:t>
      </w:r>
    </w:p>
    <w:p w14:paraId="3635676F" w14:textId="14035A3B" w:rsidR="00C44BA6" w:rsidRDefault="00C44BA6">
      <w:pPr>
        <w:pStyle w:val="ListNumber2"/>
        <w:numPr>
          <w:ilvl w:val="0"/>
          <w:numId w:val="70"/>
        </w:numPr>
        <w:jc w:val="left"/>
      </w:pPr>
      <w:r>
        <w:t>Evidence of independent variable, if applicable</w:t>
      </w:r>
      <w:r w:rsidR="00E311D1">
        <w:t>; and</w:t>
      </w:r>
    </w:p>
    <w:p w14:paraId="70BD6234" w14:textId="1F040244" w:rsidR="00E0789E" w:rsidRDefault="00C44BA6">
      <w:pPr>
        <w:pStyle w:val="ListNumber2"/>
        <w:numPr>
          <w:ilvl w:val="0"/>
          <w:numId w:val="70"/>
        </w:numPr>
        <w:jc w:val="left"/>
      </w:pPr>
      <w:r>
        <w:t>If using a utility meter, an energy bill and approval to access data from energy retailer</w:t>
      </w:r>
      <w:r w:rsidR="00BA5A77">
        <w:t>.</w:t>
      </w:r>
      <w:r w:rsidR="00E0789E">
        <w:br/>
      </w:r>
    </w:p>
    <w:p w14:paraId="6425A5D4" w14:textId="729611A6" w:rsidR="00BD2DEE" w:rsidRDefault="00BD2DEE" w:rsidP="00BD2DEE">
      <w:pPr>
        <w:pStyle w:val="Heading2"/>
      </w:pPr>
      <w:bookmarkStart w:id="144" w:name="_Toc200577533"/>
      <w:bookmarkStart w:id="145" w:name="_Toc232605538"/>
      <w:r>
        <w:t>Methods</w:t>
      </w:r>
      <w:bookmarkEnd w:id="144"/>
      <w:bookmarkEnd w:id="145"/>
    </w:p>
    <w:p w14:paraId="6708DB09" w14:textId="3089B53E" w:rsidR="00DB400C" w:rsidRPr="00DB400C" w:rsidRDefault="00DB400C" w:rsidP="006E0F0A">
      <w:pPr>
        <w:pStyle w:val="BodyText"/>
      </w:pPr>
      <w:r w:rsidRPr="00DB400C">
        <w:t xml:space="preserve">The carbon dioxide equivalent (in tonnes) of greenhouse gases to be reduced by undertaking a project is calculated using Equation </w:t>
      </w:r>
      <w:r w:rsidR="00591B38">
        <w:t>6</w:t>
      </w:r>
      <w:r>
        <w:t>.1</w:t>
      </w:r>
      <w:r w:rsidRPr="00DB400C">
        <w:t xml:space="preserve">, where variables are determined in accordance with section 2, this section and </w:t>
      </w:r>
      <w:r w:rsidRPr="00E37634">
        <w:rPr>
          <w:i/>
        </w:rPr>
        <w:t>Accounting For COVID-19 Under VEU (2021)</w:t>
      </w:r>
      <w:r w:rsidRPr="00DB400C">
        <w:t xml:space="preserve"> where applicable.</w:t>
      </w:r>
    </w:p>
    <w:p w14:paraId="48FB1457" w14:textId="77777777" w:rsidR="00DD6AF1" w:rsidRDefault="00DD6AF1" w:rsidP="00DD6AF1">
      <w:pPr>
        <w:pStyle w:val="Heading3"/>
      </w:pPr>
      <w:bookmarkStart w:id="146" w:name="_Toc200577534"/>
      <w:r>
        <w:lastRenderedPageBreak/>
        <w:t>Carbon dioxide equivalent to be reduced</w:t>
      </w:r>
      <w:bookmarkEnd w:id="146"/>
    </w:p>
    <w:p w14:paraId="4AE3C12F" w14:textId="2DFAE750" w:rsidR="00D5067C" w:rsidRPr="00CF6222" w:rsidRDefault="00DD6AF1" w:rsidP="00F83712">
      <w:pPr>
        <w:pStyle w:val="CaptionImageorFigure"/>
      </w:pPr>
      <w:r>
        <w:t xml:space="preserve">Equation </w:t>
      </w:r>
      <w:r w:rsidR="005232C2">
        <w:t>6</w:t>
      </w:r>
      <w:r>
        <w:t>.1</w:t>
      </w:r>
    </w:p>
    <w:p w14:paraId="790B7FE3" w14:textId="690D580A" w:rsidR="00CF6222" w:rsidRDefault="00CF6222" w:rsidP="00CF6222">
      <w:pPr>
        <w:pStyle w:val="BodyText"/>
      </w:pPr>
      <m:oMathPara>
        <m:oMath>
          <m:r>
            <w:rPr>
              <w:rFonts w:ascii="Cambria Math" w:hAnsi="Cambria Math"/>
            </w:rPr>
            <m:t xml:space="preserve">carbon dioxide equivalent= </m:t>
          </m:r>
          <m:nary>
            <m:naryPr>
              <m:chr m:val="∑"/>
              <m:limLoc m:val="subSup"/>
              <m:supHide m:val="1"/>
              <m:ctrlPr>
                <w:rPr>
                  <w:rFonts w:ascii="Cambria Math" w:hAnsi="Cambria Math"/>
                  <w:i/>
                </w:rPr>
              </m:ctrlPr>
            </m:naryPr>
            <m:sub>
              <m:r>
                <w:rPr>
                  <w:rFonts w:ascii="Cambria Math" w:hAnsi="Cambria Math"/>
                </w:rPr>
                <m:t>j</m:t>
              </m:r>
            </m:sub>
            <m:sup/>
            <m:e>
              <m:d>
                <m:dPr>
                  <m:ctrlPr>
                    <w:rPr>
                      <w:rFonts w:ascii="Cambria Math" w:hAnsi="Cambria Math"/>
                      <w:i/>
                    </w:rPr>
                  </m:ctrlPr>
                </m:dPr>
                <m:e>
                  <m:sSub>
                    <m:sSubPr>
                      <m:ctrlPr>
                        <w:rPr>
                          <w:rFonts w:ascii="Cambria Math" w:hAnsi="Cambria Math"/>
                          <w:i/>
                        </w:rPr>
                      </m:ctrlPr>
                    </m:sSubPr>
                    <m:e>
                      <m:r>
                        <w:rPr>
                          <w:rFonts w:ascii="Cambria Math" w:hAnsi="Cambria Math"/>
                        </w:rPr>
                        <m:t>Savings</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EF</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RF</m:t>
                      </m:r>
                    </m:e>
                    <m:sub>
                      <m:r>
                        <w:rPr>
                          <w:rFonts w:ascii="Cambria Math" w:hAnsi="Cambria Math"/>
                        </w:rPr>
                        <m:t>j</m:t>
                      </m:r>
                    </m:sub>
                  </m:sSub>
                  <m:r>
                    <w:rPr>
                      <w:rFonts w:ascii="Cambria Math" w:hAnsi="Cambria Math"/>
                    </w:rPr>
                    <m:t xml:space="preserve"> ×</m:t>
                  </m:r>
                  <m:sSub>
                    <m:sSubPr>
                      <m:ctrlPr>
                        <w:rPr>
                          <w:rFonts w:ascii="Cambria Math" w:hAnsi="Cambria Math"/>
                          <w:i/>
                        </w:rPr>
                      </m:ctrlPr>
                    </m:sSubPr>
                    <m:e>
                      <m:r>
                        <w:rPr>
                          <w:rFonts w:ascii="Cambria Math" w:hAnsi="Cambria Math"/>
                        </w:rPr>
                        <m:t>AF</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PF</m:t>
                      </m:r>
                    </m:e>
                    <m:sub>
                      <m:r>
                        <w:rPr>
                          <w:rFonts w:ascii="Cambria Math" w:hAnsi="Cambria Math"/>
                        </w:rPr>
                        <m:t>j</m:t>
                      </m:r>
                    </m:sub>
                  </m:sSub>
                </m:e>
              </m:d>
              <m:r>
                <w:rPr>
                  <w:rFonts w:ascii="Cambria Math" w:hAnsi="Cambria Math"/>
                </w:rPr>
                <m:t>-counted savings</m:t>
              </m:r>
            </m:e>
          </m:nary>
        </m:oMath>
      </m:oMathPara>
    </w:p>
    <w:p w14:paraId="49362C03" w14:textId="77777777" w:rsidR="00CF6222" w:rsidRDefault="00CF6222" w:rsidP="00CF6222">
      <w:pPr>
        <w:pStyle w:val="BodyText"/>
      </w:pPr>
      <w:r>
        <w:t>where:</w:t>
      </w:r>
    </w:p>
    <w:p w14:paraId="3E43555E" w14:textId="3A88C1D4" w:rsidR="00CF6222" w:rsidRPr="00F768C1" w:rsidRDefault="00CF6222">
      <w:pPr>
        <w:pStyle w:val="ListNumber2"/>
        <w:numPr>
          <w:ilvl w:val="0"/>
          <w:numId w:val="71"/>
        </w:numPr>
        <w:jc w:val="left"/>
      </w:pPr>
      <m:oMath>
        <m:r>
          <w:rPr>
            <w:rFonts w:ascii="Cambria Math" w:hAnsi="Cambria Math"/>
          </w:rPr>
          <m:t>j</m:t>
        </m:r>
      </m:oMath>
      <w:r>
        <w:t xml:space="preserve"> is the measurement boundary number in the case that there are multiple measurement boundaries under one project</w:t>
      </w:r>
      <w:r w:rsidR="00E311D1">
        <w:t>;</w:t>
      </w:r>
    </w:p>
    <w:p w14:paraId="382ECEAA" w14:textId="0D88AF19" w:rsidR="00CF6222" w:rsidRDefault="00D60325">
      <w:pPr>
        <w:pStyle w:val="ListNumber2"/>
        <w:numPr>
          <w:ilvl w:val="0"/>
          <w:numId w:val="71"/>
        </w:numPr>
        <w:jc w:val="left"/>
      </w:pPr>
      <w:r>
        <w:rPr>
          <w:i/>
        </w:rPr>
        <w:t>S</w:t>
      </w:r>
      <w:r w:rsidR="00CF6222" w:rsidRPr="009E7AE4">
        <w:rPr>
          <w:i/>
        </w:rPr>
        <w:t>avings</w:t>
      </w:r>
      <w:r w:rsidR="00CF6222" w:rsidRPr="00DD0D8F">
        <w:t xml:space="preserve"> is calculated in MWh using </w:t>
      </w:r>
      <w:r w:rsidR="00CF6222" w:rsidRPr="00104F0C">
        <w:t xml:space="preserve">Equation </w:t>
      </w:r>
      <w:r w:rsidR="005232C2">
        <w:t>6</w:t>
      </w:r>
      <w:r w:rsidR="008844B1" w:rsidRPr="00104F0C">
        <w:t>.2</w:t>
      </w:r>
      <w:r w:rsidR="00E311D1">
        <w:t>;</w:t>
      </w:r>
    </w:p>
    <w:p w14:paraId="76BB2F97" w14:textId="3320CCA1" w:rsidR="00CF6222" w:rsidRPr="00DD0D8F" w:rsidRDefault="00CF6222">
      <w:pPr>
        <w:pStyle w:val="ListNumber2"/>
        <w:numPr>
          <w:ilvl w:val="0"/>
          <w:numId w:val="71"/>
        </w:numPr>
      </w:pPr>
      <w:r>
        <w:rPr>
          <w:i/>
        </w:rPr>
        <w:t xml:space="preserve">EF </w:t>
      </w:r>
      <w:r w:rsidR="009D1CEF" w:rsidRPr="009D1CEF">
        <w:rPr>
          <w:iCs/>
        </w:rPr>
        <w:t>is the</w:t>
      </w:r>
      <w:r w:rsidRPr="009D1CEF">
        <w:rPr>
          <w:iCs/>
        </w:rPr>
        <w:t xml:space="preserve"> emissions factor </w:t>
      </w:r>
      <w:r w:rsidR="009D1CEF" w:rsidRPr="009D1CEF">
        <w:rPr>
          <w:iCs/>
        </w:rPr>
        <w:t>as defined in Section 2.1</w:t>
      </w:r>
      <w:r w:rsidR="00E311D1">
        <w:rPr>
          <w:iCs/>
        </w:rPr>
        <w:t>;</w:t>
      </w:r>
    </w:p>
    <w:p w14:paraId="061D99E9" w14:textId="03652D2D" w:rsidR="00CF6222" w:rsidRDefault="00CF6222">
      <w:pPr>
        <w:pStyle w:val="ListNumber2"/>
        <w:numPr>
          <w:ilvl w:val="0"/>
          <w:numId w:val="71"/>
        </w:numPr>
      </w:pPr>
      <w:r w:rsidRPr="009E7AE4">
        <w:rPr>
          <w:i/>
        </w:rPr>
        <w:t>RF</w:t>
      </w:r>
      <w:r w:rsidRPr="00DD0D8F">
        <w:t xml:space="preserve"> is the regional factor, which is 0.98 if the </w:t>
      </w:r>
      <w:r>
        <w:t>premises</w:t>
      </w:r>
      <w:r w:rsidRPr="00DD0D8F">
        <w:t xml:space="preserve"> is in metropolitan Victoria or 1.04 if the </w:t>
      </w:r>
      <w:r>
        <w:t>premises</w:t>
      </w:r>
      <w:r w:rsidRPr="00DD0D8F">
        <w:t xml:space="preserve"> is in regional Victoria</w:t>
      </w:r>
      <w:r>
        <w:t xml:space="preserve">, as defined in the Locations Variable List in the </w:t>
      </w:r>
      <w:r w:rsidRPr="00E37634">
        <w:rPr>
          <w:i/>
        </w:rPr>
        <w:t>Victorian Energy Upgrades Specifications 2018</w:t>
      </w:r>
      <w:r w:rsidR="00E311D1">
        <w:t>;</w:t>
      </w:r>
    </w:p>
    <w:p w14:paraId="38A64268" w14:textId="4FB20D0D" w:rsidR="00CF6222" w:rsidRPr="00DD0D8F" w:rsidRDefault="00CF6222">
      <w:pPr>
        <w:pStyle w:val="ListNumber2"/>
        <w:numPr>
          <w:ilvl w:val="0"/>
          <w:numId w:val="71"/>
        </w:numPr>
      </w:pPr>
      <m:oMath>
        <m:r>
          <m:rPr>
            <m:sty m:val="p"/>
          </m:rPr>
          <w:rPr>
            <w:rFonts w:ascii="Cambria Math" w:hAnsi="Cambria Math"/>
          </w:rPr>
          <m:t>AF</m:t>
        </m:r>
      </m:oMath>
      <w:r w:rsidRPr="005174F9">
        <w:t xml:space="preserve"> is the accuracy factor</w:t>
      </w:r>
      <w:r>
        <w:t xml:space="preserve"> for the measurement boundary, being </w:t>
      </w:r>
      <w:r w:rsidR="00A25856">
        <w:t xml:space="preserve">the lowest number relevant from Table </w:t>
      </w:r>
      <w:r w:rsidR="005232C2">
        <w:t>6</w:t>
      </w:r>
      <w:r w:rsidR="00A25856">
        <w:t>.</w:t>
      </w:r>
      <w:r w:rsidR="008C6C38">
        <w:t>1</w:t>
      </w:r>
      <w:r w:rsidR="00E311D1">
        <w:t>;</w:t>
      </w:r>
    </w:p>
    <w:p w14:paraId="5D4E638D" w14:textId="306B63E9" w:rsidR="00CF6222" w:rsidRDefault="00000000">
      <w:pPr>
        <w:pStyle w:val="ListNumber2"/>
        <w:numPr>
          <w:ilvl w:val="0"/>
          <w:numId w:val="71"/>
        </w:numPr>
      </w:pPr>
      <m:oMath>
        <m:sSub>
          <m:sSubPr>
            <m:ctrlPr>
              <w:rPr>
                <w:rFonts w:ascii="Cambria Math" w:hAnsi="Cambria Math"/>
              </w:rPr>
            </m:ctrlPr>
          </m:sSubPr>
          <m:e>
            <m:r>
              <m:rPr>
                <m:sty m:val="p"/>
              </m:rPr>
              <w:rPr>
                <w:rFonts w:ascii="Cambria Math" w:hAnsi="Cambria Math"/>
              </w:rPr>
              <m:t>PF</m:t>
            </m:r>
          </m:e>
          <m:sub>
            <m:r>
              <m:rPr>
                <m:sty m:val="p"/>
              </m:rPr>
              <w:rPr>
                <w:rFonts w:ascii="Cambria Math" w:hAnsi="Cambria Math"/>
              </w:rPr>
              <m:t>j</m:t>
            </m:r>
          </m:sub>
        </m:sSub>
      </m:oMath>
      <w:r w:rsidR="00CF6222" w:rsidRPr="005174F9">
        <w:t xml:space="preserve"> is</w:t>
      </w:r>
      <w:r w:rsidR="00CF6222" w:rsidRPr="00DD0D8F">
        <w:t xml:space="preserve"> the </w:t>
      </w:r>
      <w:r w:rsidR="00CF6222">
        <w:t>persistence</w:t>
      </w:r>
      <w:r w:rsidR="00CF6222" w:rsidRPr="00DD0D8F">
        <w:t xml:space="preserve"> factor for </w:t>
      </w:r>
      <w:r w:rsidR="00CF6222">
        <w:t>that measurement boundary</w:t>
      </w:r>
      <w:r w:rsidR="00E311D1">
        <w:t>; and</w:t>
      </w:r>
    </w:p>
    <w:p w14:paraId="5B16D065" w14:textId="505E10B7" w:rsidR="00D84E32" w:rsidRDefault="00D84E32">
      <w:pPr>
        <w:pStyle w:val="ListNumber2"/>
        <w:numPr>
          <w:ilvl w:val="0"/>
          <w:numId w:val="71"/>
        </w:numPr>
        <w:jc w:val="left"/>
      </w:pPr>
      <w:r w:rsidRPr="001D6A03">
        <w:rPr>
          <w:i/>
          <w:iCs/>
        </w:rPr>
        <w:t>counted savings</w:t>
      </w:r>
      <w:r>
        <w:t xml:space="preserve"> is </w:t>
      </w:r>
      <w:r w:rsidRPr="00A21848">
        <w:t>a variable determined in accordance with section</w:t>
      </w:r>
      <w:r>
        <w:t xml:space="preserve"> 2</w:t>
      </w:r>
      <w:r w:rsidR="00D82770">
        <w:t>.</w:t>
      </w:r>
    </w:p>
    <w:p w14:paraId="45063717" w14:textId="77777777" w:rsidR="0031015A" w:rsidRDefault="0031015A" w:rsidP="0031015A">
      <w:pPr>
        <w:pStyle w:val="BodyText"/>
      </w:pPr>
    </w:p>
    <w:p w14:paraId="3E12F309" w14:textId="0F5FF7C0" w:rsidR="00D23E44" w:rsidRDefault="00D23E44" w:rsidP="00D23E44">
      <w:pPr>
        <w:pStyle w:val="Heading3"/>
      </w:pPr>
      <w:bookmarkStart w:id="147" w:name="_Toc200577535"/>
      <w:r>
        <w:t>Normal year energy savings</w:t>
      </w:r>
      <w:bookmarkEnd w:id="147"/>
      <w:r>
        <w:t xml:space="preserve"> </w:t>
      </w:r>
    </w:p>
    <w:p w14:paraId="3668F651" w14:textId="7CAB83AF" w:rsidR="00DD6AF1" w:rsidRPr="00DD6AF1" w:rsidRDefault="00DD6AF1" w:rsidP="00DD6AF1">
      <w:pPr>
        <w:pStyle w:val="CaptionImageorFigure"/>
      </w:pPr>
      <w:r>
        <w:t xml:space="preserve">Equation </w:t>
      </w:r>
      <w:r w:rsidR="005232C2">
        <w:t>6</w:t>
      </w:r>
      <w:r>
        <w:t>.2</w:t>
      </w:r>
    </w:p>
    <w:p w14:paraId="78028678" w14:textId="49E82CEB" w:rsidR="00D23E44" w:rsidRPr="003D143A" w:rsidRDefault="00D23E44" w:rsidP="00D23E44">
      <w:pPr>
        <w:spacing w:line="360" w:lineRule="auto"/>
        <w:rPr>
          <w:rFonts w:ascii="Times New Roman" w:eastAsiaTheme="minorEastAsia" w:hAnsi="Times New Roman"/>
          <w:sz w:val="24"/>
          <w:szCs w:val="24"/>
        </w:rPr>
      </w:pPr>
      <m:oMathPara>
        <m:oMath>
          <m:r>
            <w:rPr>
              <w:rFonts w:ascii="Cambria Math" w:hAnsi="Cambria Math"/>
              <w:sz w:val="24"/>
              <w:szCs w:val="24"/>
            </w:rPr>
            <m:t>savings=</m:t>
          </m:r>
          <m:nary>
            <m:naryPr>
              <m:chr m:val="∑"/>
              <m:limLoc m:val="subSup"/>
              <m:supHide m:val="1"/>
              <m:ctrlPr>
                <w:rPr>
                  <w:rFonts w:ascii="Cambria Math" w:hAnsi="Cambria Math"/>
                  <w:i/>
                  <w:sz w:val="24"/>
                  <w:szCs w:val="24"/>
                </w:rPr>
              </m:ctrlPr>
            </m:naryPr>
            <m:sub>
              <m:r>
                <w:rPr>
                  <w:rFonts w:ascii="Cambria Math" w:hAnsi="Cambria Math"/>
                  <w:sz w:val="24"/>
                  <w:szCs w:val="24"/>
                </w:rPr>
                <m:t>t</m:t>
              </m:r>
            </m:sub>
            <m:sup/>
            <m:e>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BM,t</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OM,t</m:t>
                  </m:r>
                </m:sub>
              </m:sSub>
              <m:r>
                <w:rPr>
                  <w:rFonts w:ascii="Cambria Math" w:hAnsi="Cambria Math"/>
                  <w:sz w:val="24"/>
                  <w:szCs w:val="24"/>
                </w:rPr>
                <m:t>)+</m:t>
              </m:r>
            </m:e>
          </m:nary>
          <m:sSub>
            <m:sSubPr>
              <m:ctrlPr>
                <w:rPr>
                  <w:rFonts w:ascii="Cambria Math" w:eastAsiaTheme="minorEastAsia" w:hAnsi="Cambria Math"/>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int</m:t>
              </m:r>
            </m:sub>
          </m:sSub>
        </m:oMath>
      </m:oMathPara>
    </w:p>
    <w:p w14:paraId="13EDA082" w14:textId="77777777" w:rsidR="00D23E44" w:rsidRPr="003D143A" w:rsidRDefault="00D23E44" w:rsidP="00D23E44">
      <w:pPr>
        <w:pStyle w:val="BodyText"/>
        <w:rPr>
          <w:rFonts w:eastAsiaTheme="minorEastAsia"/>
        </w:rPr>
      </w:pPr>
      <w:r w:rsidRPr="003D143A">
        <w:rPr>
          <w:rFonts w:eastAsiaTheme="minorEastAsia"/>
        </w:rPr>
        <w:t>where:</w:t>
      </w:r>
    </w:p>
    <w:p w14:paraId="1E3358E5" w14:textId="3BA31999" w:rsidR="00D23E44" w:rsidRPr="009F77A4" w:rsidRDefault="00D23E44">
      <w:pPr>
        <w:pStyle w:val="ListNumber2"/>
        <w:numPr>
          <w:ilvl w:val="0"/>
          <w:numId w:val="72"/>
        </w:numPr>
        <w:jc w:val="left"/>
        <w:rPr>
          <w:rFonts w:cstheme="minorHAnsi"/>
        </w:rPr>
      </w:pPr>
      <m:oMath>
        <m:r>
          <w:rPr>
            <w:rFonts w:ascii="Cambria Math" w:hAnsi="Cambria Math" w:cstheme="minorHAnsi"/>
          </w:rPr>
          <m:t>t</m:t>
        </m:r>
      </m:oMath>
      <w:r w:rsidRPr="009F77A4">
        <w:rPr>
          <w:rFonts w:cstheme="minorHAnsi"/>
        </w:rPr>
        <w:t xml:space="preserve"> is an eligible time interval in the normal year</w:t>
      </w:r>
      <w:r>
        <w:rPr>
          <w:rFonts w:cstheme="minorHAnsi"/>
        </w:rPr>
        <w:t xml:space="preserve"> of that measurement boundary</w:t>
      </w:r>
      <w:r w:rsidR="00E311D1">
        <w:rPr>
          <w:rFonts w:cstheme="minorHAnsi"/>
        </w:rPr>
        <w:t>;</w:t>
      </w:r>
    </w:p>
    <w:p w14:paraId="32E60F7A" w14:textId="14086681" w:rsidR="00D23E44" w:rsidRDefault="00000000">
      <w:pPr>
        <w:pStyle w:val="ListNumber2"/>
        <w:numPr>
          <w:ilvl w:val="0"/>
          <w:numId w:val="72"/>
        </w:numPr>
        <w:jc w:val="left"/>
      </w:pPr>
      <m:oMath>
        <m:sSub>
          <m:sSubPr>
            <m:ctrlPr>
              <w:rPr>
                <w:rFonts w:ascii="Cambria Math" w:hAnsi="Cambria Math"/>
                <w:i/>
              </w:rPr>
            </m:ctrlPr>
          </m:sSubPr>
          <m:e>
            <m:r>
              <w:rPr>
                <w:rFonts w:ascii="Cambria Math" w:hAnsi="Cambria Math"/>
              </w:rPr>
              <m:t>E</m:t>
            </m:r>
          </m:e>
          <m:sub>
            <m:r>
              <w:rPr>
                <w:rFonts w:ascii="Cambria Math" w:hAnsi="Cambria Math"/>
              </w:rPr>
              <m:t>BM,t</m:t>
            </m:r>
          </m:sub>
        </m:sSub>
      </m:oMath>
      <w:r w:rsidR="00D23E44" w:rsidRPr="00027054">
        <w:t xml:space="preserve"> is the energy consumption for </w:t>
      </w:r>
      <m:oMath>
        <m:r>
          <w:rPr>
            <w:rFonts w:ascii="Cambria Math" w:hAnsi="Cambria Math" w:cstheme="minorHAnsi"/>
          </w:rPr>
          <m:t>t</m:t>
        </m:r>
      </m:oMath>
      <w:r w:rsidR="00D23E44" w:rsidRPr="00027054">
        <w:t xml:space="preserve"> from the baseline model</w:t>
      </w:r>
      <w:r w:rsidR="00D23E44">
        <w:t xml:space="preserve"> of that measurement boundary</w:t>
      </w:r>
      <w:r w:rsidR="00E311D1">
        <w:t>;</w:t>
      </w:r>
    </w:p>
    <w:p w14:paraId="3EEC7D55" w14:textId="34FC8F65" w:rsidR="00D23E44" w:rsidRDefault="00000000">
      <w:pPr>
        <w:pStyle w:val="ListNumber2"/>
        <w:numPr>
          <w:ilvl w:val="0"/>
          <w:numId w:val="72"/>
        </w:numPr>
        <w:jc w:val="left"/>
      </w:pPr>
      <m:oMath>
        <m:sSub>
          <m:sSubPr>
            <m:ctrlPr>
              <w:rPr>
                <w:rFonts w:ascii="Cambria Math" w:hAnsi="Cambria Math"/>
                <w:i/>
              </w:rPr>
            </m:ctrlPr>
          </m:sSubPr>
          <m:e>
            <m:r>
              <w:rPr>
                <w:rFonts w:ascii="Cambria Math" w:hAnsi="Cambria Math"/>
              </w:rPr>
              <m:t>E</m:t>
            </m:r>
          </m:e>
          <m:sub>
            <m:r>
              <w:rPr>
                <w:rFonts w:ascii="Cambria Math" w:hAnsi="Cambria Math"/>
              </w:rPr>
              <m:t>OM,t</m:t>
            </m:r>
          </m:sub>
        </m:sSub>
      </m:oMath>
      <w:r w:rsidR="00D23E44" w:rsidRPr="00027054">
        <w:t xml:space="preserve"> is the energy consumption for </w:t>
      </w:r>
      <m:oMath>
        <m:r>
          <w:rPr>
            <w:rFonts w:ascii="Cambria Math" w:hAnsi="Cambria Math" w:cstheme="minorHAnsi"/>
          </w:rPr>
          <m:t>t</m:t>
        </m:r>
      </m:oMath>
      <w:r w:rsidR="00D23E44" w:rsidRPr="00027054">
        <w:t xml:space="preserve"> from the operating model</w:t>
      </w:r>
      <w:r w:rsidR="00D23E44">
        <w:t xml:space="preserve"> of that measurement boundary</w:t>
      </w:r>
      <w:r w:rsidR="00E311D1">
        <w:t>; and</w:t>
      </w:r>
    </w:p>
    <w:p w14:paraId="02D465D7" w14:textId="77777777" w:rsidR="00D23E44" w:rsidRDefault="00000000">
      <w:pPr>
        <w:pStyle w:val="ListNumber2"/>
        <w:numPr>
          <w:ilvl w:val="0"/>
          <w:numId w:val="72"/>
        </w:numPr>
        <w:jc w:val="left"/>
      </w:pPr>
      <m:oMath>
        <m:sSub>
          <m:sSubPr>
            <m:ctrlPr>
              <w:rPr>
                <w:rFonts w:ascii="Cambria Math" w:hAnsi="Cambria Math"/>
                <w:i/>
              </w:rPr>
            </m:ctrlPr>
          </m:sSubPr>
          <m:e>
            <m:r>
              <w:rPr>
                <w:rFonts w:ascii="Cambria Math" w:hAnsi="Cambria Math"/>
              </w:rPr>
              <m:t>E</m:t>
            </m:r>
          </m:e>
          <m:sub>
            <m:r>
              <w:rPr>
                <w:rFonts w:ascii="Cambria Math" w:hAnsi="Cambria Math"/>
              </w:rPr>
              <m:t>int</m:t>
            </m:r>
          </m:sub>
        </m:sSub>
      </m:oMath>
      <w:r w:rsidR="00D23E44" w:rsidRPr="00027054">
        <w:t xml:space="preserve"> is the total interactive energy savings </w:t>
      </w:r>
      <w:r w:rsidR="00D23E44">
        <w:t>of</w:t>
      </w:r>
      <w:r w:rsidR="00D23E44" w:rsidRPr="00027054">
        <w:t xml:space="preserve"> the </w:t>
      </w:r>
      <w:r w:rsidR="00D23E44">
        <w:t>measurement boundary</w:t>
      </w:r>
      <w:r w:rsidR="00D23E44" w:rsidRPr="00027054">
        <w:t xml:space="preserve"> in the normal year</w:t>
      </w:r>
      <w:r w:rsidR="00D23E44" w:rsidRPr="00DC1EB0">
        <w:t>.</w:t>
      </w:r>
    </w:p>
    <w:p w14:paraId="615ED6E4" w14:textId="77777777" w:rsidR="00C5222F" w:rsidRPr="00C5222F" w:rsidRDefault="00C5222F" w:rsidP="00C5222F">
      <w:pPr>
        <w:pStyle w:val="BodyText"/>
      </w:pPr>
    </w:p>
    <w:p w14:paraId="3C2F4614" w14:textId="207628C9" w:rsidR="00BD2DEE" w:rsidRDefault="00BD2DEE" w:rsidP="004B1D44">
      <w:pPr>
        <w:pStyle w:val="Heading2"/>
      </w:pPr>
      <w:bookmarkStart w:id="148" w:name="_Toc200577536"/>
      <w:bookmarkStart w:id="149" w:name="_Toc232605539"/>
      <w:r>
        <w:t>Variables</w:t>
      </w:r>
      <w:bookmarkEnd w:id="148"/>
      <w:bookmarkEnd w:id="149"/>
    </w:p>
    <w:p w14:paraId="7CA03318" w14:textId="4FA84C83" w:rsidR="00BD2DEE" w:rsidRDefault="00BD2DEE" w:rsidP="00BD2DEE">
      <w:pPr>
        <w:pStyle w:val="Heading3"/>
      </w:pPr>
      <w:bookmarkStart w:id="150" w:name="_Toc200577537"/>
      <w:r>
        <w:t>Measured energy savings</w:t>
      </w:r>
      <w:bookmarkEnd w:id="150"/>
    </w:p>
    <w:p w14:paraId="76D7F2DD" w14:textId="5AD055BC" w:rsidR="007022FB" w:rsidRPr="00A1201D" w:rsidRDefault="006311D7">
      <w:pPr>
        <w:pStyle w:val="BodyText"/>
        <w:numPr>
          <w:ilvl w:val="0"/>
          <w:numId w:val="39"/>
        </w:numPr>
      </w:pPr>
      <w:r w:rsidRPr="00A1201D">
        <w:t xml:space="preserve">The measurement boundary </w:t>
      </w:r>
      <w:r w:rsidR="0018661D" w:rsidRPr="00A1201D">
        <w:t xml:space="preserve">requirements of </w:t>
      </w:r>
      <w:r w:rsidR="0018661D" w:rsidRPr="00DE4512">
        <w:t>Section 2 apply in</w:t>
      </w:r>
      <w:r w:rsidR="0018661D" w:rsidRPr="00A1201D">
        <w:t xml:space="preserve"> addition to the following:</w:t>
      </w:r>
    </w:p>
    <w:p w14:paraId="7F89FD19" w14:textId="6BD11757" w:rsidR="00F94820" w:rsidRPr="00A1201D" w:rsidRDefault="00A1201D">
      <w:pPr>
        <w:pStyle w:val="BodyText"/>
        <w:numPr>
          <w:ilvl w:val="1"/>
          <w:numId w:val="39"/>
        </w:numPr>
      </w:pPr>
      <w:r w:rsidRPr="00724070">
        <w:t>If a statistically valid s</w:t>
      </w:r>
      <w:r w:rsidR="00F94820" w:rsidRPr="00724070">
        <w:t>ampling</w:t>
      </w:r>
      <w:r w:rsidR="00F94820" w:rsidRPr="00A1201D">
        <w:t xml:space="preserve"> </w:t>
      </w:r>
      <w:r w:rsidRPr="00A1201D">
        <w:t xml:space="preserve">approach has been applied, </w:t>
      </w:r>
      <w:r>
        <w:t xml:space="preserve">the measurement boundary may apply only </w:t>
      </w:r>
      <w:r w:rsidR="00C10FB0">
        <w:t xml:space="preserve">to the sample of the energy </w:t>
      </w:r>
      <w:r w:rsidR="00617D07">
        <w:t xml:space="preserve">consuming requirements. </w:t>
      </w:r>
    </w:p>
    <w:p w14:paraId="2F71E2C9" w14:textId="77777777" w:rsidR="00F94820" w:rsidRPr="00F94820" w:rsidRDefault="00F94820" w:rsidP="004B1D44">
      <w:pPr>
        <w:pStyle w:val="BodyText"/>
      </w:pPr>
    </w:p>
    <w:p w14:paraId="28D52B03" w14:textId="77392D39" w:rsidR="00BD2DEE" w:rsidRDefault="00BD2DEE" w:rsidP="00BD2DEE">
      <w:pPr>
        <w:pStyle w:val="Heading3"/>
      </w:pPr>
      <w:bookmarkStart w:id="151" w:name="_Toc200577538"/>
      <w:r>
        <w:t>Accuracy factor</w:t>
      </w:r>
      <w:r w:rsidR="00F94820">
        <w:t xml:space="preserve"> and normal year</w:t>
      </w:r>
      <w:bookmarkEnd w:id="151"/>
    </w:p>
    <w:p w14:paraId="417BE4CD" w14:textId="491E6237" w:rsidR="00187884" w:rsidRDefault="00D710DF" w:rsidP="00187884">
      <w:pPr>
        <w:pStyle w:val="BodyText"/>
      </w:pPr>
      <w:r>
        <w:t>For the purpose of this</w:t>
      </w:r>
      <w:r w:rsidR="00C84691">
        <w:t xml:space="preserve"> specified measurement</w:t>
      </w:r>
      <w:r>
        <w:t xml:space="preserve"> method, t</w:t>
      </w:r>
      <w:r w:rsidR="00187884">
        <w:t xml:space="preserve">he accuracy factor for equation </w:t>
      </w:r>
      <w:r w:rsidR="005232C2">
        <w:t>6</w:t>
      </w:r>
      <w:r w:rsidR="008F37CE">
        <w:t>.1</w:t>
      </w:r>
      <w:r w:rsidR="00187884">
        <w:t xml:space="preserve"> is as per the </w:t>
      </w:r>
      <w:r w:rsidR="00FA311C">
        <w:t xml:space="preserve">relevant </w:t>
      </w:r>
      <w:r w:rsidR="00187884">
        <w:t xml:space="preserve">value in the </w:t>
      </w:r>
      <w:r w:rsidR="00E92D4D">
        <w:t>right</w:t>
      </w:r>
      <w:r w:rsidR="00D06F4B">
        <w:t>-</w:t>
      </w:r>
      <w:r w:rsidR="00E92D4D">
        <w:t xml:space="preserve">hand side column </w:t>
      </w:r>
      <w:r w:rsidR="007875E6">
        <w:t xml:space="preserve">in Table </w:t>
      </w:r>
      <w:r w:rsidR="005232C2">
        <w:t>6</w:t>
      </w:r>
      <w:r w:rsidR="007875E6">
        <w:t>.1.</w:t>
      </w:r>
    </w:p>
    <w:p w14:paraId="3675BCDD" w14:textId="77777777" w:rsidR="005E1DD2" w:rsidRDefault="005E1DD2" w:rsidP="00187884">
      <w:pPr>
        <w:pStyle w:val="BodyText"/>
      </w:pPr>
    </w:p>
    <w:p w14:paraId="5DD4B7DC" w14:textId="77777777" w:rsidR="005E1DD2" w:rsidRDefault="005E1DD2" w:rsidP="00187884">
      <w:pPr>
        <w:pStyle w:val="BodyText"/>
      </w:pPr>
    </w:p>
    <w:p w14:paraId="14EDD06F" w14:textId="2DAAAAED" w:rsidR="00A537FA" w:rsidRDefault="00A537FA" w:rsidP="00A537FA">
      <w:pPr>
        <w:pStyle w:val="CaptionImageorFigure"/>
      </w:pPr>
      <w:r>
        <w:lastRenderedPageBreak/>
        <w:t xml:space="preserve">Table </w:t>
      </w:r>
      <w:r w:rsidR="005232C2">
        <w:t>6</w:t>
      </w:r>
      <w:r>
        <w:t>.1</w:t>
      </w:r>
    </w:p>
    <w:tbl>
      <w:tblPr>
        <w:tblStyle w:val="TableGrid"/>
        <w:tblW w:w="0" w:type="auto"/>
        <w:tblBorders>
          <w:insideH w:val="single" w:sz="4" w:space="0" w:color="auto"/>
        </w:tblBorders>
        <w:tblLook w:val="04A0" w:firstRow="1" w:lastRow="0" w:firstColumn="1" w:lastColumn="0" w:noHBand="0" w:noVBand="1"/>
      </w:tblPr>
      <w:tblGrid>
        <w:gridCol w:w="1549"/>
        <w:gridCol w:w="2141"/>
        <w:gridCol w:w="1680"/>
        <w:gridCol w:w="1377"/>
        <w:gridCol w:w="1808"/>
        <w:gridCol w:w="1084"/>
      </w:tblGrid>
      <w:tr w:rsidR="008E4575" w:rsidRPr="00DE1E5D" w14:paraId="2243D729" w14:textId="77777777" w:rsidTr="0010788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shd w:val="clear" w:color="auto" w:fill="201547"/>
          </w:tcPr>
          <w:p w14:paraId="43238949" w14:textId="66D5AFAE" w:rsidR="00E92D4D" w:rsidRPr="0071013F" w:rsidRDefault="009221A4">
            <w:pPr>
              <w:pStyle w:val="BodyText"/>
              <w:spacing w:after="0"/>
              <w:rPr>
                <w:b/>
                <w:bCs/>
                <w:color w:val="FFFFFF" w:themeColor="background1"/>
                <w:sz w:val="18"/>
                <w:szCs w:val="18"/>
              </w:rPr>
            </w:pPr>
            <w:r>
              <w:rPr>
                <w:b/>
                <w:bCs/>
                <w:color w:val="FFFFFF" w:themeColor="background1"/>
                <w:sz w:val="18"/>
                <w:szCs w:val="18"/>
              </w:rPr>
              <w:t>Operation</w:t>
            </w:r>
          </w:p>
        </w:tc>
        <w:tc>
          <w:tcPr>
            <w:tcW w:w="0" w:type="auto"/>
            <w:shd w:val="clear" w:color="auto" w:fill="201547"/>
          </w:tcPr>
          <w:p w14:paraId="455694FA" w14:textId="77777777" w:rsidR="00E92D4D" w:rsidRPr="0071013F" w:rsidRDefault="00E92D4D">
            <w:pPr>
              <w:pStyle w:val="BodyText"/>
              <w:spacing w:after="0"/>
              <w:cnfStyle w:val="100000000000" w:firstRow="1" w:lastRow="0" w:firstColumn="0" w:lastColumn="0" w:oddVBand="0" w:evenVBand="0" w:oddHBand="0" w:evenHBand="0" w:firstRowFirstColumn="0" w:firstRowLastColumn="0" w:lastRowFirstColumn="0" w:lastRowLastColumn="0"/>
              <w:rPr>
                <w:b/>
                <w:bCs/>
                <w:color w:val="FFFFFF" w:themeColor="background1"/>
                <w:sz w:val="18"/>
                <w:szCs w:val="18"/>
              </w:rPr>
            </w:pPr>
            <w:r w:rsidRPr="0071013F">
              <w:rPr>
                <w:b/>
                <w:bCs/>
                <w:color w:val="FFFFFF" w:themeColor="background1"/>
                <w:sz w:val="18"/>
                <w:szCs w:val="18"/>
              </w:rPr>
              <w:t>Model</w:t>
            </w:r>
          </w:p>
        </w:tc>
        <w:tc>
          <w:tcPr>
            <w:tcW w:w="0" w:type="dxa"/>
            <w:shd w:val="clear" w:color="auto" w:fill="201547"/>
          </w:tcPr>
          <w:p w14:paraId="259E2465" w14:textId="39B09F71" w:rsidR="00E92D4D" w:rsidRPr="0071013F" w:rsidRDefault="00E92D4D">
            <w:pPr>
              <w:pStyle w:val="BodyText"/>
              <w:spacing w:after="0"/>
              <w:cnfStyle w:val="100000000000" w:firstRow="1" w:lastRow="0" w:firstColumn="0" w:lastColumn="0" w:oddVBand="0" w:evenVBand="0" w:oddHBand="0" w:evenHBand="0" w:firstRowFirstColumn="0" w:firstRowLastColumn="0" w:lastRowFirstColumn="0" w:lastRowLastColumn="0"/>
              <w:rPr>
                <w:b/>
                <w:bCs/>
                <w:color w:val="FFFFFF" w:themeColor="background1"/>
                <w:sz w:val="18"/>
                <w:szCs w:val="18"/>
              </w:rPr>
            </w:pPr>
            <w:r w:rsidRPr="0071013F">
              <w:rPr>
                <w:b/>
                <w:bCs/>
                <w:color w:val="FFFFFF" w:themeColor="background1"/>
                <w:sz w:val="18"/>
                <w:szCs w:val="18"/>
              </w:rPr>
              <w:t>Independent variable</w:t>
            </w:r>
            <w:r w:rsidR="007F283A">
              <w:rPr>
                <w:b/>
                <w:bCs/>
                <w:color w:val="FFFFFF" w:themeColor="background1"/>
                <w:sz w:val="18"/>
                <w:szCs w:val="18"/>
              </w:rPr>
              <w:t>(s)</w:t>
            </w:r>
          </w:p>
        </w:tc>
        <w:tc>
          <w:tcPr>
            <w:tcW w:w="0" w:type="dxa"/>
            <w:shd w:val="clear" w:color="auto" w:fill="201547"/>
          </w:tcPr>
          <w:p w14:paraId="3EE70DE9" w14:textId="77777777" w:rsidR="00E92D4D" w:rsidRPr="0071013F" w:rsidRDefault="00E92D4D">
            <w:pPr>
              <w:pStyle w:val="BodyText"/>
              <w:spacing w:after="0"/>
              <w:cnfStyle w:val="100000000000" w:firstRow="1" w:lastRow="0" w:firstColumn="0" w:lastColumn="0" w:oddVBand="0" w:evenVBand="0" w:oddHBand="0" w:evenHBand="0" w:firstRowFirstColumn="0" w:firstRowLastColumn="0" w:lastRowFirstColumn="0" w:lastRowLastColumn="0"/>
              <w:rPr>
                <w:b/>
                <w:bCs/>
                <w:color w:val="FFFFFF" w:themeColor="background1"/>
                <w:sz w:val="18"/>
                <w:szCs w:val="18"/>
              </w:rPr>
            </w:pPr>
            <w:r w:rsidRPr="0071013F">
              <w:rPr>
                <w:b/>
                <w:bCs/>
                <w:color w:val="FFFFFF" w:themeColor="background1"/>
                <w:sz w:val="18"/>
                <w:szCs w:val="18"/>
              </w:rPr>
              <w:t>Normal year</w:t>
            </w:r>
          </w:p>
        </w:tc>
        <w:tc>
          <w:tcPr>
            <w:tcW w:w="0" w:type="auto"/>
            <w:shd w:val="clear" w:color="auto" w:fill="201547"/>
          </w:tcPr>
          <w:p w14:paraId="410D679B" w14:textId="77777777" w:rsidR="00E92D4D" w:rsidRPr="0071013F" w:rsidRDefault="00E92D4D">
            <w:pPr>
              <w:pStyle w:val="BodyText"/>
              <w:spacing w:after="0"/>
              <w:cnfStyle w:val="100000000000" w:firstRow="1" w:lastRow="0" w:firstColumn="0" w:lastColumn="0" w:oddVBand="0" w:evenVBand="0" w:oddHBand="0" w:evenHBand="0" w:firstRowFirstColumn="0" w:firstRowLastColumn="0" w:lastRowFirstColumn="0" w:lastRowLastColumn="0"/>
              <w:rPr>
                <w:b/>
                <w:bCs/>
                <w:color w:val="FFFFFF" w:themeColor="background1"/>
                <w:sz w:val="18"/>
                <w:szCs w:val="18"/>
              </w:rPr>
            </w:pPr>
            <w:r w:rsidRPr="0071013F">
              <w:rPr>
                <w:b/>
                <w:bCs/>
                <w:color w:val="FFFFFF" w:themeColor="background1"/>
                <w:sz w:val="18"/>
                <w:szCs w:val="18"/>
              </w:rPr>
              <w:t>Measurement precision</w:t>
            </w:r>
          </w:p>
        </w:tc>
        <w:tc>
          <w:tcPr>
            <w:tcW w:w="0" w:type="auto"/>
            <w:shd w:val="clear" w:color="auto" w:fill="201547"/>
          </w:tcPr>
          <w:p w14:paraId="3A4C757C" w14:textId="77777777" w:rsidR="00E92D4D" w:rsidRPr="0071013F" w:rsidRDefault="00E92D4D" w:rsidP="001474D9">
            <w:pPr>
              <w:pStyle w:val="BodyText"/>
              <w:spacing w:after="0"/>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18"/>
                <w:szCs w:val="18"/>
              </w:rPr>
            </w:pPr>
            <w:r w:rsidRPr="0071013F">
              <w:rPr>
                <w:b/>
                <w:bCs/>
                <w:color w:val="FFFFFF" w:themeColor="background1"/>
                <w:sz w:val="18"/>
                <w:szCs w:val="18"/>
              </w:rPr>
              <w:t>Accuracy factor</w:t>
            </w:r>
          </w:p>
        </w:tc>
      </w:tr>
      <w:tr w:rsidR="008E4575" w:rsidRPr="00DE1E5D" w14:paraId="2AD4FF68" w14:textId="77777777" w:rsidTr="00107882">
        <w:tc>
          <w:tcPr>
            <w:cnfStyle w:val="001000000000" w:firstRow="0" w:lastRow="0" w:firstColumn="1" w:lastColumn="0" w:oddVBand="0" w:evenVBand="0" w:oddHBand="0" w:evenHBand="0" w:firstRowFirstColumn="0" w:firstRowLastColumn="0" w:lastRowFirstColumn="0" w:lastRowLastColumn="0"/>
            <w:tcW w:w="0" w:type="auto"/>
            <w:vMerge w:val="restart"/>
          </w:tcPr>
          <w:p w14:paraId="1FA213D1" w14:textId="6F5450C9" w:rsidR="00E92D4D" w:rsidRPr="0071013F" w:rsidRDefault="00E92D4D" w:rsidP="00965301">
            <w:pPr>
              <w:pStyle w:val="BodyText"/>
              <w:spacing w:after="0"/>
              <w:jc w:val="left"/>
              <w:rPr>
                <w:sz w:val="18"/>
                <w:szCs w:val="18"/>
              </w:rPr>
            </w:pPr>
            <w:r w:rsidRPr="0071013F">
              <w:rPr>
                <w:sz w:val="18"/>
                <w:szCs w:val="18"/>
              </w:rPr>
              <w:t xml:space="preserve">Continuous </w:t>
            </w:r>
            <w:r w:rsidR="007F283A">
              <w:rPr>
                <w:sz w:val="18"/>
                <w:szCs w:val="18"/>
              </w:rPr>
              <w:t xml:space="preserve">non-variable </w:t>
            </w:r>
            <w:r w:rsidRPr="0071013F">
              <w:rPr>
                <w:sz w:val="18"/>
                <w:szCs w:val="18"/>
              </w:rPr>
              <w:t>24/7 operation</w:t>
            </w:r>
          </w:p>
        </w:tc>
        <w:tc>
          <w:tcPr>
            <w:tcW w:w="0" w:type="auto"/>
            <w:vMerge w:val="restart"/>
            <w:shd w:val="clear" w:color="auto" w:fill="CCE3F5"/>
          </w:tcPr>
          <w:p w14:paraId="27DEFD30" w14:textId="77777777" w:rsidR="00E92D4D" w:rsidRPr="0071013F"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Estimate of the mean</w:t>
            </w:r>
          </w:p>
        </w:tc>
        <w:tc>
          <w:tcPr>
            <w:tcW w:w="0" w:type="dxa"/>
            <w:vMerge w:val="restart"/>
          </w:tcPr>
          <w:p w14:paraId="30A3E01F" w14:textId="77777777" w:rsidR="00E92D4D" w:rsidRPr="0071013F"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None</w:t>
            </w:r>
          </w:p>
        </w:tc>
        <w:tc>
          <w:tcPr>
            <w:tcW w:w="0" w:type="dxa"/>
            <w:vMerge w:val="restart"/>
            <w:shd w:val="clear" w:color="auto" w:fill="CCE3F5"/>
          </w:tcPr>
          <w:p w14:paraId="19D9DC42" w14:textId="0A1169AB" w:rsidR="00E92D4D" w:rsidRPr="0071013F" w:rsidRDefault="00FC4D98"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C</w:t>
            </w:r>
            <w:r w:rsidR="00E92D4D" w:rsidRPr="0071013F">
              <w:rPr>
                <w:sz w:val="18"/>
                <w:szCs w:val="18"/>
              </w:rPr>
              <w:t xml:space="preserve">ontinuous </w:t>
            </w:r>
            <w:r w:rsidR="007F283A">
              <w:rPr>
                <w:sz w:val="18"/>
                <w:szCs w:val="18"/>
              </w:rPr>
              <w:t xml:space="preserve">non-variable </w:t>
            </w:r>
            <w:r w:rsidR="00E92D4D" w:rsidRPr="0071013F">
              <w:rPr>
                <w:sz w:val="18"/>
                <w:szCs w:val="18"/>
              </w:rPr>
              <w:t>24/7 operation for 50 weeks per year</w:t>
            </w:r>
          </w:p>
        </w:tc>
        <w:tc>
          <w:tcPr>
            <w:tcW w:w="0" w:type="auto"/>
          </w:tcPr>
          <w:p w14:paraId="55E37F08" w14:textId="4B1304A8" w:rsidR="00E92D4D" w:rsidRPr="0071013F"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Utility meter</w:t>
            </w:r>
          </w:p>
        </w:tc>
        <w:tc>
          <w:tcPr>
            <w:tcW w:w="0" w:type="auto"/>
            <w:shd w:val="clear" w:color="auto" w:fill="CCE3F5"/>
          </w:tcPr>
          <w:p w14:paraId="138D3272" w14:textId="41BE8140" w:rsidR="00E92D4D" w:rsidRPr="0071013F" w:rsidRDefault="00E92D4D" w:rsidP="001474D9">
            <w:pPr>
              <w:pStyle w:val="BodyText"/>
              <w:spacing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0.</w:t>
            </w:r>
            <w:r w:rsidR="00590510">
              <w:rPr>
                <w:sz w:val="18"/>
                <w:szCs w:val="18"/>
              </w:rPr>
              <w:t>8</w:t>
            </w:r>
          </w:p>
        </w:tc>
      </w:tr>
      <w:tr w:rsidR="008E4575" w:rsidRPr="00DE1E5D" w14:paraId="01964445" w14:textId="77777777" w:rsidTr="00107882">
        <w:tc>
          <w:tcPr>
            <w:cnfStyle w:val="001000000000" w:firstRow="0" w:lastRow="0" w:firstColumn="1" w:lastColumn="0" w:oddVBand="0" w:evenVBand="0" w:oddHBand="0" w:evenHBand="0" w:firstRowFirstColumn="0" w:firstRowLastColumn="0" w:lastRowFirstColumn="0" w:lastRowLastColumn="0"/>
            <w:tcW w:w="0" w:type="auto"/>
            <w:vMerge/>
          </w:tcPr>
          <w:p w14:paraId="4856F0E7" w14:textId="77777777" w:rsidR="00E92D4D" w:rsidRPr="0071013F" w:rsidRDefault="00E92D4D" w:rsidP="00965301">
            <w:pPr>
              <w:pStyle w:val="BodyText"/>
              <w:spacing w:after="0"/>
              <w:jc w:val="left"/>
              <w:rPr>
                <w:sz w:val="18"/>
                <w:szCs w:val="18"/>
              </w:rPr>
            </w:pPr>
          </w:p>
        </w:tc>
        <w:tc>
          <w:tcPr>
            <w:tcW w:w="0" w:type="auto"/>
            <w:vMerge/>
            <w:shd w:val="clear" w:color="auto" w:fill="CCE3F5"/>
          </w:tcPr>
          <w:p w14:paraId="4A64A9A1" w14:textId="77777777" w:rsidR="00E92D4D" w:rsidRPr="0071013F"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0" w:type="dxa"/>
            <w:vMerge/>
          </w:tcPr>
          <w:p w14:paraId="12CC6BEB" w14:textId="77777777" w:rsidR="00E92D4D" w:rsidRPr="0071013F"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0" w:type="dxa"/>
            <w:vMerge/>
            <w:shd w:val="clear" w:color="auto" w:fill="CCE3F5"/>
          </w:tcPr>
          <w:p w14:paraId="4754D576" w14:textId="77777777" w:rsidR="00E92D4D" w:rsidRPr="0071013F"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0" w:type="auto"/>
          </w:tcPr>
          <w:p w14:paraId="1C8DE776" w14:textId="77777777" w:rsidR="00E92D4D" w:rsidRPr="0071013F"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Other measurement device</w:t>
            </w:r>
          </w:p>
        </w:tc>
        <w:tc>
          <w:tcPr>
            <w:tcW w:w="0" w:type="auto"/>
            <w:shd w:val="clear" w:color="auto" w:fill="CCE3F5"/>
          </w:tcPr>
          <w:p w14:paraId="0AF55A4F" w14:textId="4C17FFA5" w:rsidR="00E92D4D" w:rsidRPr="0071013F" w:rsidRDefault="00E92D4D" w:rsidP="001474D9">
            <w:pPr>
              <w:pStyle w:val="BodyText"/>
              <w:spacing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0.</w:t>
            </w:r>
            <w:r w:rsidR="00590510">
              <w:rPr>
                <w:sz w:val="18"/>
                <w:szCs w:val="18"/>
              </w:rPr>
              <w:t>7</w:t>
            </w:r>
          </w:p>
        </w:tc>
      </w:tr>
      <w:tr w:rsidR="008E4575" w:rsidRPr="00DE1E5D" w14:paraId="1A537348" w14:textId="77777777" w:rsidTr="00107882">
        <w:tc>
          <w:tcPr>
            <w:cnfStyle w:val="001000000000" w:firstRow="0" w:lastRow="0" w:firstColumn="1" w:lastColumn="0" w:oddVBand="0" w:evenVBand="0" w:oddHBand="0" w:evenHBand="0" w:firstRowFirstColumn="0" w:firstRowLastColumn="0" w:lastRowFirstColumn="0" w:lastRowLastColumn="0"/>
            <w:tcW w:w="0" w:type="auto"/>
            <w:vMerge w:val="restart"/>
          </w:tcPr>
          <w:p w14:paraId="7CC5CE0D" w14:textId="55F8CBDC" w:rsidR="00E92D4D" w:rsidRPr="0071013F" w:rsidRDefault="007279D9" w:rsidP="00965301">
            <w:pPr>
              <w:pStyle w:val="BodyText"/>
              <w:spacing w:after="0"/>
              <w:jc w:val="left"/>
              <w:rPr>
                <w:sz w:val="18"/>
                <w:szCs w:val="18"/>
              </w:rPr>
            </w:pPr>
            <w:r w:rsidRPr="007279D9">
              <w:rPr>
                <w:sz w:val="18"/>
                <w:szCs w:val="18"/>
              </w:rPr>
              <w:t>Continuous, non-variable operation during operating hour</w:t>
            </w:r>
          </w:p>
        </w:tc>
        <w:tc>
          <w:tcPr>
            <w:tcW w:w="0" w:type="auto"/>
            <w:vMerge w:val="restart"/>
            <w:shd w:val="clear" w:color="auto" w:fill="CCE3F5"/>
          </w:tcPr>
          <w:p w14:paraId="4B7EB166" w14:textId="151E7929" w:rsidR="00E92D4D" w:rsidRPr="0071013F" w:rsidRDefault="007279D9"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r w:rsidRPr="007279D9">
              <w:rPr>
                <w:sz w:val="18"/>
                <w:szCs w:val="18"/>
              </w:rPr>
              <w:t>Estimate of the mean for operating hours only or estimate of the mean for (a) operating hours and (b) non-operating hours.</w:t>
            </w:r>
          </w:p>
        </w:tc>
        <w:tc>
          <w:tcPr>
            <w:tcW w:w="0" w:type="dxa"/>
            <w:vMerge w:val="restart"/>
          </w:tcPr>
          <w:p w14:paraId="566871FE" w14:textId="3806C999" w:rsidR="00E92D4D" w:rsidRPr="0071013F" w:rsidRDefault="00E92D4D">
            <w:pPr>
              <w:pStyle w:val="BodyText"/>
              <w:numPr>
                <w:ilvl w:val="0"/>
                <w:numId w:val="37"/>
              </w:numPr>
              <w:spacing w:before="60" w:after="0" w:line="220" w:lineRule="atLeast"/>
              <w:ind w:right="113"/>
              <w:jc w:val="left"/>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 xml:space="preserve">Default operating hours of </w:t>
            </w:r>
            <w:r w:rsidR="00A537FA" w:rsidRPr="0071013F">
              <w:rPr>
                <w:sz w:val="18"/>
                <w:szCs w:val="18"/>
              </w:rPr>
              <w:t>1</w:t>
            </w:r>
            <w:r w:rsidR="00A537FA">
              <w:rPr>
                <w:sz w:val="18"/>
                <w:szCs w:val="18"/>
              </w:rPr>
              <w:t xml:space="preserve">0 </w:t>
            </w:r>
            <w:r w:rsidRPr="0071013F">
              <w:rPr>
                <w:sz w:val="18"/>
                <w:szCs w:val="18"/>
              </w:rPr>
              <w:t>hours per day, 5 days per week, OR</w:t>
            </w:r>
          </w:p>
          <w:p w14:paraId="7FE9F23D" w14:textId="77777777" w:rsidR="00E92D4D" w:rsidRPr="0071013F" w:rsidRDefault="00E92D4D">
            <w:pPr>
              <w:pStyle w:val="BodyText"/>
              <w:numPr>
                <w:ilvl w:val="0"/>
                <w:numId w:val="37"/>
              </w:numPr>
              <w:spacing w:after="0"/>
              <w:jc w:val="left"/>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Provide evidence of extended operating hours</w:t>
            </w:r>
          </w:p>
        </w:tc>
        <w:tc>
          <w:tcPr>
            <w:tcW w:w="0" w:type="dxa"/>
            <w:vMerge w:val="restart"/>
            <w:shd w:val="clear" w:color="auto" w:fill="CCE3F5"/>
          </w:tcPr>
          <w:p w14:paraId="4CFF0D9D" w14:textId="4380C103" w:rsidR="00E92D4D" w:rsidRPr="0071013F" w:rsidRDefault="00FC4D98"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O</w:t>
            </w:r>
            <w:r w:rsidR="00E92D4D" w:rsidRPr="0071013F">
              <w:rPr>
                <w:sz w:val="18"/>
                <w:szCs w:val="18"/>
              </w:rPr>
              <w:t xml:space="preserve">perating hours with a 2-week break over the first two weeks over January </w:t>
            </w:r>
          </w:p>
        </w:tc>
        <w:tc>
          <w:tcPr>
            <w:tcW w:w="0" w:type="auto"/>
          </w:tcPr>
          <w:p w14:paraId="6FBA18D3" w14:textId="77777777" w:rsidR="00E92D4D" w:rsidRPr="0071013F"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Utility meter</w:t>
            </w:r>
          </w:p>
        </w:tc>
        <w:tc>
          <w:tcPr>
            <w:tcW w:w="0" w:type="auto"/>
            <w:shd w:val="clear" w:color="auto" w:fill="CCE3F5"/>
          </w:tcPr>
          <w:p w14:paraId="515739DB" w14:textId="432AA36A" w:rsidR="00E92D4D" w:rsidRPr="0071013F" w:rsidRDefault="00E92D4D" w:rsidP="001474D9">
            <w:pPr>
              <w:pStyle w:val="BodyText"/>
              <w:spacing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0.</w:t>
            </w:r>
            <w:r w:rsidR="00590510">
              <w:rPr>
                <w:sz w:val="18"/>
                <w:szCs w:val="18"/>
              </w:rPr>
              <w:t>8</w:t>
            </w:r>
          </w:p>
        </w:tc>
      </w:tr>
      <w:tr w:rsidR="008E4575" w:rsidRPr="00DE1E5D" w14:paraId="183B40AD" w14:textId="77777777" w:rsidTr="00107882">
        <w:tc>
          <w:tcPr>
            <w:cnfStyle w:val="001000000000" w:firstRow="0" w:lastRow="0" w:firstColumn="1" w:lastColumn="0" w:oddVBand="0" w:evenVBand="0" w:oddHBand="0" w:evenHBand="0" w:firstRowFirstColumn="0" w:firstRowLastColumn="0" w:lastRowFirstColumn="0" w:lastRowLastColumn="0"/>
            <w:tcW w:w="0" w:type="auto"/>
            <w:vMerge/>
          </w:tcPr>
          <w:p w14:paraId="0E7A5A24" w14:textId="77777777" w:rsidR="00E92D4D" w:rsidRPr="0071013F" w:rsidRDefault="00E92D4D" w:rsidP="00965301">
            <w:pPr>
              <w:pStyle w:val="BodyText"/>
              <w:spacing w:after="0"/>
              <w:jc w:val="left"/>
              <w:rPr>
                <w:sz w:val="18"/>
                <w:szCs w:val="18"/>
              </w:rPr>
            </w:pPr>
          </w:p>
        </w:tc>
        <w:tc>
          <w:tcPr>
            <w:tcW w:w="0" w:type="auto"/>
            <w:vMerge/>
            <w:shd w:val="clear" w:color="auto" w:fill="CCE3F5"/>
          </w:tcPr>
          <w:p w14:paraId="06E0C769" w14:textId="77777777" w:rsidR="00E92D4D" w:rsidRPr="0071013F" w:rsidRDefault="00E92D4D">
            <w:pPr>
              <w:pStyle w:val="BodyText"/>
              <w:numPr>
                <w:ilvl w:val="0"/>
                <w:numId w:val="37"/>
              </w:numPr>
              <w:spacing w:before="60" w:after="0" w:line="220" w:lineRule="atLeast"/>
              <w:ind w:right="113"/>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0" w:type="dxa"/>
            <w:vMerge/>
          </w:tcPr>
          <w:p w14:paraId="784EC0B0" w14:textId="77777777" w:rsidR="00E92D4D" w:rsidRPr="0071013F"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0" w:type="dxa"/>
            <w:vMerge/>
            <w:shd w:val="clear" w:color="auto" w:fill="CCE3F5"/>
          </w:tcPr>
          <w:p w14:paraId="00430CF6" w14:textId="77777777" w:rsidR="00E92D4D" w:rsidRPr="0071013F"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0" w:type="auto"/>
          </w:tcPr>
          <w:p w14:paraId="2754F7EF" w14:textId="77777777" w:rsidR="00E92D4D" w:rsidRPr="0071013F"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Other measurement device</w:t>
            </w:r>
          </w:p>
        </w:tc>
        <w:tc>
          <w:tcPr>
            <w:tcW w:w="0" w:type="auto"/>
            <w:shd w:val="clear" w:color="auto" w:fill="CCE3F5"/>
          </w:tcPr>
          <w:p w14:paraId="01B85902" w14:textId="0BB97537" w:rsidR="00E92D4D" w:rsidRPr="0071013F" w:rsidRDefault="00E92D4D" w:rsidP="001474D9">
            <w:pPr>
              <w:pStyle w:val="BodyText"/>
              <w:spacing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0.</w:t>
            </w:r>
            <w:r w:rsidR="00590510">
              <w:rPr>
                <w:sz w:val="18"/>
                <w:szCs w:val="18"/>
              </w:rPr>
              <w:t>7</w:t>
            </w:r>
          </w:p>
        </w:tc>
      </w:tr>
      <w:tr w:rsidR="008E4575" w:rsidRPr="00DE1E5D" w14:paraId="2AC489D3" w14:textId="77777777" w:rsidTr="00107882">
        <w:trPr>
          <w:trHeight w:val="443"/>
        </w:trPr>
        <w:tc>
          <w:tcPr>
            <w:cnfStyle w:val="001000000000" w:firstRow="0" w:lastRow="0" w:firstColumn="1" w:lastColumn="0" w:oddVBand="0" w:evenVBand="0" w:oddHBand="0" w:evenHBand="0" w:firstRowFirstColumn="0" w:firstRowLastColumn="0" w:lastRowFirstColumn="0" w:lastRowLastColumn="0"/>
            <w:tcW w:w="0" w:type="auto"/>
            <w:vMerge w:val="restart"/>
          </w:tcPr>
          <w:p w14:paraId="342CE100" w14:textId="77777777" w:rsidR="00E92D4D" w:rsidRPr="0071013F" w:rsidRDefault="00E92D4D" w:rsidP="00965301">
            <w:pPr>
              <w:pStyle w:val="BodyText"/>
              <w:spacing w:after="0"/>
              <w:jc w:val="left"/>
              <w:rPr>
                <w:sz w:val="18"/>
                <w:szCs w:val="18"/>
              </w:rPr>
            </w:pPr>
            <w:r w:rsidRPr="0071013F">
              <w:rPr>
                <w:sz w:val="18"/>
                <w:szCs w:val="18"/>
              </w:rPr>
              <w:t xml:space="preserve">Variable operation </w:t>
            </w:r>
          </w:p>
        </w:tc>
        <w:tc>
          <w:tcPr>
            <w:tcW w:w="0" w:type="auto"/>
            <w:vMerge w:val="restart"/>
            <w:shd w:val="clear" w:color="auto" w:fill="CCE3F5"/>
          </w:tcPr>
          <w:p w14:paraId="38C097AA" w14:textId="77777777" w:rsidR="00E92D4D" w:rsidRPr="0071013F" w:rsidRDefault="00E92D4D" w:rsidP="00965301">
            <w:pPr>
              <w:pStyle w:val="BodyText"/>
              <w:spacing w:before="60" w:after="0" w:line="220" w:lineRule="atLeast"/>
              <w:ind w:right="113"/>
              <w:jc w:val="left"/>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Regression model</w:t>
            </w:r>
          </w:p>
        </w:tc>
        <w:tc>
          <w:tcPr>
            <w:tcW w:w="0" w:type="dxa"/>
            <w:vMerge w:val="restart"/>
          </w:tcPr>
          <w:p w14:paraId="4F87265B" w14:textId="71FD9399" w:rsidR="00E92D4D" w:rsidRDefault="1C06CB56">
            <w:pPr>
              <w:pStyle w:val="BodyText"/>
              <w:numPr>
                <w:ilvl w:val="0"/>
                <w:numId w:val="37"/>
              </w:numPr>
              <w:spacing w:before="60" w:after="0" w:line="220" w:lineRule="atLeast"/>
              <w:ind w:right="113"/>
              <w:jc w:val="left"/>
              <w:cnfStyle w:val="000000000000" w:firstRow="0" w:lastRow="0" w:firstColumn="0" w:lastColumn="0" w:oddVBand="0" w:evenVBand="0" w:oddHBand="0" w:evenHBand="0" w:firstRowFirstColumn="0" w:firstRowLastColumn="0" w:lastRowFirstColumn="0" w:lastRowLastColumn="0"/>
              <w:rPr>
                <w:sz w:val="18"/>
                <w:szCs w:val="18"/>
              </w:rPr>
            </w:pPr>
            <w:r w:rsidRPr="34B57455">
              <w:rPr>
                <w:sz w:val="18"/>
                <w:szCs w:val="18"/>
              </w:rPr>
              <w:t>O</w:t>
            </w:r>
            <w:r w:rsidR="00E92D4D" w:rsidRPr="34B57455">
              <w:rPr>
                <w:sz w:val="18"/>
                <w:szCs w:val="18"/>
              </w:rPr>
              <w:t>perating hours as above (if required)</w:t>
            </w:r>
          </w:p>
          <w:p w14:paraId="0ED7437C" w14:textId="77777777" w:rsidR="00E92D4D" w:rsidRPr="0071013F" w:rsidRDefault="00E92D4D">
            <w:pPr>
              <w:pStyle w:val="BodyText"/>
              <w:numPr>
                <w:ilvl w:val="0"/>
                <w:numId w:val="37"/>
              </w:numPr>
              <w:spacing w:before="60" w:after="0" w:line="220" w:lineRule="atLeast"/>
              <w:ind w:right="113"/>
              <w:jc w:val="left"/>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Financial records on turnover or production, etc.</w:t>
            </w:r>
          </w:p>
          <w:p w14:paraId="73449807" w14:textId="77777777" w:rsidR="00E92D4D" w:rsidRPr="0071013F" w:rsidRDefault="00E92D4D">
            <w:pPr>
              <w:pStyle w:val="BodyText"/>
              <w:numPr>
                <w:ilvl w:val="0"/>
                <w:numId w:val="37"/>
              </w:numPr>
              <w:spacing w:before="60" w:after="0" w:line="220" w:lineRule="atLeast"/>
              <w:ind w:right="113"/>
              <w:jc w:val="left"/>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 xml:space="preserve">Other measured independent variable (other than heating degree days or weather dependent variable) </w:t>
            </w:r>
          </w:p>
        </w:tc>
        <w:tc>
          <w:tcPr>
            <w:tcW w:w="0" w:type="dxa"/>
            <w:vMerge w:val="restart"/>
            <w:shd w:val="clear" w:color="auto" w:fill="CCE3F5"/>
          </w:tcPr>
          <w:p w14:paraId="29893649" w14:textId="77777777" w:rsidR="00E92D4D" w:rsidRPr="0071013F" w:rsidRDefault="00E92D4D">
            <w:pPr>
              <w:pStyle w:val="BodyText"/>
              <w:numPr>
                <w:ilvl w:val="0"/>
                <w:numId w:val="37"/>
              </w:numPr>
              <w:spacing w:after="0"/>
              <w:jc w:val="left"/>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Default operating hours with a 2-week break over the first two weeks over January</w:t>
            </w:r>
            <w:r>
              <w:rPr>
                <w:sz w:val="18"/>
                <w:szCs w:val="18"/>
              </w:rPr>
              <w:t>, AND</w:t>
            </w:r>
          </w:p>
          <w:p w14:paraId="0FF45E2C" w14:textId="77777777" w:rsidR="00E92D4D" w:rsidRPr="0071013F" w:rsidRDefault="00E92D4D">
            <w:pPr>
              <w:pStyle w:val="BodyText"/>
              <w:numPr>
                <w:ilvl w:val="0"/>
                <w:numId w:val="37"/>
              </w:numPr>
              <w:spacing w:after="0"/>
              <w:jc w:val="left"/>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30 days of measured data repeated to cover a 12-month period</w:t>
            </w:r>
          </w:p>
        </w:tc>
        <w:tc>
          <w:tcPr>
            <w:tcW w:w="0" w:type="auto"/>
          </w:tcPr>
          <w:p w14:paraId="2CCD74AF" w14:textId="77777777" w:rsidR="00E92D4D" w:rsidRPr="0071013F"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Utility meter and financial records</w:t>
            </w:r>
          </w:p>
        </w:tc>
        <w:tc>
          <w:tcPr>
            <w:tcW w:w="0" w:type="auto"/>
            <w:shd w:val="clear" w:color="auto" w:fill="CCE3F5"/>
          </w:tcPr>
          <w:p w14:paraId="610227FA" w14:textId="1586E621" w:rsidR="00E92D4D" w:rsidRPr="0071013F" w:rsidRDefault="00E92D4D" w:rsidP="001474D9">
            <w:pPr>
              <w:pStyle w:val="BodyText"/>
              <w:spacing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0.9</w:t>
            </w:r>
          </w:p>
        </w:tc>
      </w:tr>
      <w:tr w:rsidR="008E4575" w:rsidRPr="00DE1E5D" w14:paraId="3FDCDDD4" w14:textId="77777777" w:rsidTr="00107882">
        <w:trPr>
          <w:trHeight w:val="441"/>
        </w:trPr>
        <w:tc>
          <w:tcPr>
            <w:cnfStyle w:val="001000000000" w:firstRow="0" w:lastRow="0" w:firstColumn="1" w:lastColumn="0" w:oddVBand="0" w:evenVBand="0" w:oddHBand="0" w:evenHBand="0" w:firstRowFirstColumn="0" w:firstRowLastColumn="0" w:lastRowFirstColumn="0" w:lastRowLastColumn="0"/>
            <w:tcW w:w="0" w:type="auto"/>
            <w:vMerge/>
          </w:tcPr>
          <w:p w14:paraId="50E81BA0" w14:textId="77777777" w:rsidR="00E92D4D" w:rsidRPr="0071013F" w:rsidRDefault="00E92D4D" w:rsidP="00965301">
            <w:pPr>
              <w:pStyle w:val="BodyText"/>
              <w:spacing w:after="0"/>
              <w:jc w:val="left"/>
              <w:rPr>
                <w:sz w:val="18"/>
                <w:szCs w:val="18"/>
              </w:rPr>
            </w:pPr>
          </w:p>
        </w:tc>
        <w:tc>
          <w:tcPr>
            <w:tcW w:w="0" w:type="auto"/>
            <w:vMerge/>
            <w:shd w:val="clear" w:color="auto" w:fill="CCE3F5"/>
          </w:tcPr>
          <w:p w14:paraId="737896E6" w14:textId="77777777" w:rsidR="00E92D4D" w:rsidRPr="0071013F" w:rsidRDefault="00E92D4D">
            <w:pPr>
              <w:pStyle w:val="BodyText"/>
              <w:numPr>
                <w:ilvl w:val="0"/>
                <w:numId w:val="37"/>
              </w:numPr>
              <w:spacing w:before="60" w:after="0" w:line="220" w:lineRule="atLeast"/>
              <w:ind w:right="113"/>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0" w:type="dxa"/>
            <w:vMerge/>
          </w:tcPr>
          <w:p w14:paraId="7441E439" w14:textId="77777777" w:rsidR="00E92D4D" w:rsidRPr="0071013F"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0" w:type="dxa"/>
            <w:vMerge/>
            <w:shd w:val="clear" w:color="auto" w:fill="CCE3F5"/>
          </w:tcPr>
          <w:p w14:paraId="1EDD437D" w14:textId="77777777" w:rsidR="00E92D4D" w:rsidRPr="0071013F"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0" w:type="auto"/>
          </w:tcPr>
          <w:p w14:paraId="2972D1BA" w14:textId="77777777" w:rsidR="00E92D4D" w:rsidRPr="0071013F"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Other energy measurement approach and financial records</w:t>
            </w:r>
          </w:p>
        </w:tc>
        <w:tc>
          <w:tcPr>
            <w:tcW w:w="0" w:type="auto"/>
            <w:shd w:val="clear" w:color="auto" w:fill="CCE3F5"/>
          </w:tcPr>
          <w:p w14:paraId="34E492B4" w14:textId="77777777" w:rsidR="00E92D4D" w:rsidRPr="0071013F" w:rsidRDefault="00E92D4D" w:rsidP="001474D9">
            <w:pPr>
              <w:pStyle w:val="BodyText"/>
              <w:spacing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0.8</w:t>
            </w:r>
          </w:p>
        </w:tc>
      </w:tr>
      <w:tr w:rsidR="008E4575" w:rsidRPr="00DE1E5D" w14:paraId="2850EFA2" w14:textId="77777777" w:rsidTr="00107882">
        <w:trPr>
          <w:trHeight w:val="441"/>
        </w:trPr>
        <w:tc>
          <w:tcPr>
            <w:cnfStyle w:val="001000000000" w:firstRow="0" w:lastRow="0" w:firstColumn="1" w:lastColumn="0" w:oddVBand="0" w:evenVBand="0" w:oddHBand="0" w:evenHBand="0" w:firstRowFirstColumn="0" w:firstRowLastColumn="0" w:lastRowFirstColumn="0" w:lastRowLastColumn="0"/>
            <w:tcW w:w="0" w:type="auto"/>
            <w:vMerge/>
          </w:tcPr>
          <w:p w14:paraId="1736F113" w14:textId="77777777" w:rsidR="00E92D4D" w:rsidRPr="0071013F" w:rsidRDefault="00E92D4D" w:rsidP="00965301">
            <w:pPr>
              <w:pStyle w:val="BodyText"/>
              <w:spacing w:after="0"/>
              <w:jc w:val="left"/>
              <w:rPr>
                <w:sz w:val="18"/>
                <w:szCs w:val="18"/>
              </w:rPr>
            </w:pPr>
          </w:p>
        </w:tc>
        <w:tc>
          <w:tcPr>
            <w:tcW w:w="0" w:type="auto"/>
            <w:vMerge/>
            <w:shd w:val="clear" w:color="auto" w:fill="CCE3F5"/>
          </w:tcPr>
          <w:p w14:paraId="31CB1E53" w14:textId="77777777" w:rsidR="00E92D4D" w:rsidRPr="0071013F" w:rsidRDefault="00E92D4D">
            <w:pPr>
              <w:pStyle w:val="BodyText"/>
              <w:numPr>
                <w:ilvl w:val="0"/>
                <w:numId w:val="37"/>
              </w:numPr>
              <w:spacing w:before="60" w:after="0" w:line="220" w:lineRule="atLeast"/>
              <w:ind w:right="113"/>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0" w:type="dxa"/>
            <w:vMerge/>
          </w:tcPr>
          <w:p w14:paraId="58572760" w14:textId="77777777" w:rsidR="00E92D4D" w:rsidRPr="0071013F"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0" w:type="dxa"/>
            <w:vMerge/>
            <w:shd w:val="clear" w:color="auto" w:fill="CCE3F5"/>
          </w:tcPr>
          <w:p w14:paraId="228E63D2" w14:textId="77777777" w:rsidR="00E92D4D" w:rsidRPr="0071013F"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0" w:type="auto"/>
          </w:tcPr>
          <w:p w14:paraId="4B982FE0" w14:textId="77777777" w:rsidR="00E92D4D" w:rsidRPr="0071013F"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Other measurement approach for energy and independent variable</w:t>
            </w:r>
          </w:p>
        </w:tc>
        <w:tc>
          <w:tcPr>
            <w:tcW w:w="0" w:type="auto"/>
            <w:shd w:val="clear" w:color="auto" w:fill="CCE3F5"/>
          </w:tcPr>
          <w:p w14:paraId="2871943F" w14:textId="77777777" w:rsidR="00E92D4D" w:rsidRPr="0071013F" w:rsidRDefault="00E92D4D" w:rsidP="001474D9">
            <w:pPr>
              <w:pStyle w:val="BodyText"/>
              <w:spacing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0.7</w:t>
            </w:r>
          </w:p>
        </w:tc>
      </w:tr>
      <w:tr w:rsidR="008E4575" w:rsidRPr="00DE1E5D" w14:paraId="24B87594" w14:textId="77777777" w:rsidTr="00107882">
        <w:tc>
          <w:tcPr>
            <w:cnfStyle w:val="001000000000" w:firstRow="0" w:lastRow="0" w:firstColumn="1" w:lastColumn="0" w:oddVBand="0" w:evenVBand="0" w:oddHBand="0" w:evenHBand="0" w:firstRowFirstColumn="0" w:firstRowLastColumn="0" w:lastRowFirstColumn="0" w:lastRowLastColumn="0"/>
            <w:tcW w:w="0" w:type="auto"/>
            <w:vMerge/>
          </w:tcPr>
          <w:p w14:paraId="4405DCEA" w14:textId="77777777" w:rsidR="00E92D4D" w:rsidRPr="0071013F" w:rsidRDefault="00E92D4D" w:rsidP="00965301">
            <w:pPr>
              <w:pStyle w:val="BodyText"/>
              <w:spacing w:after="0"/>
              <w:jc w:val="left"/>
              <w:rPr>
                <w:sz w:val="18"/>
                <w:szCs w:val="18"/>
              </w:rPr>
            </w:pPr>
          </w:p>
        </w:tc>
        <w:tc>
          <w:tcPr>
            <w:tcW w:w="0" w:type="auto"/>
            <w:vMerge/>
            <w:shd w:val="clear" w:color="auto" w:fill="CCE3F5"/>
          </w:tcPr>
          <w:p w14:paraId="2FF8C64A" w14:textId="77777777" w:rsidR="00E92D4D" w:rsidRPr="0071013F"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0" w:type="dxa"/>
            <w:vMerge/>
          </w:tcPr>
          <w:p w14:paraId="75DBD115" w14:textId="77777777" w:rsidR="00E92D4D" w:rsidRPr="0071013F"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0" w:type="dxa"/>
            <w:vMerge w:val="restart"/>
            <w:shd w:val="clear" w:color="auto" w:fill="CCE3F5"/>
          </w:tcPr>
          <w:p w14:paraId="0CF1086B" w14:textId="77777777" w:rsidR="00E92D4D" w:rsidRPr="0071013F"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Full 12-months of data</w:t>
            </w:r>
          </w:p>
        </w:tc>
        <w:tc>
          <w:tcPr>
            <w:tcW w:w="0" w:type="auto"/>
          </w:tcPr>
          <w:p w14:paraId="15DCB908" w14:textId="77777777" w:rsidR="00E92D4D" w:rsidRPr="0071013F"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Utility meter and financial records</w:t>
            </w:r>
          </w:p>
        </w:tc>
        <w:tc>
          <w:tcPr>
            <w:tcW w:w="0" w:type="auto"/>
            <w:shd w:val="clear" w:color="auto" w:fill="CCE3F5"/>
          </w:tcPr>
          <w:p w14:paraId="4FB3184F" w14:textId="77777777" w:rsidR="00E92D4D" w:rsidRPr="0071013F" w:rsidRDefault="00E92D4D" w:rsidP="001474D9">
            <w:pPr>
              <w:pStyle w:val="BodyText"/>
              <w:spacing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71013F">
              <w:rPr>
                <w:sz w:val="18"/>
                <w:szCs w:val="18"/>
              </w:rPr>
              <w:t>1.0</w:t>
            </w:r>
          </w:p>
        </w:tc>
      </w:tr>
      <w:tr w:rsidR="008E4575" w:rsidRPr="00DE1E5D" w14:paraId="1DD9E9A5" w14:textId="77777777" w:rsidTr="00107882">
        <w:tc>
          <w:tcPr>
            <w:cnfStyle w:val="001000000000" w:firstRow="0" w:lastRow="0" w:firstColumn="1" w:lastColumn="0" w:oddVBand="0" w:evenVBand="0" w:oddHBand="0" w:evenHBand="0" w:firstRowFirstColumn="0" w:firstRowLastColumn="0" w:lastRowFirstColumn="0" w:lastRowLastColumn="0"/>
            <w:tcW w:w="0" w:type="auto"/>
            <w:vMerge/>
          </w:tcPr>
          <w:p w14:paraId="5383714D" w14:textId="77777777" w:rsidR="00E92D4D" w:rsidRPr="001611D7" w:rsidRDefault="00E92D4D" w:rsidP="00965301">
            <w:pPr>
              <w:pStyle w:val="BodyText"/>
              <w:spacing w:after="0"/>
              <w:jc w:val="left"/>
              <w:rPr>
                <w:sz w:val="18"/>
                <w:szCs w:val="18"/>
              </w:rPr>
            </w:pPr>
          </w:p>
        </w:tc>
        <w:tc>
          <w:tcPr>
            <w:tcW w:w="0" w:type="auto"/>
            <w:vMerge/>
            <w:shd w:val="clear" w:color="auto" w:fill="CCE3F5"/>
          </w:tcPr>
          <w:p w14:paraId="749E7C33" w14:textId="77777777" w:rsidR="00E92D4D" w:rsidRPr="001611D7"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0" w:type="dxa"/>
            <w:vMerge/>
          </w:tcPr>
          <w:p w14:paraId="7F0F9993" w14:textId="77777777" w:rsidR="00E92D4D" w:rsidRPr="001611D7"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0" w:type="dxa"/>
            <w:vMerge/>
            <w:shd w:val="clear" w:color="auto" w:fill="CCE3F5"/>
          </w:tcPr>
          <w:p w14:paraId="14838FB8" w14:textId="77777777" w:rsidR="00E92D4D" w:rsidRPr="001611D7"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0" w:type="auto"/>
          </w:tcPr>
          <w:p w14:paraId="162D4E4D" w14:textId="77777777" w:rsidR="00E92D4D" w:rsidRPr="0071013F" w:rsidRDefault="00E92D4D" w:rsidP="00965301">
            <w:pPr>
              <w:pStyle w:val="BodyText"/>
              <w:spacing w:after="0"/>
              <w:jc w:val="lef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Other measurement approach </w:t>
            </w:r>
          </w:p>
        </w:tc>
        <w:tc>
          <w:tcPr>
            <w:tcW w:w="0" w:type="auto"/>
            <w:shd w:val="clear" w:color="auto" w:fill="CCE3F5"/>
          </w:tcPr>
          <w:p w14:paraId="6321AC3F" w14:textId="77777777" w:rsidR="00E92D4D" w:rsidRPr="001611D7" w:rsidRDefault="00E92D4D" w:rsidP="001474D9">
            <w:pPr>
              <w:pStyle w:val="BodyText"/>
              <w:spacing w:after="0"/>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0.8</w:t>
            </w:r>
          </w:p>
        </w:tc>
      </w:tr>
    </w:tbl>
    <w:p w14:paraId="6B87F0DB" w14:textId="0460AC14" w:rsidR="00BD2DEE" w:rsidRDefault="00BD2DEE" w:rsidP="00BD2DEE">
      <w:pPr>
        <w:pStyle w:val="Heading3"/>
      </w:pPr>
      <w:bookmarkStart w:id="152" w:name="_Toc200577539"/>
      <w:r>
        <w:t>Interactive energy savings</w:t>
      </w:r>
      <w:bookmarkEnd w:id="152"/>
    </w:p>
    <w:p w14:paraId="059E730C" w14:textId="2320F7E3" w:rsidR="00F94820" w:rsidRDefault="007022FB" w:rsidP="00F94820">
      <w:pPr>
        <w:pStyle w:val="BodyText"/>
      </w:pPr>
      <w:r>
        <w:t xml:space="preserve">This </w:t>
      </w:r>
      <w:r w:rsidR="00C84691">
        <w:t xml:space="preserve">specified measurement </w:t>
      </w:r>
      <w:r>
        <w:t xml:space="preserve">method does not allow for interactive energy savings. </w:t>
      </w:r>
    </w:p>
    <w:p w14:paraId="4B804784" w14:textId="77777777" w:rsidR="007022FB" w:rsidRPr="00F94820" w:rsidRDefault="007022FB" w:rsidP="004B1D44">
      <w:pPr>
        <w:pStyle w:val="BodyText"/>
      </w:pPr>
    </w:p>
    <w:p w14:paraId="60EBD78E" w14:textId="5214B7A4" w:rsidR="00A03779" w:rsidRDefault="5F1ED4ED" w:rsidP="00A03779">
      <w:pPr>
        <w:pStyle w:val="Heading3"/>
      </w:pPr>
      <w:bookmarkStart w:id="153" w:name="_Toc200577540"/>
      <w:r>
        <w:lastRenderedPageBreak/>
        <w:t>P</w:t>
      </w:r>
      <w:r w:rsidR="00A03779">
        <w:t>ersistence factor for non-seasonal motors, fans and variable speed drives</w:t>
      </w:r>
      <w:bookmarkEnd w:id="153"/>
    </w:p>
    <w:p w14:paraId="517E3D75" w14:textId="076C22DD" w:rsidR="00F2330D" w:rsidRPr="00C666CB" w:rsidRDefault="00F2330D" w:rsidP="00F83712">
      <w:pPr>
        <w:pStyle w:val="CaptionImageorFigure"/>
      </w:pPr>
      <w:r>
        <w:t xml:space="preserve">Table </w:t>
      </w:r>
      <w:r w:rsidR="005232C2">
        <w:t>6</w:t>
      </w:r>
      <w:r>
        <w:t>.2</w:t>
      </w:r>
    </w:p>
    <w:tbl>
      <w:tblPr>
        <w:tblStyle w:val="TableGrid"/>
        <w:tblW w:w="0" w:type="auto"/>
        <w:tblLook w:val="04A0" w:firstRow="1" w:lastRow="0" w:firstColumn="1" w:lastColumn="0" w:noHBand="0" w:noVBand="1"/>
      </w:tblPr>
      <w:tblGrid>
        <w:gridCol w:w="2407"/>
        <w:gridCol w:w="3718"/>
      </w:tblGrid>
      <w:tr w:rsidR="00A03779" w14:paraId="1F2BBAE0" w14:textId="77777777" w:rsidTr="001474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201547"/>
          </w:tcPr>
          <w:p w14:paraId="52B952C1" w14:textId="77777777" w:rsidR="00A03779" w:rsidRDefault="00A03779">
            <w:pPr>
              <w:pStyle w:val="BodyText"/>
            </w:pPr>
            <w:r>
              <w:t>Technology</w:t>
            </w:r>
          </w:p>
        </w:tc>
        <w:tc>
          <w:tcPr>
            <w:tcW w:w="0" w:type="auto"/>
            <w:shd w:val="clear" w:color="auto" w:fill="201547"/>
          </w:tcPr>
          <w:p w14:paraId="2AA88CBB" w14:textId="77777777" w:rsidR="00A03779" w:rsidRDefault="00A03779" w:rsidP="001474D9">
            <w:pPr>
              <w:pStyle w:val="BodyText"/>
              <w:jc w:val="center"/>
              <w:cnfStyle w:val="100000000000" w:firstRow="1" w:lastRow="0" w:firstColumn="0" w:lastColumn="0" w:oddVBand="0" w:evenVBand="0" w:oddHBand="0" w:evenHBand="0" w:firstRowFirstColumn="0" w:firstRowLastColumn="0" w:lastRowFirstColumn="0" w:lastRowLastColumn="0"/>
            </w:pPr>
            <w:r>
              <w:t>Persistence factor</w:t>
            </w:r>
          </w:p>
        </w:tc>
      </w:tr>
      <w:tr w:rsidR="00A03779" w14:paraId="0158D41D" w14:textId="77777777" w:rsidTr="001474D9">
        <w:tc>
          <w:tcPr>
            <w:cnfStyle w:val="001000000000" w:firstRow="0" w:lastRow="0" w:firstColumn="1" w:lastColumn="0" w:oddVBand="0" w:evenVBand="0" w:oddHBand="0" w:evenHBand="0" w:firstRowFirstColumn="0" w:firstRowLastColumn="0" w:lastRowFirstColumn="0" w:lastRowLastColumn="0"/>
            <w:tcW w:w="0" w:type="auto"/>
          </w:tcPr>
          <w:p w14:paraId="6BACEE27" w14:textId="77777777" w:rsidR="00A03779" w:rsidRDefault="00A03779">
            <w:pPr>
              <w:pStyle w:val="BodyText"/>
            </w:pPr>
            <w:r>
              <w:t>Motors</w:t>
            </w:r>
          </w:p>
        </w:tc>
        <w:tc>
          <w:tcPr>
            <w:tcW w:w="0" w:type="auto"/>
          </w:tcPr>
          <w:p w14:paraId="643932A5" w14:textId="45DCF7D5" w:rsidR="00A03779" w:rsidRDefault="00D60325" w:rsidP="001474D9">
            <w:pPr>
              <w:pStyle w:val="BodyText"/>
              <w:jc w:val="center"/>
              <w:cnfStyle w:val="000000000000" w:firstRow="0" w:lastRow="0" w:firstColumn="0" w:lastColumn="0" w:oddVBand="0" w:evenVBand="0" w:oddHBand="0" w:evenHBand="0" w:firstRowFirstColumn="0" w:firstRowLastColumn="0" w:lastRowFirstColumn="0" w:lastRowLastColumn="0"/>
            </w:pPr>
            <w:r>
              <w:t>9</w:t>
            </w:r>
          </w:p>
        </w:tc>
      </w:tr>
      <w:tr w:rsidR="00DC64B2" w14:paraId="53DA9865" w14:textId="77777777" w:rsidTr="001474D9">
        <w:tc>
          <w:tcPr>
            <w:cnfStyle w:val="001000000000" w:firstRow="0" w:lastRow="0" w:firstColumn="1" w:lastColumn="0" w:oddVBand="0" w:evenVBand="0" w:oddHBand="0" w:evenHBand="0" w:firstRowFirstColumn="0" w:firstRowLastColumn="0" w:lastRowFirstColumn="0" w:lastRowLastColumn="0"/>
            <w:tcW w:w="0" w:type="auto"/>
          </w:tcPr>
          <w:p w14:paraId="47CE0CCA" w14:textId="53D457C7" w:rsidR="00DC64B2" w:rsidRDefault="00DC64B2" w:rsidP="00DC64B2">
            <w:pPr>
              <w:pStyle w:val="BodyText"/>
            </w:pPr>
            <w:r>
              <w:t xml:space="preserve">Elevators and escalators </w:t>
            </w:r>
          </w:p>
        </w:tc>
        <w:tc>
          <w:tcPr>
            <w:tcW w:w="0" w:type="auto"/>
          </w:tcPr>
          <w:p w14:paraId="46CD7A53" w14:textId="143847BC" w:rsidR="00DC64B2" w:rsidRDefault="00DC64B2" w:rsidP="001474D9">
            <w:pPr>
              <w:pStyle w:val="BodyText"/>
              <w:jc w:val="center"/>
              <w:cnfStyle w:val="000000000000" w:firstRow="0" w:lastRow="0" w:firstColumn="0" w:lastColumn="0" w:oddVBand="0" w:evenVBand="0" w:oddHBand="0" w:evenHBand="0" w:firstRowFirstColumn="0" w:firstRowLastColumn="0" w:lastRowFirstColumn="0" w:lastRowLastColumn="0"/>
            </w:pPr>
            <w:r>
              <w:t>9</w:t>
            </w:r>
          </w:p>
        </w:tc>
      </w:tr>
      <w:tr w:rsidR="00DC64B2" w14:paraId="1F5BADD5" w14:textId="77777777" w:rsidTr="001474D9">
        <w:tc>
          <w:tcPr>
            <w:cnfStyle w:val="001000000000" w:firstRow="0" w:lastRow="0" w:firstColumn="1" w:lastColumn="0" w:oddVBand="0" w:evenVBand="0" w:oddHBand="0" w:evenHBand="0" w:firstRowFirstColumn="0" w:firstRowLastColumn="0" w:lastRowFirstColumn="0" w:lastRowLastColumn="0"/>
            <w:tcW w:w="0" w:type="auto"/>
          </w:tcPr>
          <w:p w14:paraId="04153728" w14:textId="667237EB" w:rsidR="00DC64B2" w:rsidRDefault="00DC64B2" w:rsidP="00DC64B2">
            <w:pPr>
              <w:pStyle w:val="BodyText"/>
            </w:pPr>
            <w:r>
              <w:t>Pumps</w:t>
            </w:r>
          </w:p>
        </w:tc>
        <w:tc>
          <w:tcPr>
            <w:tcW w:w="0" w:type="auto"/>
          </w:tcPr>
          <w:p w14:paraId="3CF1B28D" w14:textId="46D82F5A" w:rsidR="00DC64B2" w:rsidRDefault="00DC64B2" w:rsidP="001474D9">
            <w:pPr>
              <w:pStyle w:val="BodyText"/>
              <w:jc w:val="center"/>
              <w:cnfStyle w:val="000000000000" w:firstRow="0" w:lastRow="0" w:firstColumn="0" w:lastColumn="0" w:oddVBand="0" w:evenVBand="0" w:oddHBand="0" w:evenHBand="0" w:firstRowFirstColumn="0" w:firstRowLastColumn="0" w:lastRowFirstColumn="0" w:lastRowLastColumn="0"/>
            </w:pPr>
            <w:r>
              <w:t>9</w:t>
            </w:r>
          </w:p>
        </w:tc>
      </w:tr>
      <w:tr w:rsidR="00DC64B2" w14:paraId="38EA168F" w14:textId="77777777" w:rsidTr="001474D9">
        <w:tc>
          <w:tcPr>
            <w:cnfStyle w:val="001000000000" w:firstRow="0" w:lastRow="0" w:firstColumn="1" w:lastColumn="0" w:oddVBand="0" w:evenVBand="0" w:oddHBand="0" w:evenHBand="0" w:firstRowFirstColumn="0" w:firstRowLastColumn="0" w:lastRowFirstColumn="0" w:lastRowLastColumn="0"/>
            <w:tcW w:w="0" w:type="auto"/>
          </w:tcPr>
          <w:p w14:paraId="7F8E0106" w14:textId="1BA78FBE" w:rsidR="00DC64B2" w:rsidRDefault="00DC64B2" w:rsidP="00DC64B2">
            <w:pPr>
              <w:pStyle w:val="BodyText"/>
            </w:pPr>
            <w:r>
              <w:t>Fans</w:t>
            </w:r>
          </w:p>
        </w:tc>
        <w:tc>
          <w:tcPr>
            <w:tcW w:w="0" w:type="auto"/>
          </w:tcPr>
          <w:p w14:paraId="05CA31ED" w14:textId="064220A0" w:rsidR="00DC64B2" w:rsidRDefault="00DC64B2" w:rsidP="001474D9">
            <w:pPr>
              <w:pStyle w:val="BodyText"/>
              <w:jc w:val="center"/>
              <w:cnfStyle w:val="000000000000" w:firstRow="0" w:lastRow="0" w:firstColumn="0" w:lastColumn="0" w:oddVBand="0" w:evenVBand="0" w:oddHBand="0" w:evenHBand="0" w:firstRowFirstColumn="0" w:firstRowLastColumn="0" w:lastRowFirstColumn="0" w:lastRowLastColumn="0"/>
            </w:pPr>
            <w:r>
              <w:t>8</w:t>
            </w:r>
          </w:p>
        </w:tc>
      </w:tr>
      <w:tr w:rsidR="00DC64B2" w14:paraId="451D2891" w14:textId="77777777" w:rsidTr="001474D9">
        <w:tc>
          <w:tcPr>
            <w:cnfStyle w:val="001000000000" w:firstRow="0" w:lastRow="0" w:firstColumn="1" w:lastColumn="0" w:oddVBand="0" w:evenVBand="0" w:oddHBand="0" w:evenHBand="0" w:firstRowFirstColumn="0" w:firstRowLastColumn="0" w:lastRowFirstColumn="0" w:lastRowLastColumn="0"/>
            <w:tcW w:w="0" w:type="auto"/>
          </w:tcPr>
          <w:p w14:paraId="346E9EA6" w14:textId="4F805E01" w:rsidR="00DC64B2" w:rsidRDefault="00DC64B2" w:rsidP="00DC64B2">
            <w:pPr>
              <w:pStyle w:val="BodyText"/>
            </w:pPr>
            <w:r>
              <w:t>Variable speed drives</w:t>
            </w:r>
          </w:p>
        </w:tc>
        <w:tc>
          <w:tcPr>
            <w:tcW w:w="0" w:type="auto"/>
          </w:tcPr>
          <w:p w14:paraId="12C906F9" w14:textId="3098A395" w:rsidR="00DC64B2" w:rsidRDefault="00DC64B2" w:rsidP="001474D9">
            <w:pPr>
              <w:pStyle w:val="BodyText"/>
              <w:jc w:val="center"/>
              <w:cnfStyle w:val="000000000000" w:firstRow="0" w:lastRow="0" w:firstColumn="0" w:lastColumn="0" w:oddVBand="0" w:evenVBand="0" w:oddHBand="0" w:evenHBand="0" w:firstRowFirstColumn="0" w:firstRowLastColumn="0" w:lastRowFirstColumn="0" w:lastRowLastColumn="0"/>
            </w:pPr>
            <w:r>
              <w:t>8</w:t>
            </w:r>
          </w:p>
        </w:tc>
      </w:tr>
      <w:tr w:rsidR="00DC64B2" w14:paraId="4C4F88B8" w14:textId="77777777" w:rsidTr="001474D9">
        <w:tc>
          <w:tcPr>
            <w:cnfStyle w:val="001000000000" w:firstRow="0" w:lastRow="0" w:firstColumn="1" w:lastColumn="0" w:oddVBand="0" w:evenVBand="0" w:oddHBand="0" w:evenHBand="0" w:firstRowFirstColumn="0" w:firstRowLastColumn="0" w:lastRowFirstColumn="0" w:lastRowLastColumn="0"/>
            <w:tcW w:w="0" w:type="auto"/>
          </w:tcPr>
          <w:p w14:paraId="50CA1A82" w14:textId="486BEC9A" w:rsidR="00DC64B2" w:rsidRDefault="00DC64B2" w:rsidP="00DC64B2">
            <w:pPr>
              <w:pStyle w:val="BodyText"/>
            </w:pPr>
            <w:r>
              <w:t>Air compressor</w:t>
            </w:r>
          </w:p>
        </w:tc>
        <w:tc>
          <w:tcPr>
            <w:tcW w:w="0" w:type="auto"/>
          </w:tcPr>
          <w:p w14:paraId="7467C723" w14:textId="6F60B313" w:rsidR="00DC64B2" w:rsidRDefault="00DC64B2" w:rsidP="001474D9">
            <w:pPr>
              <w:pStyle w:val="BodyText"/>
              <w:jc w:val="center"/>
              <w:cnfStyle w:val="000000000000" w:firstRow="0" w:lastRow="0" w:firstColumn="0" w:lastColumn="0" w:oddVBand="0" w:evenVBand="0" w:oddHBand="0" w:evenHBand="0" w:firstRowFirstColumn="0" w:firstRowLastColumn="0" w:lastRowFirstColumn="0" w:lastRowLastColumn="0"/>
            </w:pPr>
            <w:r>
              <w:t>7</w:t>
            </w:r>
          </w:p>
        </w:tc>
      </w:tr>
      <w:tr w:rsidR="00DC64B2" w14:paraId="69402CE5" w14:textId="77777777" w:rsidTr="001474D9">
        <w:tc>
          <w:tcPr>
            <w:cnfStyle w:val="001000000000" w:firstRow="0" w:lastRow="0" w:firstColumn="1" w:lastColumn="0" w:oddVBand="0" w:evenVBand="0" w:oddHBand="0" w:evenHBand="0" w:firstRowFirstColumn="0" w:firstRowLastColumn="0" w:lastRowFirstColumn="0" w:lastRowLastColumn="0"/>
            <w:tcW w:w="0" w:type="auto"/>
          </w:tcPr>
          <w:p w14:paraId="0A64AEA8" w14:textId="37DAD506" w:rsidR="00DC64B2" w:rsidRDefault="00DC64B2" w:rsidP="00DC64B2">
            <w:pPr>
              <w:pStyle w:val="BodyText"/>
            </w:pPr>
            <w:r>
              <w:t>Other</w:t>
            </w:r>
          </w:p>
        </w:tc>
        <w:tc>
          <w:tcPr>
            <w:tcW w:w="0" w:type="auto"/>
          </w:tcPr>
          <w:p w14:paraId="538D27E4" w14:textId="5A8226D0" w:rsidR="00DC64B2" w:rsidRDefault="00B67776" w:rsidP="001474D9">
            <w:pPr>
              <w:pStyle w:val="BodyText"/>
              <w:jc w:val="center"/>
              <w:cnfStyle w:val="000000000000" w:firstRow="0" w:lastRow="0" w:firstColumn="0" w:lastColumn="0" w:oddVBand="0" w:evenVBand="0" w:oddHBand="0" w:evenHBand="0" w:firstRowFirstColumn="0" w:firstRowLastColumn="0" w:lastRowFirstColumn="0" w:lastRowLastColumn="0"/>
            </w:pPr>
            <w:r>
              <w:t xml:space="preserve">As determined in accordance with </w:t>
            </w:r>
            <w:r w:rsidR="005E1DD2">
              <w:t>3</w:t>
            </w:r>
            <w:r>
              <w:t>.3.4</w:t>
            </w:r>
          </w:p>
        </w:tc>
      </w:tr>
    </w:tbl>
    <w:p w14:paraId="1A7E4435" w14:textId="77777777" w:rsidR="00BD2DEE" w:rsidRDefault="00BD2DEE" w:rsidP="00BD2DEE">
      <w:pPr>
        <w:pStyle w:val="BodyText"/>
        <w:sectPr w:rsidR="00BD2DEE" w:rsidSect="00747A21">
          <w:pgSz w:w="11907" w:h="16839" w:code="9"/>
          <w:pgMar w:top="1134" w:right="1134" w:bottom="1134" w:left="1134" w:header="283" w:footer="283" w:gutter="0"/>
          <w:cols w:space="454"/>
          <w:noEndnote/>
          <w:docGrid w:linePitch="360"/>
        </w:sectPr>
      </w:pPr>
    </w:p>
    <w:p w14:paraId="7A0E606B" w14:textId="1F059FAE" w:rsidR="00BD2DEE" w:rsidRDefault="00BD6A34" w:rsidP="00E37634">
      <w:pPr>
        <w:pStyle w:val="Heading1"/>
        <w:ind w:left="426"/>
      </w:pPr>
      <w:bookmarkStart w:id="154" w:name="_Toc239413190"/>
      <w:r>
        <w:lastRenderedPageBreak/>
        <w:t>Solar PV direct measurement</w:t>
      </w:r>
      <w:bookmarkEnd w:id="154"/>
    </w:p>
    <w:p w14:paraId="56324E9D" w14:textId="73BB282A" w:rsidR="00BD2DEE" w:rsidRDefault="00BD2DEE" w:rsidP="00BD2DEE">
      <w:pPr>
        <w:pStyle w:val="Heading2"/>
      </w:pPr>
      <w:bookmarkStart w:id="155" w:name="_Toc200577542"/>
      <w:bookmarkStart w:id="156" w:name="_Toc232605541"/>
      <w:r>
        <w:t>Information to be provided</w:t>
      </w:r>
      <w:bookmarkEnd w:id="155"/>
      <w:bookmarkEnd w:id="156"/>
    </w:p>
    <w:p w14:paraId="62FEC2C9" w14:textId="77777777" w:rsidR="00BD2DEE" w:rsidRDefault="00BD2DEE" w:rsidP="00BD2DEE">
      <w:pPr>
        <w:pStyle w:val="Heading3"/>
      </w:pPr>
      <w:bookmarkStart w:id="157" w:name="_Toc200577543"/>
      <w:r>
        <w:t>Information to be provided in an application for scoping approval</w:t>
      </w:r>
      <w:bookmarkEnd w:id="157"/>
    </w:p>
    <w:p w14:paraId="672E02A2" w14:textId="389C728B" w:rsidR="00E617DE" w:rsidRPr="00E617DE" w:rsidRDefault="00E617DE">
      <w:pPr>
        <w:pStyle w:val="ListParagraph"/>
        <w:numPr>
          <w:ilvl w:val="0"/>
          <w:numId w:val="73"/>
        </w:numPr>
        <w:jc w:val="both"/>
      </w:pPr>
      <w:r w:rsidRPr="00E617DE">
        <w:t xml:space="preserve">A declaration that the upgrade is eligible to use the </w:t>
      </w:r>
      <w:r w:rsidR="007358B0">
        <w:t>Solar PV direct measurement</w:t>
      </w:r>
      <w:r w:rsidR="00371ED9" w:rsidRPr="00371ED9">
        <w:t xml:space="preserve"> </w:t>
      </w:r>
      <w:r w:rsidR="00371ED9">
        <w:t>sp</w:t>
      </w:r>
      <w:r w:rsidRPr="00E617DE">
        <w:t>ecified measurement method</w:t>
      </w:r>
      <w:r w:rsidR="00E311D1">
        <w:t>; and</w:t>
      </w:r>
    </w:p>
    <w:p w14:paraId="62253AC9" w14:textId="2C659A3E" w:rsidR="00620390" w:rsidRDefault="00CF034C">
      <w:pPr>
        <w:pStyle w:val="BodyText"/>
        <w:numPr>
          <w:ilvl w:val="0"/>
          <w:numId w:val="73"/>
        </w:numPr>
      </w:pPr>
      <w:r>
        <w:t xml:space="preserve">A </w:t>
      </w:r>
      <w:r w:rsidR="009117CC">
        <w:t>document which specifies the following:</w:t>
      </w:r>
    </w:p>
    <w:p w14:paraId="027EDCA0" w14:textId="68E4DCFB" w:rsidR="00620390" w:rsidRDefault="00D82770">
      <w:pPr>
        <w:pStyle w:val="BodyText"/>
        <w:numPr>
          <w:ilvl w:val="1"/>
          <w:numId w:val="73"/>
        </w:numPr>
      </w:pPr>
      <w:r>
        <w:t>d</w:t>
      </w:r>
      <w:r w:rsidR="00620390">
        <w:t>etails of any existing solar PV or</w:t>
      </w:r>
      <w:r w:rsidR="009117CC">
        <w:t xml:space="preserve"> electricity generating equipment at the premises</w:t>
      </w:r>
      <w:r w:rsidR="009A5406">
        <w:t>;</w:t>
      </w:r>
      <w:r>
        <w:t xml:space="preserve"> and</w:t>
      </w:r>
    </w:p>
    <w:p w14:paraId="54E48072" w14:textId="19424D9D" w:rsidR="00CF034C" w:rsidRDefault="00D82770">
      <w:pPr>
        <w:pStyle w:val="BodyText"/>
        <w:numPr>
          <w:ilvl w:val="1"/>
          <w:numId w:val="73"/>
        </w:numPr>
      </w:pPr>
      <w:r>
        <w:t>t</w:t>
      </w:r>
      <w:r w:rsidR="00CF034C">
        <w:t xml:space="preserve">he </w:t>
      </w:r>
      <w:r w:rsidR="000575BA">
        <w:t>standards to be applied for the solar PV equipment</w:t>
      </w:r>
      <w:r w:rsidR="00AF6B87">
        <w:t>; and</w:t>
      </w:r>
    </w:p>
    <w:p w14:paraId="5C766A2E" w14:textId="6790B95A" w:rsidR="009619BE" w:rsidRDefault="00420983">
      <w:pPr>
        <w:pStyle w:val="BodyText"/>
        <w:numPr>
          <w:ilvl w:val="0"/>
          <w:numId w:val="73"/>
        </w:numPr>
      </w:pPr>
      <w:r>
        <w:t xml:space="preserve">The measurement approach </w:t>
      </w:r>
      <w:r w:rsidR="00CC185C">
        <w:t xml:space="preserve">should not capture </w:t>
      </w:r>
      <w:r w:rsidR="009058C9">
        <w:t xml:space="preserve">spilled energy </w:t>
      </w:r>
      <w:r w:rsidR="00B67776">
        <w:t xml:space="preserve">that </w:t>
      </w:r>
      <w:r w:rsidR="004023ED">
        <w:t xml:space="preserve">is generated by </w:t>
      </w:r>
      <w:r w:rsidR="00555135">
        <w:t xml:space="preserve">the solar PV system that is not utilised </w:t>
      </w:r>
      <w:r w:rsidR="00FC0A87">
        <w:t xml:space="preserve">or exported. </w:t>
      </w:r>
    </w:p>
    <w:p w14:paraId="07151380" w14:textId="77777777" w:rsidR="000575BA" w:rsidRPr="00CF034C" w:rsidRDefault="000575BA" w:rsidP="004B1D44">
      <w:pPr>
        <w:pStyle w:val="BodyText"/>
      </w:pPr>
    </w:p>
    <w:p w14:paraId="0B0B9E38" w14:textId="77777777" w:rsidR="00BD2DEE" w:rsidRDefault="00BD2DEE" w:rsidP="00BD2DEE">
      <w:pPr>
        <w:pStyle w:val="Heading2"/>
      </w:pPr>
      <w:bookmarkStart w:id="158" w:name="_Toc200577544"/>
      <w:bookmarkStart w:id="159" w:name="_Toc232605542"/>
      <w:r>
        <w:t>Methods</w:t>
      </w:r>
      <w:bookmarkEnd w:id="158"/>
      <w:bookmarkEnd w:id="159"/>
    </w:p>
    <w:p w14:paraId="64EC7A74" w14:textId="77777777" w:rsidR="009C0FCD" w:rsidRDefault="000C15F4" w:rsidP="0075542E">
      <w:pPr>
        <w:pStyle w:val="Heading3"/>
      </w:pPr>
      <w:bookmarkStart w:id="160" w:name="_Toc200577545"/>
      <w:r>
        <w:t>Carbon dioxide equivalent savings</w:t>
      </w:r>
      <w:bookmarkEnd w:id="160"/>
    </w:p>
    <w:p w14:paraId="4D9219E8" w14:textId="4E17F20C" w:rsidR="009C0FCD" w:rsidRPr="009F77A4" w:rsidRDefault="009C0FCD" w:rsidP="00D242C7">
      <w:pPr>
        <w:pStyle w:val="ListNumber"/>
        <w:numPr>
          <w:ilvl w:val="0"/>
          <w:numId w:val="0"/>
        </w:numPr>
        <w:jc w:val="left"/>
      </w:pPr>
      <w:r w:rsidRPr="009F77A4">
        <w:t xml:space="preserve">The carbon dioxide equivalent (in tonnes) of greenhouse gases to be reduced by undertaking a project is calculated using Equation </w:t>
      </w:r>
      <w:r w:rsidR="005232C2">
        <w:t>7</w:t>
      </w:r>
      <w:r w:rsidR="00602B1B">
        <w:t>.</w:t>
      </w:r>
      <w:r w:rsidRPr="009F77A4">
        <w:t xml:space="preserve">1, where variables are determined in </w:t>
      </w:r>
      <w:r w:rsidRPr="00657E8D">
        <w:t>accordance with section 2</w:t>
      </w:r>
      <w:r w:rsidR="00602B1B">
        <w:t xml:space="preserve"> and</w:t>
      </w:r>
      <w:r>
        <w:t xml:space="preserve"> this section</w:t>
      </w:r>
      <w:r w:rsidRPr="009F77A4">
        <w:t>.</w:t>
      </w:r>
    </w:p>
    <w:p w14:paraId="31A11935" w14:textId="0454F73C" w:rsidR="0075542E" w:rsidRDefault="000C15F4" w:rsidP="006E0F0A">
      <w:pPr>
        <w:pStyle w:val="BodyText"/>
      </w:pPr>
      <w:r>
        <w:t xml:space="preserve"> </w:t>
      </w:r>
    </w:p>
    <w:p w14:paraId="26997663" w14:textId="07AD9333" w:rsidR="0075542E" w:rsidRPr="0075542E" w:rsidRDefault="000D490A" w:rsidP="006E0F0A">
      <w:pPr>
        <w:pStyle w:val="CaptionImageorFigure"/>
      </w:pPr>
      <w:r>
        <w:t xml:space="preserve">Equation </w:t>
      </w:r>
      <w:r w:rsidR="005232C2">
        <w:t>7</w:t>
      </w:r>
      <w:r>
        <w:t>.1</w:t>
      </w:r>
    </w:p>
    <w:p w14:paraId="64416D68" w14:textId="78CEA5BB" w:rsidR="0075542E" w:rsidRDefault="0075542E" w:rsidP="0075542E">
      <w:pPr>
        <w:pStyle w:val="BodyText"/>
      </w:pPr>
      <m:oMathPara>
        <m:oMath>
          <m:r>
            <w:rPr>
              <w:rFonts w:ascii="Cambria Math" w:hAnsi="Cambria Math"/>
            </w:rPr>
            <m:t xml:space="preserve">carbon dioxide equivalent= </m:t>
          </m:r>
          <m:nary>
            <m:naryPr>
              <m:chr m:val="∑"/>
              <m:limLoc m:val="subSup"/>
              <m:supHide m:val="1"/>
              <m:ctrlPr>
                <w:rPr>
                  <w:rFonts w:ascii="Cambria Math" w:hAnsi="Cambria Math"/>
                  <w:i/>
                </w:rPr>
              </m:ctrlPr>
            </m:naryPr>
            <m:sub>
              <m:r>
                <w:rPr>
                  <w:rFonts w:ascii="Cambria Math" w:hAnsi="Cambria Math"/>
                </w:rPr>
                <m:t>j</m:t>
              </m:r>
            </m:sub>
            <m:sup/>
            <m:e>
              <m:r>
                <w:rPr>
                  <w:rFonts w:ascii="Cambria Math" w:hAnsi="Cambria Math"/>
                </w:rPr>
                <m:t>(</m:t>
              </m:r>
              <m:sSub>
                <m:sSubPr>
                  <m:ctrlPr>
                    <w:rPr>
                      <w:rFonts w:ascii="Cambria Math" w:hAnsi="Cambria Math"/>
                      <w:i/>
                    </w:rPr>
                  </m:ctrlPr>
                </m:sSubPr>
                <m:e>
                  <m:r>
                    <w:rPr>
                      <w:rFonts w:ascii="Cambria Math" w:hAnsi="Cambria Math"/>
                    </w:rPr>
                    <m:t>Savings</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EF</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RF</m:t>
                  </m:r>
                </m:e>
                <m:sub>
                  <m:r>
                    <w:rPr>
                      <w:rFonts w:ascii="Cambria Math" w:hAnsi="Cambria Math"/>
                    </w:rPr>
                    <m:t>j</m:t>
                  </m:r>
                </m:sub>
              </m:sSub>
              <m:r>
                <w:rPr>
                  <w:rFonts w:ascii="Cambria Math" w:hAnsi="Cambria Math"/>
                </w:rPr>
                <m:t xml:space="preserve"> ×</m:t>
              </m:r>
              <m:sSub>
                <m:sSubPr>
                  <m:ctrlPr>
                    <w:rPr>
                      <w:rFonts w:ascii="Cambria Math" w:hAnsi="Cambria Math"/>
                      <w:i/>
                    </w:rPr>
                  </m:ctrlPr>
                </m:sSubPr>
                <m:e>
                  <m:r>
                    <w:rPr>
                      <w:rFonts w:ascii="Cambria Math" w:hAnsi="Cambria Math"/>
                    </w:rPr>
                    <m:t>AF</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PF</m:t>
                  </m:r>
                </m:e>
                <m:sub>
                  <m:r>
                    <w:rPr>
                      <w:rFonts w:ascii="Cambria Math" w:hAnsi="Cambria Math"/>
                    </w:rPr>
                    <m:t>j</m:t>
                  </m:r>
                </m:sub>
              </m:sSub>
              <m:r>
                <w:rPr>
                  <w:rFonts w:ascii="Cambria Math" w:hAnsi="Cambria Math"/>
                </w:rPr>
                <m:t>)</m:t>
              </m:r>
            </m:e>
          </m:nary>
          <m:r>
            <w:rPr>
              <w:rFonts w:ascii="Cambria Math" w:hAnsi="Cambria Math"/>
            </w:rPr>
            <m:t>-counted savings</m:t>
          </m:r>
        </m:oMath>
      </m:oMathPara>
    </w:p>
    <w:p w14:paraId="3D0F26F7" w14:textId="77777777" w:rsidR="0075542E" w:rsidRDefault="0075542E" w:rsidP="0075542E">
      <w:pPr>
        <w:pStyle w:val="BodyText"/>
      </w:pPr>
      <w:r>
        <w:t>where:</w:t>
      </w:r>
    </w:p>
    <w:p w14:paraId="0956B90F" w14:textId="31DD2B27" w:rsidR="0075542E" w:rsidRPr="00F768C1" w:rsidRDefault="0075542E">
      <w:pPr>
        <w:pStyle w:val="ListNumber2"/>
        <w:numPr>
          <w:ilvl w:val="0"/>
          <w:numId w:val="74"/>
        </w:numPr>
        <w:jc w:val="left"/>
      </w:pPr>
      <m:oMath>
        <m:r>
          <w:rPr>
            <w:rFonts w:ascii="Cambria Math" w:hAnsi="Cambria Math"/>
          </w:rPr>
          <m:t>j</m:t>
        </m:r>
      </m:oMath>
      <w:r>
        <w:t xml:space="preserve"> is the measurement boundary number in the case that there are multiple measurement boundaries under one project</w:t>
      </w:r>
      <w:r w:rsidR="00D777DD">
        <w:t>;</w:t>
      </w:r>
    </w:p>
    <w:p w14:paraId="5F063A6E" w14:textId="28F4C107" w:rsidR="0075542E" w:rsidRDefault="0075542E">
      <w:pPr>
        <w:pStyle w:val="ListNumber2"/>
        <w:numPr>
          <w:ilvl w:val="0"/>
          <w:numId w:val="74"/>
        </w:numPr>
        <w:jc w:val="left"/>
      </w:pPr>
      <w:r w:rsidRPr="009E7AE4">
        <w:rPr>
          <w:i/>
        </w:rPr>
        <w:t>savings</w:t>
      </w:r>
      <w:r w:rsidRPr="00DD0D8F">
        <w:t xml:space="preserve"> is calculated in MWh using </w:t>
      </w:r>
      <w:r w:rsidRPr="005E61AA">
        <w:t xml:space="preserve">Equation </w:t>
      </w:r>
      <w:r w:rsidR="005232C2">
        <w:t>7</w:t>
      </w:r>
      <w:r w:rsidRPr="005E61AA">
        <w:t>.2</w:t>
      </w:r>
      <w:r w:rsidR="00D777DD">
        <w:t>;</w:t>
      </w:r>
    </w:p>
    <w:p w14:paraId="0CFC80D4" w14:textId="641A9450" w:rsidR="0075542E" w:rsidRPr="00DD0D8F" w:rsidRDefault="0075542E">
      <w:pPr>
        <w:pStyle w:val="ListNumber2"/>
        <w:numPr>
          <w:ilvl w:val="0"/>
          <w:numId w:val="74"/>
        </w:numPr>
      </w:pPr>
      <w:r>
        <w:rPr>
          <w:i/>
        </w:rPr>
        <w:t xml:space="preserve">EF </w:t>
      </w:r>
      <w:r w:rsidR="000C15F4" w:rsidRPr="004B1D44">
        <w:rPr>
          <w:iCs/>
        </w:rPr>
        <w:t>is the</w:t>
      </w:r>
      <w:r w:rsidR="000C15F4">
        <w:rPr>
          <w:i/>
        </w:rPr>
        <w:t xml:space="preserve"> </w:t>
      </w:r>
      <w:r w:rsidRPr="004B1D44">
        <w:rPr>
          <w:iCs/>
        </w:rPr>
        <w:t>emissions factor</w:t>
      </w:r>
      <w:r w:rsidR="000C15F4" w:rsidRPr="004B1D44">
        <w:rPr>
          <w:iCs/>
        </w:rPr>
        <w:t xml:space="preserve">, as per the definition in </w:t>
      </w:r>
      <w:r w:rsidR="000C15F4" w:rsidRPr="005E61AA">
        <w:rPr>
          <w:iCs/>
        </w:rPr>
        <w:t xml:space="preserve">section </w:t>
      </w:r>
      <w:r w:rsidR="00F2330D" w:rsidRPr="005E61AA">
        <w:rPr>
          <w:iCs/>
        </w:rPr>
        <w:t>2</w:t>
      </w:r>
      <w:r w:rsidR="000F3137">
        <w:rPr>
          <w:iCs/>
        </w:rPr>
        <w:t>;</w:t>
      </w:r>
    </w:p>
    <w:p w14:paraId="4DE709F3" w14:textId="4A8DD9E3" w:rsidR="0075542E" w:rsidRDefault="0075542E">
      <w:pPr>
        <w:pStyle w:val="ListNumber2"/>
        <w:numPr>
          <w:ilvl w:val="0"/>
          <w:numId w:val="74"/>
        </w:numPr>
      </w:pPr>
      <w:r w:rsidRPr="009E7AE4">
        <w:rPr>
          <w:i/>
        </w:rPr>
        <w:t>RF</w:t>
      </w:r>
      <w:r w:rsidRPr="00DD0D8F">
        <w:t xml:space="preserve"> is the regional factor, which is 0.98 if the </w:t>
      </w:r>
      <w:r>
        <w:t>premises</w:t>
      </w:r>
      <w:r w:rsidRPr="00DD0D8F">
        <w:t xml:space="preserve"> is in metropolitan Victoria or 1.04 if the </w:t>
      </w:r>
      <w:r>
        <w:t>premises</w:t>
      </w:r>
      <w:r w:rsidRPr="00DD0D8F">
        <w:t xml:space="preserve"> is in regional Victoria</w:t>
      </w:r>
      <w:r>
        <w:t xml:space="preserve">, as defined in the Locations Variable List in the </w:t>
      </w:r>
      <w:r w:rsidRPr="00E37634">
        <w:rPr>
          <w:i/>
        </w:rPr>
        <w:t>Victorian Energy Upgrades Specifications 2018</w:t>
      </w:r>
      <w:r w:rsidR="000F3137">
        <w:t>;</w:t>
      </w:r>
    </w:p>
    <w:p w14:paraId="33758D50" w14:textId="2F97F0BB" w:rsidR="0075542E" w:rsidRPr="005E61AA" w:rsidRDefault="0075542E">
      <w:pPr>
        <w:pStyle w:val="ListNumber2"/>
        <w:numPr>
          <w:ilvl w:val="0"/>
          <w:numId w:val="74"/>
        </w:numPr>
      </w:pPr>
      <m:oMath>
        <m:r>
          <m:rPr>
            <m:sty m:val="p"/>
          </m:rPr>
          <w:rPr>
            <w:rFonts w:ascii="Cambria Math" w:hAnsi="Cambria Math"/>
          </w:rPr>
          <m:t>AF</m:t>
        </m:r>
      </m:oMath>
      <w:r w:rsidRPr="005174F9">
        <w:t xml:space="preserve"> is the accuracy factor</w:t>
      </w:r>
      <w:r>
        <w:t xml:space="preserve"> for the measurement boundary, being </w:t>
      </w:r>
      <w:r w:rsidR="00A111BC">
        <w:t>1</w:t>
      </w:r>
      <w:r w:rsidR="000F3137">
        <w:t>;</w:t>
      </w:r>
    </w:p>
    <w:p w14:paraId="57C4F7DC" w14:textId="509DF78B" w:rsidR="00D84E32" w:rsidRDefault="00000000">
      <w:pPr>
        <w:pStyle w:val="ListNumber2"/>
        <w:numPr>
          <w:ilvl w:val="0"/>
          <w:numId w:val="74"/>
        </w:numPr>
      </w:pPr>
      <m:oMath>
        <m:sSub>
          <m:sSubPr>
            <m:ctrlPr>
              <w:rPr>
                <w:rFonts w:ascii="Cambria Math" w:hAnsi="Cambria Math"/>
              </w:rPr>
            </m:ctrlPr>
          </m:sSubPr>
          <m:e>
            <m:r>
              <m:rPr>
                <m:sty m:val="p"/>
              </m:rPr>
              <w:rPr>
                <w:rFonts w:ascii="Cambria Math" w:hAnsi="Cambria Math"/>
              </w:rPr>
              <m:t>PF</m:t>
            </m:r>
          </m:e>
          <m:sub>
            <m:r>
              <m:rPr>
                <m:sty m:val="p"/>
              </m:rPr>
              <w:rPr>
                <w:rFonts w:ascii="Cambria Math" w:hAnsi="Cambria Math"/>
              </w:rPr>
              <m:t>j</m:t>
            </m:r>
          </m:sub>
        </m:sSub>
      </m:oMath>
      <w:r w:rsidR="0075542E" w:rsidRPr="005E61AA">
        <w:t xml:space="preserve"> is the persistence factor for that measurement boundary</w:t>
      </w:r>
      <w:r w:rsidR="009D497D" w:rsidRPr="005E61AA">
        <w:t>, being the appli</w:t>
      </w:r>
      <w:r w:rsidR="0076733F" w:rsidRPr="005E61AA">
        <w:t>c</w:t>
      </w:r>
      <w:r w:rsidR="009D497D" w:rsidRPr="005E61AA">
        <w:t xml:space="preserve">able number </w:t>
      </w:r>
      <w:r w:rsidR="00F376A9" w:rsidRPr="005E61AA">
        <w:t xml:space="preserve">from Table </w:t>
      </w:r>
      <w:r w:rsidR="005232C2">
        <w:t>7</w:t>
      </w:r>
      <w:r w:rsidR="00F376A9" w:rsidRPr="005E61AA">
        <w:t>.2</w:t>
      </w:r>
      <w:r w:rsidR="000F3137">
        <w:t>;</w:t>
      </w:r>
      <w:r w:rsidR="005E61AA">
        <w:t xml:space="preserve"> and</w:t>
      </w:r>
    </w:p>
    <w:p w14:paraId="37A8C39D" w14:textId="5A7A3E34" w:rsidR="00D84E32" w:rsidRDefault="00D84E32">
      <w:pPr>
        <w:pStyle w:val="ListNumber2"/>
        <w:numPr>
          <w:ilvl w:val="0"/>
          <w:numId w:val="74"/>
        </w:numPr>
        <w:jc w:val="left"/>
      </w:pPr>
      <w:r w:rsidRPr="001D6A03">
        <w:rPr>
          <w:i/>
          <w:iCs/>
        </w:rPr>
        <w:t>counted savings</w:t>
      </w:r>
      <w:r>
        <w:t xml:space="preserve"> is </w:t>
      </w:r>
      <w:r w:rsidRPr="00A21848">
        <w:t>a variable determined in accordance with section</w:t>
      </w:r>
      <w:r>
        <w:t xml:space="preserve"> 2</w:t>
      </w:r>
      <w:r w:rsidR="00406650">
        <w:t xml:space="preserve">. </w:t>
      </w:r>
    </w:p>
    <w:p w14:paraId="26D422C7" w14:textId="77777777" w:rsidR="00D242C7" w:rsidRDefault="00D242C7" w:rsidP="00D242C7">
      <w:pPr>
        <w:pStyle w:val="ListNumber2"/>
        <w:ind w:left="0" w:firstLine="0"/>
        <w:jc w:val="left"/>
      </w:pPr>
    </w:p>
    <w:p w14:paraId="4F03E48A" w14:textId="20157B7D" w:rsidR="0075542E" w:rsidRDefault="00031240" w:rsidP="0075542E">
      <w:pPr>
        <w:pStyle w:val="Heading3"/>
      </w:pPr>
      <w:bookmarkStart w:id="161" w:name="_Toc200577546"/>
      <w:r>
        <w:t>Annual</w:t>
      </w:r>
      <w:r w:rsidR="0075542E">
        <w:t xml:space="preserve"> energy savings</w:t>
      </w:r>
      <w:bookmarkEnd w:id="161"/>
      <w:r w:rsidR="0075542E">
        <w:t xml:space="preserve"> </w:t>
      </w:r>
    </w:p>
    <w:p w14:paraId="448CB1DF" w14:textId="572E6CB5" w:rsidR="00C5785D" w:rsidRPr="00C5785D" w:rsidRDefault="00C5785D" w:rsidP="00B14FA8">
      <w:pPr>
        <w:pStyle w:val="CaptionImageorFigure"/>
      </w:pPr>
      <w:r>
        <w:t xml:space="preserve">Equation </w:t>
      </w:r>
      <w:r w:rsidR="005232C2">
        <w:t>7</w:t>
      </w:r>
      <w:r>
        <w:t>.2</w:t>
      </w:r>
    </w:p>
    <w:p w14:paraId="63636EDA" w14:textId="31208152" w:rsidR="0075542E" w:rsidRPr="003D143A" w:rsidRDefault="00034522" w:rsidP="0075542E">
      <w:pPr>
        <w:spacing w:line="360" w:lineRule="auto"/>
        <w:rPr>
          <w:rFonts w:ascii="Times New Roman" w:eastAsiaTheme="minorEastAsia" w:hAnsi="Times New Roman"/>
          <w:sz w:val="24"/>
          <w:szCs w:val="24"/>
        </w:rPr>
      </w:pPr>
      <m:oMathPara>
        <m:oMath>
          <m:r>
            <w:rPr>
              <w:rFonts w:ascii="Cambria Math" w:hAnsi="Cambria Math"/>
              <w:sz w:val="24"/>
              <w:szCs w:val="24"/>
            </w:rPr>
            <m:t>savings=</m:t>
          </m:r>
          <m:nary>
            <m:naryPr>
              <m:chr m:val="∑"/>
              <m:limLoc m:val="subSup"/>
              <m:supHide m:val="1"/>
              <m:ctrlPr>
                <w:rPr>
                  <w:rFonts w:ascii="Cambria Math" w:hAnsi="Cambria Math"/>
                  <w:i/>
                  <w:sz w:val="24"/>
                  <w:szCs w:val="24"/>
                </w:rPr>
              </m:ctrlPr>
            </m:naryPr>
            <m:sub>
              <m:r>
                <w:rPr>
                  <w:rFonts w:ascii="Cambria Math" w:hAnsi="Cambria Math"/>
                  <w:sz w:val="24"/>
                  <w:szCs w:val="24"/>
                </w:rPr>
                <m:t>t</m:t>
              </m:r>
            </m:sub>
            <m:sup/>
            <m:e>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S,t</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Ex,t</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ES,t</m:t>
                  </m:r>
                </m:sub>
              </m:sSub>
              <m:r>
                <w:rPr>
                  <w:rFonts w:ascii="Cambria Math" w:hAnsi="Cambria Math"/>
                  <w:sz w:val="24"/>
                  <w:szCs w:val="24"/>
                </w:rPr>
                <m:t>)</m:t>
              </m:r>
            </m:e>
          </m:nary>
        </m:oMath>
      </m:oMathPara>
    </w:p>
    <w:p w14:paraId="78A09089" w14:textId="77777777" w:rsidR="0075542E" w:rsidRPr="003D143A" w:rsidRDefault="0075542E" w:rsidP="0075542E">
      <w:pPr>
        <w:pStyle w:val="BodyText"/>
        <w:rPr>
          <w:rFonts w:eastAsiaTheme="minorEastAsia"/>
        </w:rPr>
      </w:pPr>
      <w:r w:rsidRPr="003D143A">
        <w:rPr>
          <w:rFonts w:eastAsiaTheme="minorEastAsia"/>
        </w:rPr>
        <w:t>where:</w:t>
      </w:r>
    </w:p>
    <w:p w14:paraId="42D5D4D3" w14:textId="47C127E7" w:rsidR="0075542E" w:rsidRPr="009F77A4" w:rsidRDefault="0075542E">
      <w:pPr>
        <w:pStyle w:val="ListNumber2"/>
        <w:numPr>
          <w:ilvl w:val="0"/>
          <w:numId w:val="75"/>
        </w:numPr>
        <w:jc w:val="left"/>
        <w:rPr>
          <w:rFonts w:cstheme="minorHAnsi"/>
        </w:rPr>
      </w:pPr>
      <m:oMath>
        <m:r>
          <w:rPr>
            <w:rFonts w:ascii="Cambria Math" w:hAnsi="Cambria Math" w:cstheme="minorHAnsi"/>
          </w:rPr>
          <m:t>t</m:t>
        </m:r>
      </m:oMath>
      <w:r w:rsidRPr="009F77A4">
        <w:rPr>
          <w:rFonts w:cstheme="minorHAnsi"/>
        </w:rPr>
        <w:t xml:space="preserve"> is an eligible time interval </w:t>
      </w:r>
      <w:r>
        <w:rPr>
          <w:rFonts w:cstheme="minorHAnsi"/>
        </w:rPr>
        <w:t>of that measurement boundary</w:t>
      </w:r>
      <w:r w:rsidR="00D777DD">
        <w:rPr>
          <w:rFonts w:cstheme="minorHAnsi"/>
        </w:rPr>
        <w:t>;</w:t>
      </w:r>
    </w:p>
    <w:p w14:paraId="205282A3" w14:textId="43D7FE99" w:rsidR="00FC6341" w:rsidRDefault="00000000" w:rsidP="00FC6341">
      <w:pPr>
        <w:pStyle w:val="ListNumber2"/>
        <w:numPr>
          <w:ilvl w:val="0"/>
          <w:numId w:val="75"/>
        </w:numPr>
        <w:jc w:val="left"/>
      </w:pPr>
      <m:oMath>
        <m:sSub>
          <m:sSubPr>
            <m:ctrlPr>
              <w:rPr>
                <w:rFonts w:ascii="Cambria Math" w:hAnsi="Cambria Math"/>
                <w:i/>
              </w:rPr>
            </m:ctrlPr>
          </m:sSubPr>
          <m:e>
            <m:r>
              <w:rPr>
                <w:rFonts w:ascii="Cambria Math" w:hAnsi="Cambria Math"/>
              </w:rPr>
              <m:t>E</m:t>
            </m:r>
          </m:e>
          <m:sub>
            <m:r>
              <w:rPr>
                <w:rFonts w:ascii="Cambria Math" w:hAnsi="Cambria Math"/>
              </w:rPr>
              <m:t>S,t</m:t>
            </m:r>
          </m:sub>
        </m:sSub>
      </m:oMath>
      <w:r w:rsidR="00FC6341" w:rsidRPr="00027054">
        <w:t xml:space="preserve"> is the energy </w:t>
      </w:r>
      <w:r w:rsidR="00FC6341">
        <w:t xml:space="preserve">generated by all renewable energy systems at the premises </w:t>
      </w:r>
      <w:r w:rsidR="00FC6341" w:rsidRPr="00027054">
        <w:t>for</w:t>
      </w:r>
      <w:r w:rsidR="00FC6341">
        <w:t xml:space="preserve"> time interval</w:t>
      </w:r>
      <w:r w:rsidR="00FC6341" w:rsidRPr="00027054">
        <w:t xml:space="preserve"> </w:t>
      </w:r>
      <m:oMath>
        <m:r>
          <w:rPr>
            <w:rFonts w:ascii="Cambria Math" w:hAnsi="Cambria Math" w:cstheme="minorHAnsi"/>
          </w:rPr>
          <m:t>t</m:t>
        </m:r>
      </m:oMath>
      <w:r w:rsidR="00FC6341" w:rsidRPr="00027054">
        <w:t xml:space="preserve"> </w:t>
      </w:r>
      <w:r w:rsidR="00FC6341">
        <w:t xml:space="preserve"> for that measurement boundary;</w:t>
      </w:r>
    </w:p>
    <w:p w14:paraId="186A74D8" w14:textId="2B0D3419" w:rsidR="00FC6341" w:rsidRDefault="00000000" w:rsidP="00FC6341">
      <w:pPr>
        <w:pStyle w:val="ListNumber2"/>
        <w:numPr>
          <w:ilvl w:val="0"/>
          <w:numId w:val="75"/>
        </w:numPr>
        <w:jc w:val="left"/>
      </w:pPr>
      <m:oMath>
        <m:sSub>
          <m:sSubPr>
            <m:ctrlPr>
              <w:rPr>
                <w:rFonts w:ascii="Cambria Math" w:hAnsi="Cambria Math"/>
                <w:i/>
              </w:rPr>
            </m:ctrlPr>
          </m:sSubPr>
          <m:e>
            <m:r>
              <w:rPr>
                <w:rFonts w:ascii="Cambria Math" w:hAnsi="Cambria Math"/>
              </w:rPr>
              <m:t>E</m:t>
            </m:r>
          </m:e>
          <m:sub>
            <m:r>
              <w:rPr>
                <w:rFonts w:ascii="Cambria Math" w:hAnsi="Cambria Math"/>
              </w:rPr>
              <m:t>Ex,t</m:t>
            </m:r>
          </m:sub>
        </m:sSub>
      </m:oMath>
      <w:r w:rsidR="00FC6341" w:rsidRPr="00027054">
        <w:t xml:space="preserve"> is the energy </w:t>
      </w:r>
      <w:r w:rsidR="00FC6341">
        <w:t xml:space="preserve">generated by the solar PV system that is exported from the measurement boundary </w:t>
      </w:r>
      <w:r w:rsidR="00FC6341" w:rsidRPr="00027054">
        <w:t>for</w:t>
      </w:r>
      <w:r w:rsidR="00FC6341">
        <w:t xml:space="preserve"> time interval </w:t>
      </w:r>
      <w:r w:rsidR="00FC6341" w:rsidRPr="00027054">
        <w:t xml:space="preserve"> </w:t>
      </w:r>
      <m:oMath>
        <m:r>
          <w:rPr>
            <w:rFonts w:ascii="Cambria Math" w:hAnsi="Cambria Math" w:cstheme="minorHAnsi"/>
          </w:rPr>
          <m:t>t</m:t>
        </m:r>
      </m:oMath>
      <w:r w:rsidR="00FC6341" w:rsidRPr="00027054">
        <w:t xml:space="preserve"> </w:t>
      </w:r>
      <w:r w:rsidR="00FC6341">
        <w:t>for that measurement boundary</w:t>
      </w:r>
      <w:r w:rsidR="00FC6341" w:rsidRPr="00027054">
        <w:t>.</w:t>
      </w:r>
      <w:r w:rsidR="00FC6341">
        <w:t xml:space="preserve"> This should not include energy used to charge batteries or other energy storage systems; and</w:t>
      </w:r>
    </w:p>
    <w:p w14:paraId="0BB50617" w14:textId="2F50F435" w:rsidR="00AB03F3" w:rsidRDefault="00000000">
      <w:pPr>
        <w:pStyle w:val="ListNumber2"/>
        <w:numPr>
          <w:ilvl w:val="0"/>
          <w:numId w:val="75"/>
        </w:numPr>
        <w:jc w:val="left"/>
      </w:pPr>
      <m:oMath>
        <m:sSub>
          <m:sSubPr>
            <m:ctrlPr>
              <w:rPr>
                <w:rFonts w:ascii="Cambria Math" w:hAnsi="Cambria Math"/>
                <w:i/>
              </w:rPr>
            </m:ctrlPr>
          </m:sSubPr>
          <m:e>
            <m:r>
              <w:rPr>
                <w:rFonts w:ascii="Cambria Math" w:hAnsi="Cambria Math"/>
              </w:rPr>
              <m:t>E</m:t>
            </m:r>
          </m:e>
          <m:sub>
            <m:r>
              <w:rPr>
                <w:rFonts w:ascii="Cambria Math" w:hAnsi="Cambria Math"/>
              </w:rPr>
              <m:t>ES,t</m:t>
            </m:r>
          </m:sub>
        </m:sSub>
      </m:oMath>
      <w:r w:rsidR="00AB03F3">
        <w:t xml:space="preserve"> means </w:t>
      </w:r>
      <w:r w:rsidR="00EE04D0">
        <w:t xml:space="preserve">the energy generated </w:t>
      </w:r>
      <w:r w:rsidR="00C5785D">
        <w:t xml:space="preserve">by any existing renewable energy systems at the premises for time interval t for that measurement boundary. </w:t>
      </w:r>
    </w:p>
    <w:p w14:paraId="6DFE8C4D" w14:textId="77777777" w:rsidR="0022797F" w:rsidRDefault="0022797F" w:rsidP="0022797F">
      <w:pPr>
        <w:pStyle w:val="ListNumber2"/>
        <w:jc w:val="left"/>
      </w:pPr>
    </w:p>
    <w:p w14:paraId="353E3060" w14:textId="77777777" w:rsidR="00BD2DEE" w:rsidRDefault="00BD2DEE" w:rsidP="00BD2DEE">
      <w:pPr>
        <w:pStyle w:val="Heading2"/>
      </w:pPr>
      <w:bookmarkStart w:id="162" w:name="_Toc200577547"/>
      <w:bookmarkStart w:id="163" w:name="_Toc232605543"/>
      <w:r>
        <w:t>Variables</w:t>
      </w:r>
      <w:bookmarkEnd w:id="162"/>
      <w:bookmarkEnd w:id="163"/>
    </w:p>
    <w:p w14:paraId="18F62F2A" w14:textId="77777777" w:rsidR="008D3C29" w:rsidRDefault="008D3C29" w:rsidP="008D3C29">
      <w:pPr>
        <w:pStyle w:val="Heading3"/>
      </w:pPr>
      <w:bookmarkStart w:id="164" w:name="_Toc200577548"/>
      <w:r>
        <w:t>Measured energy savings</w:t>
      </w:r>
      <w:bookmarkEnd w:id="164"/>
    </w:p>
    <w:p w14:paraId="0EC76E08" w14:textId="42D29602" w:rsidR="009A5F35" w:rsidRPr="009A5F35" w:rsidRDefault="009A5F35" w:rsidP="009A5F35">
      <w:pPr>
        <w:pStyle w:val="BodyText"/>
      </w:pPr>
      <w:r>
        <w:t xml:space="preserve">For this </w:t>
      </w:r>
      <w:r w:rsidR="00C84691">
        <w:t xml:space="preserve">specified measurement </w:t>
      </w:r>
      <w:r>
        <w:t>method the following requirements apply for the mea</w:t>
      </w:r>
      <w:r w:rsidR="00E81D31">
        <w:t xml:space="preserve">surement boundary: </w:t>
      </w:r>
    </w:p>
    <w:p w14:paraId="377C10AF" w14:textId="62061489" w:rsidR="008D3C29" w:rsidRDefault="00E81D31">
      <w:pPr>
        <w:pStyle w:val="BodyText"/>
        <w:numPr>
          <w:ilvl w:val="0"/>
          <w:numId w:val="76"/>
        </w:numPr>
      </w:pPr>
      <w:r>
        <w:t>T</w:t>
      </w:r>
      <w:r w:rsidR="008D3C29">
        <w:t xml:space="preserve">he measurement boundary must align with the boundary of the </w:t>
      </w:r>
      <w:r>
        <w:t>electricity</w:t>
      </w:r>
      <w:r w:rsidR="008D3C29">
        <w:t xml:space="preserve"> meter(s) for the premises</w:t>
      </w:r>
      <w:r w:rsidR="00D777DD">
        <w:t>;</w:t>
      </w:r>
    </w:p>
    <w:p w14:paraId="6F356B8F" w14:textId="07C1FEBF" w:rsidR="00A43F56" w:rsidRDefault="00A43F56">
      <w:pPr>
        <w:pStyle w:val="BodyText"/>
        <w:numPr>
          <w:ilvl w:val="0"/>
          <w:numId w:val="76"/>
        </w:numPr>
      </w:pPr>
      <w:r>
        <w:t xml:space="preserve">Where </w:t>
      </w:r>
      <w:r w:rsidR="00421279">
        <w:t>a</w:t>
      </w:r>
      <w:r>
        <w:t xml:space="preserve"> premises has more than one meter the </w:t>
      </w:r>
      <w:r w:rsidR="00421279">
        <w:t>data</w:t>
      </w:r>
      <w:r w:rsidR="006148C7">
        <w:t xml:space="preserve"> can be combined</w:t>
      </w:r>
      <w:r w:rsidR="00D777DD">
        <w:t>; and</w:t>
      </w:r>
    </w:p>
    <w:p w14:paraId="2D98ECC8" w14:textId="6B10016F" w:rsidR="008D3C29" w:rsidRPr="002566A2" w:rsidRDefault="008D3C29">
      <w:pPr>
        <w:pStyle w:val="BodyText"/>
        <w:numPr>
          <w:ilvl w:val="0"/>
          <w:numId w:val="76"/>
        </w:numPr>
      </w:pPr>
      <w:r>
        <w:t xml:space="preserve">All other requirements for the measurement boundary also apply. </w:t>
      </w:r>
    </w:p>
    <w:p w14:paraId="76845AB9" w14:textId="77777777" w:rsidR="00DD56EB" w:rsidRPr="002566A2" w:rsidRDefault="00DD56EB" w:rsidP="00DD56EB">
      <w:pPr>
        <w:pStyle w:val="BodyText"/>
      </w:pPr>
    </w:p>
    <w:p w14:paraId="7A89DB72" w14:textId="77777777" w:rsidR="003E3F1F" w:rsidRDefault="00BD2DEE" w:rsidP="00BD2DEE">
      <w:pPr>
        <w:pStyle w:val="Heading3"/>
      </w:pPr>
      <w:bookmarkStart w:id="165" w:name="_Toc200577549"/>
      <w:r>
        <w:t>Accuracy factor</w:t>
      </w:r>
      <w:bookmarkEnd w:id="165"/>
    </w:p>
    <w:p w14:paraId="7DE49B26" w14:textId="23D19CB3" w:rsidR="003E3F1F" w:rsidRDefault="001D6796" w:rsidP="003E3F1F">
      <w:pPr>
        <w:pStyle w:val="BodyText"/>
      </w:pPr>
      <w:r>
        <w:t xml:space="preserve">For the purpose of this </w:t>
      </w:r>
      <w:r w:rsidR="00C84691">
        <w:t xml:space="preserve">specified measurement </w:t>
      </w:r>
      <w:r>
        <w:t>method, t</w:t>
      </w:r>
      <w:r w:rsidR="003E3F1F">
        <w:t xml:space="preserve">he accuracy factor </w:t>
      </w:r>
      <w:r w:rsidR="00A111BC">
        <w:t>is 1</w:t>
      </w:r>
      <w:r w:rsidR="00060ABE">
        <w:t>.</w:t>
      </w:r>
    </w:p>
    <w:p w14:paraId="1D3CB569" w14:textId="77777777" w:rsidR="000C15F4" w:rsidRDefault="000C15F4" w:rsidP="000C15F4">
      <w:pPr>
        <w:pStyle w:val="BodyText"/>
      </w:pPr>
    </w:p>
    <w:p w14:paraId="47ABF4FE" w14:textId="77777777" w:rsidR="00BD2DEE" w:rsidRDefault="00BD2DEE" w:rsidP="00BD2DEE">
      <w:pPr>
        <w:pStyle w:val="Heading3"/>
      </w:pPr>
      <w:bookmarkStart w:id="166" w:name="_Toc200577550"/>
      <w:r>
        <w:t>Interactive energy savings</w:t>
      </w:r>
      <w:bookmarkEnd w:id="166"/>
    </w:p>
    <w:p w14:paraId="5A1C59BA" w14:textId="1E3B6134" w:rsidR="00CF236B" w:rsidRPr="00CF236B" w:rsidRDefault="00CF236B" w:rsidP="004B1D44">
      <w:pPr>
        <w:pStyle w:val="BodyText"/>
      </w:pPr>
      <w:r>
        <w:t>This</w:t>
      </w:r>
      <w:r w:rsidR="00C84691" w:rsidRPr="00C84691">
        <w:t xml:space="preserve"> </w:t>
      </w:r>
      <w:r w:rsidR="00C84691">
        <w:t>specified measurement</w:t>
      </w:r>
      <w:r>
        <w:t xml:space="preserve"> method does not allow for interactive energy savings to be included</w:t>
      </w:r>
      <w:r w:rsidR="00F954FE">
        <w:t>.</w:t>
      </w:r>
    </w:p>
    <w:p w14:paraId="24BE5681" w14:textId="77777777" w:rsidR="00BD2DEE" w:rsidRPr="00BD2DEE" w:rsidRDefault="00BD2DEE" w:rsidP="004B1D44">
      <w:pPr>
        <w:pStyle w:val="BodyText"/>
      </w:pPr>
    </w:p>
    <w:p w14:paraId="67032BA2" w14:textId="773D8A83" w:rsidR="004E7389" w:rsidRPr="004E7389" w:rsidRDefault="00877CA4" w:rsidP="004E7389">
      <w:pPr>
        <w:pStyle w:val="Heading3"/>
      </w:pPr>
      <w:bookmarkStart w:id="167" w:name="_Toc200577551"/>
      <w:r>
        <w:t>P</w:t>
      </w:r>
      <w:r w:rsidR="007B41BE">
        <w:t>ersistence factor for solar and batteries</w:t>
      </w:r>
      <w:bookmarkEnd w:id="167"/>
    </w:p>
    <w:p w14:paraId="235408D1" w14:textId="34945C7A" w:rsidR="00403FDC" w:rsidRPr="00724070" w:rsidRDefault="00403FDC" w:rsidP="00F2330D">
      <w:pPr>
        <w:pStyle w:val="CaptionImageorFigure"/>
      </w:pPr>
      <w:r w:rsidRPr="004002BF">
        <w:t xml:space="preserve">Table </w:t>
      </w:r>
      <w:r w:rsidR="005232C2">
        <w:t>7</w:t>
      </w:r>
      <w:r w:rsidRPr="004002BF">
        <w:t>.</w:t>
      </w:r>
      <w:r>
        <w:t>2</w:t>
      </w:r>
    </w:p>
    <w:tbl>
      <w:tblPr>
        <w:tblStyle w:val="TableGrid"/>
        <w:tblW w:w="0" w:type="auto"/>
        <w:tblLook w:val="04A0" w:firstRow="1" w:lastRow="0" w:firstColumn="1" w:lastColumn="0" w:noHBand="0" w:noVBand="1"/>
      </w:tblPr>
      <w:tblGrid>
        <w:gridCol w:w="7698"/>
        <w:gridCol w:w="1817"/>
      </w:tblGrid>
      <w:tr w:rsidR="007B41BE" w14:paraId="30001AAC" w14:textId="77777777" w:rsidTr="00D15C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201547"/>
          </w:tcPr>
          <w:p w14:paraId="4CA25EE6" w14:textId="77777777" w:rsidR="007B41BE" w:rsidRDefault="007B41BE">
            <w:pPr>
              <w:pStyle w:val="BodyText"/>
            </w:pPr>
            <w:r>
              <w:t>Technology</w:t>
            </w:r>
          </w:p>
        </w:tc>
        <w:tc>
          <w:tcPr>
            <w:tcW w:w="0" w:type="auto"/>
            <w:shd w:val="clear" w:color="auto" w:fill="201547"/>
          </w:tcPr>
          <w:p w14:paraId="0C1F8363" w14:textId="163D8009" w:rsidR="007B41BE" w:rsidRDefault="007B41BE" w:rsidP="001474D9">
            <w:pPr>
              <w:pStyle w:val="BodyText"/>
              <w:jc w:val="center"/>
              <w:cnfStyle w:val="100000000000" w:firstRow="1" w:lastRow="0" w:firstColumn="0" w:lastColumn="0" w:oddVBand="0" w:evenVBand="0" w:oddHBand="0" w:evenHBand="0" w:firstRowFirstColumn="0" w:firstRowLastColumn="0" w:lastRowFirstColumn="0" w:lastRowLastColumn="0"/>
            </w:pPr>
            <w:r>
              <w:t>Persistence factor</w:t>
            </w:r>
          </w:p>
        </w:tc>
      </w:tr>
      <w:tr w:rsidR="007B41BE" w14:paraId="6AB50631" w14:textId="77777777" w:rsidTr="00D15C27">
        <w:tc>
          <w:tcPr>
            <w:cnfStyle w:val="001000000000" w:firstRow="0" w:lastRow="0" w:firstColumn="1" w:lastColumn="0" w:oddVBand="0" w:evenVBand="0" w:oddHBand="0" w:evenHBand="0" w:firstRowFirstColumn="0" w:firstRowLastColumn="0" w:lastRowFirstColumn="0" w:lastRowLastColumn="0"/>
            <w:tcW w:w="0" w:type="auto"/>
          </w:tcPr>
          <w:p w14:paraId="0F0C0AAF" w14:textId="1A7300E6" w:rsidR="007B41BE" w:rsidRDefault="007B41BE" w:rsidP="00FC4D98">
            <w:pPr>
              <w:pStyle w:val="BodyText"/>
              <w:jc w:val="left"/>
            </w:pPr>
            <w:r>
              <w:t>Solar PV panels</w:t>
            </w:r>
            <w:r w:rsidR="00012AFB">
              <w:t xml:space="preserve"> and inverters</w:t>
            </w:r>
            <w:r>
              <w:t xml:space="preserve"> </w:t>
            </w:r>
            <w:r w:rsidR="00CC2B35">
              <w:t xml:space="preserve">with </w:t>
            </w:r>
            <w:r w:rsidR="00CC2B35" w:rsidRPr="00012AFB">
              <w:t>CEC accreditation</w:t>
            </w:r>
            <w:r w:rsidR="002212E2">
              <w:t xml:space="preserve"> at time of installation </w:t>
            </w:r>
          </w:p>
        </w:tc>
        <w:tc>
          <w:tcPr>
            <w:tcW w:w="0" w:type="auto"/>
          </w:tcPr>
          <w:p w14:paraId="5C029904" w14:textId="78F7A204" w:rsidR="007B41BE" w:rsidRDefault="00012AFB" w:rsidP="001474D9">
            <w:pPr>
              <w:pStyle w:val="BodyText"/>
              <w:jc w:val="center"/>
              <w:cnfStyle w:val="000000000000" w:firstRow="0" w:lastRow="0" w:firstColumn="0" w:lastColumn="0" w:oddVBand="0" w:evenVBand="0" w:oddHBand="0" w:evenHBand="0" w:firstRowFirstColumn="0" w:firstRowLastColumn="0" w:lastRowFirstColumn="0" w:lastRowLastColumn="0"/>
            </w:pPr>
            <w:r>
              <w:t>9</w:t>
            </w:r>
          </w:p>
        </w:tc>
      </w:tr>
      <w:tr w:rsidR="007B41BE" w14:paraId="57A93763" w14:textId="77777777" w:rsidTr="00D15C27">
        <w:tc>
          <w:tcPr>
            <w:cnfStyle w:val="001000000000" w:firstRow="0" w:lastRow="0" w:firstColumn="1" w:lastColumn="0" w:oddVBand="0" w:evenVBand="0" w:oddHBand="0" w:evenHBand="0" w:firstRowFirstColumn="0" w:firstRowLastColumn="0" w:lastRowFirstColumn="0" w:lastRowLastColumn="0"/>
            <w:tcW w:w="0" w:type="auto"/>
          </w:tcPr>
          <w:p w14:paraId="3DBB7A8A" w14:textId="2026D89B" w:rsidR="007B41BE" w:rsidRDefault="00D60325" w:rsidP="00FC4D98">
            <w:pPr>
              <w:pStyle w:val="BodyText"/>
              <w:jc w:val="left"/>
            </w:pPr>
            <w:r>
              <w:t xml:space="preserve">Solar PV panels, inverters and batteries with </w:t>
            </w:r>
            <w:r w:rsidRPr="00012AFB">
              <w:t>CEC accreditation</w:t>
            </w:r>
            <w:r w:rsidR="002212E2">
              <w:t xml:space="preserve"> at time of installation</w:t>
            </w:r>
          </w:p>
        </w:tc>
        <w:tc>
          <w:tcPr>
            <w:tcW w:w="0" w:type="auto"/>
          </w:tcPr>
          <w:p w14:paraId="5C58D9D2" w14:textId="17FDC28C" w:rsidR="007B41BE" w:rsidRDefault="00D60325" w:rsidP="001474D9">
            <w:pPr>
              <w:pStyle w:val="BodyText"/>
              <w:jc w:val="center"/>
              <w:cnfStyle w:val="000000000000" w:firstRow="0" w:lastRow="0" w:firstColumn="0" w:lastColumn="0" w:oddVBand="0" w:evenVBand="0" w:oddHBand="0" w:evenHBand="0" w:firstRowFirstColumn="0" w:firstRowLastColumn="0" w:lastRowFirstColumn="0" w:lastRowLastColumn="0"/>
            </w:pPr>
            <w:r>
              <w:t>8</w:t>
            </w:r>
          </w:p>
        </w:tc>
      </w:tr>
    </w:tbl>
    <w:p w14:paraId="75ED05C9" w14:textId="631E274F" w:rsidR="00605A83" w:rsidRDefault="00605A83" w:rsidP="00FC4D98">
      <w:pPr>
        <w:pStyle w:val="BodyText"/>
        <w:jc w:val="left"/>
      </w:pPr>
    </w:p>
    <w:p w14:paraId="7232FCE5" w14:textId="77777777" w:rsidR="0022797F" w:rsidRDefault="0022797F">
      <w:pPr>
        <w:rPr>
          <w:rFonts w:asciiTheme="majorHAnsi" w:eastAsiaTheme="majorEastAsia" w:hAnsiTheme="majorHAnsi" w:cstheme="majorBidi"/>
          <w:b/>
          <w:bCs/>
          <w:color w:val="201547" w:themeColor="text2"/>
          <w:spacing w:val="-2"/>
          <w:sz w:val="32"/>
          <w:szCs w:val="26"/>
        </w:rPr>
      </w:pPr>
      <w:r>
        <w:br w:type="page"/>
      </w:r>
    </w:p>
    <w:p w14:paraId="5FD49724" w14:textId="56F1E132" w:rsidR="00E650D1" w:rsidRDefault="00E650D1" w:rsidP="00E37634">
      <w:pPr>
        <w:pStyle w:val="Heading1"/>
        <w:ind w:left="426"/>
      </w:pPr>
      <w:bookmarkStart w:id="168" w:name="_Toc200577552"/>
      <w:bookmarkStart w:id="169" w:name="_Toc232605544"/>
      <w:bookmarkStart w:id="170" w:name="_Toc239413191"/>
      <w:r>
        <w:lastRenderedPageBreak/>
        <w:t>Electrification</w:t>
      </w:r>
      <w:r w:rsidR="00267733">
        <w:t xml:space="preserve"> </w:t>
      </w:r>
      <w:r w:rsidR="00F2330D">
        <w:t>direct measurement</w:t>
      </w:r>
      <w:bookmarkEnd w:id="168"/>
      <w:bookmarkEnd w:id="169"/>
      <w:bookmarkEnd w:id="170"/>
    </w:p>
    <w:p w14:paraId="29A33933" w14:textId="2B0E54B6" w:rsidR="00E650D1" w:rsidRDefault="00E650D1" w:rsidP="00E650D1">
      <w:pPr>
        <w:pStyle w:val="Heading2"/>
      </w:pPr>
      <w:bookmarkStart w:id="171" w:name="_Toc200577553"/>
      <w:bookmarkStart w:id="172" w:name="_Toc232605545"/>
      <w:r>
        <w:t>Information</w:t>
      </w:r>
      <w:r w:rsidR="000304AC">
        <w:t xml:space="preserve"> to be provided</w:t>
      </w:r>
      <w:bookmarkEnd w:id="171"/>
      <w:bookmarkEnd w:id="172"/>
    </w:p>
    <w:p w14:paraId="6819B032" w14:textId="77777777" w:rsidR="00BF1FF5" w:rsidRDefault="00BF1FF5" w:rsidP="00BF1FF5">
      <w:pPr>
        <w:pStyle w:val="Heading3"/>
      </w:pPr>
      <w:bookmarkStart w:id="173" w:name="_Toc200577554"/>
      <w:r>
        <w:t>Information to be provided in an application for scoping approval</w:t>
      </w:r>
      <w:bookmarkEnd w:id="173"/>
    </w:p>
    <w:p w14:paraId="5AD7A384" w14:textId="5A19AE80" w:rsidR="00825314" w:rsidRDefault="00825314">
      <w:pPr>
        <w:pStyle w:val="ListParagraph"/>
        <w:numPr>
          <w:ilvl w:val="0"/>
          <w:numId w:val="45"/>
        </w:numPr>
        <w:jc w:val="both"/>
      </w:pPr>
      <w:r>
        <w:t xml:space="preserve">A declaration that the </w:t>
      </w:r>
      <w:r w:rsidR="008C633C">
        <w:t>project</w:t>
      </w:r>
      <w:r>
        <w:t xml:space="preserve"> is eligible to use the electrification direct measurement </w:t>
      </w:r>
      <w:r w:rsidR="00C4074E" w:rsidRPr="00C4074E">
        <w:t>specified measurement method</w:t>
      </w:r>
      <w:r w:rsidR="006E57E8">
        <w:t xml:space="preserve">, </w:t>
      </w:r>
      <w:r>
        <w:t>and meets the following criteria</w:t>
      </w:r>
      <w:r w:rsidR="008C633C">
        <w:t>:</w:t>
      </w:r>
    </w:p>
    <w:p w14:paraId="7A6CD435" w14:textId="7E034E9C" w:rsidR="008C633C" w:rsidRDefault="7C6DEB37">
      <w:pPr>
        <w:pStyle w:val="BodyText"/>
        <w:numPr>
          <w:ilvl w:val="1"/>
          <w:numId w:val="45"/>
        </w:numPr>
      </w:pPr>
      <w:r>
        <w:t>i</w:t>
      </w:r>
      <w:r w:rsidR="008C633C">
        <w:t xml:space="preserve">nvolves the installation of </w:t>
      </w:r>
      <w:r w:rsidR="005700EE">
        <w:t>a</w:t>
      </w:r>
      <w:r w:rsidR="0069008C">
        <w:t>n</w:t>
      </w:r>
      <w:r w:rsidR="005700EE">
        <w:t xml:space="preserve"> electric heat pump to replace </w:t>
      </w:r>
      <w:r w:rsidR="0069008C">
        <w:t>gas-</w:t>
      </w:r>
      <w:r w:rsidR="008946ED">
        <w:t xml:space="preserve">fired </w:t>
      </w:r>
      <w:r w:rsidR="00D34D72">
        <w:t>equipment</w:t>
      </w:r>
      <w:r w:rsidR="00C430B7">
        <w:t>;</w:t>
      </w:r>
    </w:p>
    <w:p w14:paraId="4439B9AD" w14:textId="3A68D3B7" w:rsidR="00262D2B" w:rsidRDefault="3BDA82C6">
      <w:pPr>
        <w:pStyle w:val="BodyText"/>
        <w:numPr>
          <w:ilvl w:val="1"/>
          <w:numId w:val="45"/>
        </w:numPr>
      </w:pPr>
      <w:r>
        <w:t>i</w:t>
      </w:r>
      <w:r w:rsidR="00C430B7">
        <w:t xml:space="preserve">ncludes </w:t>
      </w:r>
      <w:r w:rsidR="00D34D72">
        <w:t xml:space="preserve">data sources </w:t>
      </w:r>
      <w:r w:rsidR="00262D2B">
        <w:t xml:space="preserve">suitable for the </w:t>
      </w:r>
      <w:r w:rsidR="00CE3AA0">
        <w:t xml:space="preserve">electrification </w:t>
      </w:r>
      <w:r w:rsidR="00F2330D">
        <w:t xml:space="preserve">direct measurement </w:t>
      </w:r>
      <w:r w:rsidR="00CE3AA0">
        <w:t xml:space="preserve">method </w:t>
      </w:r>
      <w:r w:rsidR="00986CD7">
        <w:t xml:space="preserve">that </w:t>
      </w:r>
      <w:r w:rsidR="00CE3AA0">
        <w:t>will be used</w:t>
      </w:r>
      <w:r w:rsidR="00D34D72">
        <w:t xml:space="preserve">, including the </w:t>
      </w:r>
      <w:r w:rsidR="00135CDB">
        <w:t>following</w:t>
      </w:r>
      <w:r w:rsidR="00262D2B">
        <w:t xml:space="preserve">: </w:t>
      </w:r>
    </w:p>
    <w:p w14:paraId="2AE7BB32" w14:textId="4D31D77F" w:rsidR="00135CDB" w:rsidRDefault="00C430B7">
      <w:pPr>
        <w:pStyle w:val="BodyText"/>
        <w:numPr>
          <w:ilvl w:val="2"/>
          <w:numId w:val="45"/>
        </w:numPr>
      </w:pPr>
      <w:r>
        <w:t>m</w:t>
      </w:r>
      <w:r w:rsidR="006256B6">
        <w:t xml:space="preserve">easurement of the </w:t>
      </w:r>
      <w:r w:rsidR="00F15303">
        <w:t>thermal energy</w:t>
      </w:r>
      <w:r w:rsidR="005C047B">
        <w:t xml:space="preserve"> </w:t>
      </w:r>
      <w:r w:rsidR="00033EFD">
        <w:t xml:space="preserve">that </w:t>
      </w:r>
      <w:r w:rsidR="00033EFD" w:rsidRPr="00C64FBD">
        <w:t xml:space="preserve">may include </w:t>
      </w:r>
      <w:r w:rsidR="006256B6" w:rsidRPr="00C64FBD">
        <w:t>volume and temperature</w:t>
      </w:r>
      <w:r w:rsidR="00A52757" w:rsidRPr="00C64FBD">
        <w:t xml:space="preserve"> for the </w:t>
      </w:r>
      <w:r w:rsidR="00E85B14" w:rsidRPr="00C64FBD">
        <w:t xml:space="preserve">installed equipment, </w:t>
      </w:r>
      <w:r w:rsidR="00A52757" w:rsidRPr="00C64FBD">
        <w:t>and pressure for pressurised systems</w:t>
      </w:r>
      <w:r>
        <w:t>;</w:t>
      </w:r>
      <w:r w:rsidR="00986CD7">
        <w:t xml:space="preserve"> and</w:t>
      </w:r>
    </w:p>
    <w:p w14:paraId="3A6D8AFC" w14:textId="558D273F" w:rsidR="00D34D72" w:rsidRDefault="00C430B7">
      <w:pPr>
        <w:pStyle w:val="BodyText"/>
        <w:numPr>
          <w:ilvl w:val="2"/>
          <w:numId w:val="45"/>
        </w:numPr>
      </w:pPr>
      <w:r>
        <w:t>e</w:t>
      </w:r>
      <w:r w:rsidR="00D34D72">
        <w:t>lectricity data collected from a meter at the premises; and</w:t>
      </w:r>
    </w:p>
    <w:p w14:paraId="79887BF5" w14:textId="17CC6D43" w:rsidR="00262D2B" w:rsidRPr="00B94F65" w:rsidRDefault="00262D2B">
      <w:pPr>
        <w:pStyle w:val="BodyText"/>
        <w:numPr>
          <w:ilvl w:val="0"/>
          <w:numId w:val="45"/>
        </w:numPr>
      </w:pPr>
      <w:r w:rsidRPr="00B94F65">
        <w:t xml:space="preserve">Evidence that calculations or analysis have been </w:t>
      </w:r>
      <w:r w:rsidR="00FD135D" w:rsidRPr="00B94F65">
        <w:t>perform</w:t>
      </w:r>
      <w:r w:rsidR="00FD135D">
        <w:t>ed</w:t>
      </w:r>
      <w:r w:rsidR="00FD135D" w:rsidRPr="00B94F65">
        <w:t xml:space="preserve"> </w:t>
      </w:r>
      <w:r w:rsidRPr="00B94F65">
        <w:t xml:space="preserve">to confirm that the project is suitable to use this </w:t>
      </w:r>
      <w:r w:rsidR="00C84691">
        <w:t xml:space="preserve">specified measurement </w:t>
      </w:r>
      <w:r w:rsidRPr="00B94F65">
        <w:t xml:space="preserve">method, including that </w:t>
      </w:r>
      <w:r w:rsidR="00F56DAF">
        <w:t>the activity is</w:t>
      </w:r>
      <w:r w:rsidRPr="00B94F65">
        <w:t xml:space="preserve"> estimated to save </w:t>
      </w:r>
      <w:r w:rsidRPr="00F83712">
        <w:t>more than 10%</w:t>
      </w:r>
      <w:r w:rsidRPr="00B94F65">
        <w:t xml:space="preserve"> of the metered </w:t>
      </w:r>
      <w:r w:rsidR="00EE1DE5" w:rsidRPr="00B94F65">
        <w:t>gas</w:t>
      </w:r>
      <w:r w:rsidRPr="00B94F65">
        <w:t xml:space="preserve"> of the </w:t>
      </w:r>
      <w:r w:rsidR="005D320D">
        <w:t>gas f</w:t>
      </w:r>
      <w:r w:rsidR="00381A66">
        <w:t>ir</w:t>
      </w:r>
      <w:r w:rsidR="005D320D">
        <w:t>ed equipment</w:t>
      </w:r>
      <w:r w:rsidRPr="00B94F65">
        <w:t>.</w:t>
      </w:r>
    </w:p>
    <w:p w14:paraId="2DD22A2A" w14:textId="77777777" w:rsidR="0022797F" w:rsidRPr="00B94F65" w:rsidRDefault="0022797F" w:rsidP="0022797F">
      <w:pPr>
        <w:pStyle w:val="BodyText"/>
      </w:pPr>
    </w:p>
    <w:p w14:paraId="12CDAFEA" w14:textId="5BFF40A0" w:rsidR="00E650D1" w:rsidRDefault="00E650D1" w:rsidP="00E650D1">
      <w:pPr>
        <w:pStyle w:val="Heading2"/>
      </w:pPr>
      <w:bookmarkStart w:id="174" w:name="_Toc200577555"/>
      <w:bookmarkStart w:id="175" w:name="_Toc232605546"/>
      <w:r>
        <w:t>Methods</w:t>
      </w:r>
      <w:bookmarkEnd w:id="174"/>
      <w:bookmarkEnd w:id="175"/>
    </w:p>
    <w:p w14:paraId="1ED8B689" w14:textId="77777777" w:rsidR="00882E0C" w:rsidRPr="00423621" w:rsidRDefault="00882E0C" w:rsidP="00882E0C">
      <w:pPr>
        <w:pStyle w:val="Heading3"/>
      </w:pPr>
      <w:bookmarkStart w:id="176" w:name="_Toc200577556"/>
      <w:r w:rsidRPr="00423621">
        <w:t>Calculation of carbon dioxide equivalents of greenhouse gases</w:t>
      </w:r>
      <w:bookmarkEnd w:id="176"/>
    </w:p>
    <w:p w14:paraId="7ADF61DC" w14:textId="11F82DB1" w:rsidR="00882E0C" w:rsidRPr="009F77A4" w:rsidRDefault="00882E0C" w:rsidP="00F20803">
      <w:pPr>
        <w:pStyle w:val="ListNumber"/>
        <w:numPr>
          <w:ilvl w:val="0"/>
          <w:numId w:val="0"/>
        </w:numPr>
        <w:jc w:val="left"/>
      </w:pPr>
      <w:r w:rsidRPr="00B94F65">
        <w:t>The carbon dioxide equivalent (in tonnes) of greenhouse gases to be reduced by undertaking a project is calculated using Equation 1, where variables are determined in accordance with section</w:t>
      </w:r>
      <w:r w:rsidR="00BD53B0" w:rsidRPr="00B94F65">
        <w:t xml:space="preserve"> 2, this section</w:t>
      </w:r>
      <w:r w:rsidRPr="00B94F65">
        <w:t xml:space="preserve"> and </w:t>
      </w:r>
      <w:r w:rsidRPr="00E37634">
        <w:rPr>
          <w:i/>
        </w:rPr>
        <w:t>Accounting For COVID-19 Under VEU (2021)</w:t>
      </w:r>
      <w:r w:rsidRPr="00B94F65">
        <w:t xml:space="preserve"> where applicable.</w:t>
      </w:r>
    </w:p>
    <w:p w14:paraId="66BA28AF" w14:textId="77777777" w:rsidR="00882E0C" w:rsidRDefault="00882E0C" w:rsidP="00882E0C">
      <w:pPr>
        <w:pStyle w:val="BodyText"/>
      </w:pPr>
    </w:p>
    <w:p w14:paraId="0EB7B3D8" w14:textId="6D595F17" w:rsidR="00882E0C" w:rsidRDefault="00882E0C" w:rsidP="00882E0C">
      <w:pPr>
        <w:pStyle w:val="Heading3"/>
      </w:pPr>
      <w:bookmarkStart w:id="177" w:name="_Toc200577557"/>
      <w:r>
        <w:t>Carbon dioxide equivalent to be reduced</w:t>
      </w:r>
      <w:bookmarkEnd w:id="177"/>
    </w:p>
    <w:p w14:paraId="7C313C54" w14:textId="3AAC9368" w:rsidR="00D34D72" w:rsidRPr="00D34D72" w:rsidRDefault="00D34D72" w:rsidP="00216C71">
      <w:pPr>
        <w:pStyle w:val="CaptionImageorFigure"/>
      </w:pPr>
      <w:r>
        <w:t xml:space="preserve">Equation </w:t>
      </w:r>
      <w:r w:rsidR="005232C2">
        <w:t>8</w:t>
      </w:r>
      <w:r w:rsidR="00216C71">
        <w:t>.1</w:t>
      </w:r>
    </w:p>
    <w:p w14:paraId="387B1905" w14:textId="1E4B3E1B" w:rsidR="00882E0C" w:rsidRPr="00C56BB8" w:rsidRDefault="008C5D10" w:rsidP="00882E0C">
      <w:pPr>
        <w:pStyle w:val="BodyText"/>
        <w:ind w:left="567"/>
        <w:rPr>
          <w:rFonts w:cs="Arial"/>
          <w:sz w:val="24"/>
        </w:rPr>
      </w:pPr>
      <m:oMathPara>
        <m:oMathParaPr>
          <m:jc m:val="left"/>
        </m:oMathParaPr>
        <m:oMath>
          <m:r>
            <w:rPr>
              <w:rFonts w:ascii="Cambria Math" w:hAnsi="Cambria Math"/>
              <w:sz w:val="24"/>
            </w:rPr>
            <m:t xml:space="preserve">carbon dioxide equivalent= </m:t>
          </m:r>
          <m:nary>
            <m:naryPr>
              <m:chr m:val="∑"/>
              <m:limLoc m:val="subSup"/>
              <m:supHide m:val="1"/>
              <m:ctrlPr>
                <w:rPr>
                  <w:rFonts w:ascii="Cambria Math" w:hAnsi="Cambria Math" w:cstheme="minorHAnsi"/>
                  <w:i/>
                  <w:sz w:val="24"/>
                  <w:szCs w:val="24"/>
                </w:rPr>
              </m:ctrlPr>
            </m:naryPr>
            <m:sub>
              <m:r>
                <w:rPr>
                  <w:rFonts w:ascii="Cambria Math" w:hAnsi="Cambria Math" w:cstheme="minorHAnsi"/>
                  <w:sz w:val="24"/>
                  <w:szCs w:val="24"/>
                </w:rPr>
                <m:t>j</m:t>
              </m:r>
            </m:sub>
            <m:sup/>
            <m:e>
              <m:r>
                <w:rPr>
                  <w:rFonts w:ascii="Cambria Math" w:hAnsi="Cambria Math" w:cstheme="minorHAnsi"/>
                  <w:sz w:val="24"/>
                  <w:szCs w:val="24"/>
                </w:rPr>
                <m:t>(</m:t>
              </m:r>
              <m:r>
                <w:rPr>
                  <w:rFonts w:ascii="Cambria Math" w:hAnsi="Cambria Math"/>
                  <w:sz w:val="24"/>
                </w:rPr>
                <m:t xml:space="preserve">  </m:t>
              </m:r>
              <m:sSub>
                <m:sSubPr>
                  <m:ctrlPr>
                    <w:rPr>
                      <w:rFonts w:ascii="Cambria Math" w:hAnsi="Cambria Math" w:cstheme="minorHAnsi"/>
                      <w:i/>
                      <w:sz w:val="24"/>
                      <w:szCs w:val="24"/>
                    </w:rPr>
                  </m:ctrlPr>
                </m:sSubPr>
                <m:e>
                  <m:r>
                    <w:rPr>
                      <w:rFonts w:ascii="Cambria Math" w:hAnsi="Cambria Math"/>
                      <w:sz w:val="24"/>
                    </w:rPr>
                    <m:t>avoided emissions</m:t>
                  </m:r>
                </m:e>
                <m:sub>
                  <m:r>
                    <w:rPr>
                      <w:rFonts w:ascii="Cambria Math" w:hAnsi="Cambria Math" w:cstheme="minorHAnsi"/>
                      <w:sz w:val="24"/>
                      <w:szCs w:val="24"/>
                    </w:rPr>
                    <m:t>j</m:t>
                  </m:r>
                </m:sub>
              </m:sSub>
              <m:r>
                <w:rPr>
                  <w:rFonts w:ascii="Cambria Math" w:hAnsi="Cambria Math"/>
                  <w:sz w:val="24"/>
                </w:rPr>
                <m:t xml:space="preserve"> ×</m:t>
              </m:r>
              <m:sSub>
                <m:sSubPr>
                  <m:ctrlPr>
                    <w:rPr>
                      <w:rFonts w:ascii="Cambria Math" w:hAnsi="Cambria Math"/>
                      <w:i/>
                      <w:sz w:val="24"/>
                    </w:rPr>
                  </m:ctrlPr>
                </m:sSubPr>
                <m:e>
                  <m:r>
                    <w:rPr>
                      <w:rFonts w:ascii="Cambria Math" w:hAnsi="Cambria Math"/>
                      <w:sz w:val="24"/>
                    </w:rPr>
                    <m:t>PF</m:t>
                  </m:r>
                </m:e>
                <m:sub>
                  <m:r>
                    <w:rPr>
                      <w:rFonts w:ascii="Cambria Math" w:hAnsi="Cambria Math"/>
                      <w:sz w:val="24"/>
                    </w:rPr>
                    <m:t>j</m:t>
                  </m:r>
                </m:sub>
              </m:sSub>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AF</m:t>
                  </m:r>
                </m:e>
                <m:sub>
                  <m:r>
                    <w:rPr>
                      <w:rFonts w:ascii="Cambria Math" w:hAnsi="Cambria Math" w:cstheme="minorHAnsi"/>
                      <w:sz w:val="24"/>
                      <w:szCs w:val="24"/>
                    </w:rPr>
                    <m:t>j</m:t>
                  </m:r>
                </m:sub>
              </m:sSub>
              <m:r>
                <w:rPr>
                  <w:rFonts w:ascii="Cambria Math" w:hAnsi="Cambria Math" w:cstheme="minorHAnsi"/>
                  <w:sz w:val="24"/>
                  <w:szCs w:val="24"/>
                </w:rPr>
                <m:t>)</m:t>
              </m:r>
            </m:e>
          </m:nary>
          <m:r>
            <m:rPr>
              <m:sty m:val="p"/>
            </m:rPr>
            <w:rPr>
              <w:rFonts w:ascii="Cambria Math" w:hAnsi="Cambria Math"/>
              <w:sz w:val="24"/>
            </w:rPr>
            <m:t>-counted savings</m:t>
          </m:r>
          <m:r>
            <m:rPr>
              <m:sty m:val="p"/>
            </m:rPr>
            <w:rPr>
              <w:rFonts w:ascii="Cambria Math" w:hAnsi="Cambria Math"/>
              <w:sz w:val="24"/>
            </w:rPr>
            <w:br/>
          </m:r>
        </m:oMath>
        <m:oMath>
          <m:r>
            <w:rPr>
              <w:rFonts w:ascii="Cambria Math" w:hAnsi="Cambria Math"/>
              <w:sz w:val="24"/>
            </w:rPr>
            <m:t xml:space="preserve">   </m:t>
          </m:r>
        </m:oMath>
      </m:oMathPara>
    </w:p>
    <w:p w14:paraId="657BAD74" w14:textId="77777777" w:rsidR="00882E0C" w:rsidRDefault="00882E0C" w:rsidP="00882E0C">
      <w:pPr>
        <w:pStyle w:val="BodyText"/>
      </w:pPr>
      <w:r>
        <w:t>where:</w:t>
      </w:r>
    </w:p>
    <w:p w14:paraId="54BA36C5" w14:textId="6C55D1EA" w:rsidR="00882E0C" w:rsidRDefault="00882E0C">
      <w:pPr>
        <w:pStyle w:val="ListNumber2"/>
        <w:numPr>
          <w:ilvl w:val="0"/>
          <w:numId w:val="77"/>
        </w:numPr>
        <w:jc w:val="left"/>
      </w:pPr>
      <m:oMath>
        <m:r>
          <w:rPr>
            <w:rFonts w:ascii="Cambria Math" w:hAnsi="Cambria Math"/>
          </w:rPr>
          <m:t>j</m:t>
        </m:r>
      </m:oMath>
      <w:r>
        <w:t xml:space="preserve"> is the measurement boundary number in the case that there are multiple measurement boundaries under one project</w:t>
      </w:r>
      <w:r w:rsidR="00D777DD">
        <w:t>;</w:t>
      </w:r>
    </w:p>
    <w:p w14:paraId="2FE5D53F" w14:textId="511C6469" w:rsidR="001851FC" w:rsidRDefault="001851FC">
      <w:pPr>
        <w:pStyle w:val="ListNumber2"/>
        <w:numPr>
          <w:ilvl w:val="0"/>
          <w:numId w:val="77"/>
        </w:numPr>
        <w:jc w:val="left"/>
      </w:pPr>
      <m:oMath>
        <m:r>
          <w:rPr>
            <w:rFonts w:ascii="Cambria Math" w:hAnsi="Cambria Math"/>
          </w:rPr>
          <m:t>avoided emissions</m:t>
        </m:r>
      </m:oMath>
      <w:r>
        <w:t xml:space="preserve"> is </w:t>
      </w:r>
      <w:r w:rsidR="00A1267E">
        <w:t>calculated as per equa</w:t>
      </w:r>
      <w:r w:rsidR="00A1267E" w:rsidRPr="004857BB">
        <w:t xml:space="preserve">tion </w:t>
      </w:r>
      <w:r w:rsidR="005232C2">
        <w:t>8</w:t>
      </w:r>
      <w:r w:rsidR="00A1267E" w:rsidRPr="004857BB">
        <w:t>.2</w:t>
      </w:r>
      <w:r w:rsidR="00D777DD">
        <w:t>;</w:t>
      </w:r>
    </w:p>
    <w:p w14:paraId="0D095AFD" w14:textId="4944F898" w:rsidR="00C80A7E" w:rsidRPr="00D10569" w:rsidRDefault="00D10569">
      <w:pPr>
        <w:pStyle w:val="ListNumber2"/>
        <w:numPr>
          <w:ilvl w:val="0"/>
          <w:numId w:val="77"/>
        </w:numPr>
        <w:jc w:val="left"/>
      </w:pPr>
      <w:r>
        <w:rPr>
          <w:i/>
        </w:rPr>
        <w:t>PF</w:t>
      </w:r>
      <w:r w:rsidR="00C80A7E">
        <w:rPr>
          <w:iCs/>
        </w:rPr>
        <w:t xml:space="preserve"> </w:t>
      </w:r>
      <w:r>
        <w:rPr>
          <w:iCs/>
        </w:rPr>
        <w:t xml:space="preserve">is the persistence factor </w:t>
      </w:r>
      <w:r w:rsidR="00C80A7E">
        <w:rPr>
          <w:iCs/>
        </w:rPr>
        <w:t xml:space="preserve">as provided for in </w:t>
      </w:r>
      <w:r w:rsidR="0080258E">
        <w:rPr>
          <w:iCs/>
        </w:rPr>
        <w:t>T</w:t>
      </w:r>
      <w:r w:rsidR="0036442B">
        <w:rPr>
          <w:iCs/>
        </w:rPr>
        <w:t xml:space="preserve">able </w:t>
      </w:r>
      <w:r w:rsidR="005232C2">
        <w:rPr>
          <w:iCs/>
        </w:rPr>
        <w:t>8</w:t>
      </w:r>
      <w:r w:rsidR="006D3E64">
        <w:rPr>
          <w:iCs/>
        </w:rPr>
        <w:t>.</w:t>
      </w:r>
      <w:r w:rsidR="00AD5958">
        <w:rPr>
          <w:iCs/>
        </w:rPr>
        <w:t>2</w:t>
      </w:r>
      <w:r w:rsidR="00D777DD">
        <w:rPr>
          <w:iCs/>
        </w:rPr>
        <w:t>;</w:t>
      </w:r>
    </w:p>
    <w:p w14:paraId="5F0A61E4" w14:textId="7EB56580" w:rsidR="00D10569" w:rsidRDefault="00D10569">
      <w:pPr>
        <w:pStyle w:val="ListNumber2"/>
        <w:numPr>
          <w:ilvl w:val="0"/>
          <w:numId w:val="77"/>
        </w:numPr>
        <w:jc w:val="left"/>
      </w:pPr>
      <m:oMath>
        <m:r>
          <m:rPr>
            <m:sty m:val="p"/>
          </m:rPr>
          <w:rPr>
            <w:rFonts w:ascii="Cambria Math" w:hAnsi="Cambria Math"/>
          </w:rPr>
          <m:t>AF</m:t>
        </m:r>
      </m:oMath>
      <w:r w:rsidRPr="005174F9">
        <w:t xml:space="preserve"> is the accuracy factor</w:t>
      </w:r>
      <w:r>
        <w:t xml:space="preserve"> for the measurement boundary</w:t>
      </w:r>
      <w:r w:rsidR="00D777DD">
        <w:t>; and</w:t>
      </w:r>
    </w:p>
    <w:p w14:paraId="3F6E73F0" w14:textId="1003DB82" w:rsidR="00FC0555" w:rsidRDefault="00FC0555">
      <w:pPr>
        <w:pStyle w:val="ListNumber2"/>
        <w:numPr>
          <w:ilvl w:val="0"/>
          <w:numId w:val="77"/>
        </w:numPr>
        <w:jc w:val="left"/>
      </w:pPr>
      <w:r w:rsidRPr="00F83712">
        <w:rPr>
          <w:i/>
          <w:iCs/>
        </w:rPr>
        <w:t>counted savings</w:t>
      </w:r>
      <w:r>
        <w:t xml:space="preserve"> is </w:t>
      </w:r>
      <w:r w:rsidR="00A21848" w:rsidRPr="00A21848">
        <w:t>a variable determined in accordance with section</w:t>
      </w:r>
      <w:r w:rsidR="00A21848">
        <w:t xml:space="preserve"> 2</w:t>
      </w:r>
      <w:r w:rsidR="00D777DD">
        <w:t>.</w:t>
      </w:r>
    </w:p>
    <w:p w14:paraId="6CF10A0A" w14:textId="77777777" w:rsidR="0022797F" w:rsidRDefault="0022797F" w:rsidP="0022797F">
      <w:pPr>
        <w:pStyle w:val="ListNumber2"/>
        <w:ind w:left="0" w:firstLine="0"/>
        <w:jc w:val="left"/>
      </w:pPr>
    </w:p>
    <w:p w14:paraId="340ECB3D" w14:textId="5F6C9FC3" w:rsidR="0099571B" w:rsidRDefault="00AC2345" w:rsidP="00882E0C">
      <w:pPr>
        <w:pStyle w:val="Heading3"/>
      </w:pPr>
      <w:bookmarkStart w:id="178" w:name="_Toc200577558"/>
      <w:r>
        <w:t>Direct measurement savings</w:t>
      </w:r>
      <w:bookmarkEnd w:id="178"/>
      <w:r>
        <w:t xml:space="preserve"> </w:t>
      </w:r>
    </w:p>
    <w:p w14:paraId="4106B906" w14:textId="7601C0FF" w:rsidR="00AC2345" w:rsidRDefault="00AC2345" w:rsidP="00AC2345">
      <w:pPr>
        <w:pStyle w:val="CaptionImageorFigure"/>
      </w:pPr>
      <w:r>
        <w:rPr>
          <w:rFonts w:eastAsiaTheme="majorEastAsia"/>
        </w:rPr>
        <w:t xml:space="preserve">Equation </w:t>
      </w:r>
      <w:r w:rsidR="005232C2">
        <w:rPr>
          <w:rFonts w:eastAsiaTheme="majorEastAsia"/>
        </w:rPr>
        <w:t>8</w:t>
      </w:r>
      <w:r>
        <w:rPr>
          <w:rFonts w:eastAsiaTheme="majorEastAsia"/>
        </w:rPr>
        <w:t>.</w:t>
      </w:r>
      <w:r>
        <w:t>2</w:t>
      </w:r>
    </w:p>
    <w:p w14:paraId="23D648CE" w14:textId="32900CD5" w:rsidR="00111A2C" w:rsidRPr="003D143A" w:rsidRDefault="00AB7495" w:rsidP="00111A2C">
      <w:pPr>
        <w:spacing w:line="360" w:lineRule="auto"/>
        <w:ind w:left="360"/>
        <w:rPr>
          <w:rFonts w:ascii="Times New Roman" w:hAnsi="Times New Roman"/>
          <w:sz w:val="24"/>
          <w:szCs w:val="24"/>
        </w:rPr>
      </w:pPr>
      <m:oMathPara>
        <m:oMath>
          <m:r>
            <w:rPr>
              <w:rFonts w:ascii="Cambria Math" w:hAnsi="Cambria Math"/>
              <w:sz w:val="24"/>
              <w:szCs w:val="24"/>
            </w:rPr>
            <m:t>Avoided emissions=</m:t>
          </m:r>
          <m:nary>
            <m:naryPr>
              <m:chr m:val="∑"/>
              <m:limLoc m:val="subSup"/>
              <m:supHide m:val="1"/>
              <m:ctrlPr>
                <w:rPr>
                  <w:rFonts w:ascii="Cambria Math" w:hAnsi="Cambria Math"/>
                  <w:i/>
                  <w:sz w:val="24"/>
                  <w:szCs w:val="24"/>
                </w:rPr>
              </m:ctrlPr>
            </m:naryPr>
            <m:sub>
              <m:r>
                <w:rPr>
                  <w:rFonts w:ascii="Cambria Math" w:hAnsi="Cambria Math"/>
                  <w:sz w:val="24"/>
                  <w:szCs w:val="24"/>
                </w:rPr>
                <m:t>t</m:t>
              </m:r>
            </m:sub>
            <m:sup/>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B,t</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B</m:t>
                      </m:r>
                    </m:den>
                  </m:f>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EF</m:t>
                      </m:r>
                    </m:e>
                    <m:sub>
                      <m:r>
                        <w:rPr>
                          <w:rFonts w:ascii="Cambria Math" w:hAnsi="Cambria Math"/>
                          <w:sz w:val="24"/>
                          <w:szCs w:val="24"/>
                        </w:rPr>
                        <m:t>gas</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meas,t</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EF</m:t>
                      </m:r>
                    </m:e>
                    <m:sub>
                      <m:r>
                        <w:rPr>
                          <w:rFonts w:ascii="Cambria Math" w:hAnsi="Cambria Math"/>
                          <w:sz w:val="24"/>
                          <w:szCs w:val="24"/>
                        </w:rPr>
                        <m:t>elec</m:t>
                      </m:r>
                    </m:sub>
                  </m:sSub>
                </m:e>
              </m:d>
            </m:e>
          </m:nary>
        </m:oMath>
      </m:oMathPara>
    </w:p>
    <w:p w14:paraId="6EB3C327" w14:textId="77777777" w:rsidR="00111A2C" w:rsidRPr="003D143A" w:rsidRDefault="00111A2C" w:rsidP="00111A2C">
      <w:pPr>
        <w:pStyle w:val="BodyText"/>
      </w:pPr>
      <w:r w:rsidRPr="003D143A">
        <w:t>where:</w:t>
      </w:r>
    </w:p>
    <w:p w14:paraId="0152917A" w14:textId="10EECB33" w:rsidR="00111A2C" w:rsidRDefault="00111A2C">
      <w:pPr>
        <w:pStyle w:val="ListNumber2"/>
        <w:numPr>
          <w:ilvl w:val="0"/>
          <w:numId w:val="78"/>
        </w:numPr>
        <w:jc w:val="left"/>
      </w:pPr>
      <m:oMath>
        <m:r>
          <w:rPr>
            <w:rFonts w:ascii="Cambria Math" w:eastAsiaTheme="minorEastAsia" w:hAnsi="Cambria Math"/>
          </w:rPr>
          <w:lastRenderedPageBreak/>
          <m:t>t</m:t>
        </m:r>
      </m:oMath>
      <w:r w:rsidRPr="0008292E">
        <w:t xml:space="preserve"> is an eligible time interval in the </w:t>
      </w:r>
      <w:r w:rsidR="00A5434D">
        <w:t>operating</w:t>
      </w:r>
      <w:r w:rsidRPr="0008292E">
        <w:t xml:space="preserve"> period</w:t>
      </w:r>
      <w:r>
        <w:t xml:space="preserve"> of that measurement boundary</w:t>
      </w:r>
      <w:r w:rsidR="00D777DD">
        <w:t>;</w:t>
      </w:r>
    </w:p>
    <w:p w14:paraId="57A3B4C9" w14:textId="2732C560" w:rsidR="00111A2C" w:rsidRPr="0053462C" w:rsidRDefault="00000000">
      <w:pPr>
        <w:pStyle w:val="ListNumber2"/>
        <w:numPr>
          <w:ilvl w:val="0"/>
          <w:numId w:val="78"/>
        </w:numPr>
        <w:jc w:val="left"/>
      </w:pPr>
      <m:oMath>
        <m:sSub>
          <m:sSubPr>
            <m:ctrlPr>
              <w:rPr>
                <w:rFonts w:ascii="Cambria Math" w:hAnsi="Cambria Math"/>
                <w:i/>
              </w:rPr>
            </m:ctrlPr>
          </m:sSubPr>
          <m:e>
            <m:r>
              <w:rPr>
                <w:rFonts w:ascii="Cambria Math" w:hAnsi="Cambria Math"/>
              </w:rPr>
              <m:t>E</m:t>
            </m:r>
          </m:e>
          <m:sub>
            <m:r>
              <w:rPr>
                <w:rFonts w:ascii="Cambria Math" w:hAnsi="Cambria Math"/>
              </w:rPr>
              <m:t>B,t</m:t>
            </m:r>
          </m:sub>
        </m:sSub>
      </m:oMath>
      <w:r w:rsidR="00111A2C" w:rsidRPr="00227AB5">
        <w:rPr>
          <w:rFonts w:eastAsiaTheme="minorEastAsia"/>
        </w:rPr>
        <w:t xml:space="preserve"> is the</w:t>
      </w:r>
      <w:r w:rsidR="00B705FC">
        <w:rPr>
          <w:rFonts w:eastAsiaTheme="minorEastAsia"/>
        </w:rPr>
        <w:t xml:space="preserve"> heat energy</w:t>
      </w:r>
      <w:r w:rsidR="004E0BDA">
        <w:rPr>
          <w:rFonts w:eastAsiaTheme="minorEastAsia"/>
        </w:rPr>
        <w:t xml:space="preserve"> measured</w:t>
      </w:r>
      <w:r w:rsidR="00B705FC">
        <w:rPr>
          <w:rFonts w:eastAsiaTheme="minorEastAsia"/>
        </w:rPr>
        <w:t xml:space="preserve"> in GJ</w:t>
      </w:r>
      <w:r w:rsidR="00111A2C" w:rsidRPr="00227AB5">
        <w:rPr>
          <w:rFonts w:eastAsiaTheme="minorEastAsia"/>
        </w:rPr>
        <w:t xml:space="preserve"> for</w:t>
      </w:r>
      <w:r w:rsidR="00E911B1">
        <w:rPr>
          <w:rFonts w:eastAsiaTheme="minorEastAsia"/>
        </w:rPr>
        <w:t xml:space="preserve"> time interval</w:t>
      </w:r>
      <w:r w:rsidR="00111A2C" w:rsidRPr="00227AB5">
        <w:rPr>
          <w:rFonts w:eastAsiaTheme="minorEastAsia"/>
        </w:rPr>
        <w:t xml:space="preserve"> </w:t>
      </w:r>
      <w:r w:rsidR="00111A2C" w:rsidRPr="00227AB5">
        <w:rPr>
          <w:rFonts w:eastAsiaTheme="minorEastAsia"/>
          <w:i/>
        </w:rPr>
        <w:t>t</w:t>
      </w:r>
      <w:r w:rsidR="0086293A">
        <w:rPr>
          <w:rFonts w:eastAsiaTheme="minorEastAsia"/>
          <w:i/>
        </w:rPr>
        <w:t xml:space="preserve"> </w:t>
      </w:r>
      <w:r w:rsidR="0086293A">
        <w:rPr>
          <w:rFonts w:eastAsiaTheme="minorEastAsia"/>
        </w:rPr>
        <w:t>at that measurement boundary</w:t>
      </w:r>
      <w:r w:rsidR="00D777DD">
        <w:rPr>
          <w:rFonts w:eastAsiaTheme="minorEastAsia"/>
        </w:rPr>
        <w:t>;</w:t>
      </w:r>
    </w:p>
    <w:p w14:paraId="6A3A7E16" w14:textId="3C55F86A" w:rsidR="0086293A" w:rsidRDefault="0086293A">
      <w:pPr>
        <w:pStyle w:val="ListNumber2"/>
        <w:numPr>
          <w:ilvl w:val="0"/>
          <w:numId w:val="78"/>
        </w:numPr>
        <w:jc w:val="left"/>
      </w:pPr>
      <m:oMath>
        <m:r>
          <w:rPr>
            <w:rFonts w:ascii="Cambria Math" w:hAnsi="Cambria Math"/>
          </w:rPr>
          <m:t>B</m:t>
        </m:r>
      </m:oMath>
      <w:r>
        <w:t xml:space="preserve"> is the boiler efficiency factor </w:t>
      </w:r>
      <w:r w:rsidR="008475AC">
        <w:t xml:space="preserve">from </w:t>
      </w:r>
      <w:r w:rsidR="0080258E">
        <w:t>T</w:t>
      </w:r>
      <w:r w:rsidR="008475AC">
        <w:t xml:space="preserve">able </w:t>
      </w:r>
      <w:r w:rsidR="006756E2">
        <w:t>8</w:t>
      </w:r>
      <w:r w:rsidR="008475AC">
        <w:t>.3</w:t>
      </w:r>
      <w:r w:rsidR="00D777DD">
        <w:t>;</w:t>
      </w:r>
    </w:p>
    <w:p w14:paraId="3E5B5717" w14:textId="792A9A0E" w:rsidR="00111A2C" w:rsidRDefault="00000000">
      <w:pPr>
        <w:pStyle w:val="ListNumber2"/>
        <w:numPr>
          <w:ilvl w:val="0"/>
          <w:numId w:val="78"/>
        </w:numPr>
        <w:jc w:val="left"/>
        <w:rPr>
          <w:rFonts w:eastAsiaTheme="minorEastAsia"/>
        </w:rPr>
      </w:pPr>
      <m:oMath>
        <m:sSub>
          <m:sSubPr>
            <m:ctrlPr>
              <w:rPr>
                <w:rFonts w:ascii="Cambria Math" w:hAnsi="Cambria Math"/>
                <w:i/>
              </w:rPr>
            </m:ctrlPr>
          </m:sSubPr>
          <m:e>
            <m:r>
              <w:rPr>
                <w:rFonts w:ascii="Cambria Math" w:hAnsi="Cambria Math"/>
              </w:rPr>
              <m:t>E</m:t>
            </m:r>
          </m:e>
          <m:sub>
            <m:r>
              <w:rPr>
                <w:rFonts w:ascii="Cambria Math" w:hAnsi="Cambria Math"/>
              </w:rPr>
              <m:t>meas,t</m:t>
            </m:r>
          </m:sub>
        </m:sSub>
      </m:oMath>
      <w:r w:rsidR="00111A2C" w:rsidRPr="00227AB5">
        <w:rPr>
          <w:rFonts w:eastAsiaTheme="minorEastAsia"/>
        </w:rPr>
        <w:t xml:space="preserve"> is the measured </w:t>
      </w:r>
      <w:r w:rsidR="004E0BDA">
        <w:rPr>
          <w:rFonts w:eastAsiaTheme="minorEastAsia"/>
        </w:rPr>
        <w:t>electricity</w:t>
      </w:r>
      <w:r w:rsidR="00111A2C" w:rsidRPr="00227AB5">
        <w:rPr>
          <w:rFonts w:eastAsiaTheme="minorEastAsia"/>
        </w:rPr>
        <w:t xml:space="preserve"> consumption for</w:t>
      </w:r>
      <w:r w:rsidR="004E0BDA">
        <w:rPr>
          <w:rFonts w:eastAsiaTheme="minorEastAsia"/>
        </w:rPr>
        <w:t xml:space="preserve"> time interval</w:t>
      </w:r>
      <w:r w:rsidR="00111A2C" w:rsidRPr="00227AB5">
        <w:rPr>
          <w:rFonts w:eastAsiaTheme="minorEastAsia"/>
        </w:rPr>
        <w:t xml:space="preserve"> </w:t>
      </w:r>
      <w:r w:rsidR="00111A2C" w:rsidRPr="00227AB5">
        <w:rPr>
          <w:rFonts w:eastAsiaTheme="minorEastAsia"/>
          <w:i/>
        </w:rPr>
        <w:t xml:space="preserve">t </w:t>
      </w:r>
      <w:r w:rsidR="00111A2C" w:rsidRPr="00227AB5">
        <w:rPr>
          <w:rFonts w:eastAsiaTheme="minorEastAsia"/>
        </w:rPr>
        <w:t xml:space="preserve">at that </w:t>
      </w:r>
      <w:r w:rsidR="00111A2C">
        <w:t>measurement boundary</w:t>
      </w:r>
      <w:r w:rsidR="00D777DD">
        <w:rPr>
          <w:rFonts w:eastAsiaTheme="minorEastAsia"/>
        </w:rPr>
        <w:t>; and</w:t>
      </w:r>
    </w:p>
    <w:p w14:paraId="323EAD7F" w14:textId="77777777" w:rsidR="00C72BC5" w:rsidRPr="00DD0D8F" w:rsidRDefault="00C72BC5">
      <w:pPr>
        <w:pStyle w:val="ListNumber2"/>
        <w:numPr>
          <w:ilvl w:val="0"/>
          <w:numId w:val="78"/>
        </w:numPr>
      </w:pPr>
      <w:r>
        <w:rPr>
          <w:i/>
        </w:rPr>
        <w:t xml:space="preserve">EF </w:t>
      </w:r>
      <w:r w:rsidRPr="009D1CEF">
        <w:rPr>
          <w:iCs/>
        </w:rPr>
        <w:t>is the emissions factor as defined in Section 2.1</w:t>
      </w:r>
    </w:p>
    <w:p w14:paraId="44D7B067" w14:textId="77777777" w:rsidR="00AC2345" w:rsidRDefault="00AC2345" w:rsidP="00AC2345">
      <w:pPr>
        <w:pStyle w:val="CaptionImageorFigure"/>
      </w:pPr>
    </w:p>
    <w:p w14:paraId="6D654E5D" w14:textId="654C5DE0" w:rsidR="00FB4760" w:rsidRDefault="00FB4760" w:rsidP="00FB4760">
      <w:pPr>
        <w:pStyle w:val="Heading3"/>
      </w:pPr>
      <w:bookmarkStart w:id="179" w:name="_Toc200577559"/>
      <w:r>
        <w:t>Accuracy factor</w:t>
      </w:r>
      <w:bookmarkEnd w:id="179"/>
      <w:r>
        <w:t xml:space="preserve"> </w:t>
      </w:r>
    </w:p>
    <w:p w14:paraId="3DC883D9" w14:textId="27BCDB16" w:rsidR="00A43EC4" w:rsidRPr="00A43EC4" w:rsidRDefault="00A43EC4" w:rsidP="00A43EC4">
      <w:pPr>
        <w:pStyle w:val="BodyText"/>
      </w:pPr>
      <w:r>
        <w:t>For the purpose of this</w:t>
      </w:r>
      <w:r w:rsidR="00C84691" w:rsidRPr="00C84691">
        <w:t xml:space="preserve"> </w:t>
      </w:r>
      <w:r w:rsidR="00C84691">
        <w:t>specified measurement</w:t>
      </w:r>
      <w:r>
        <w:t xml:space="preserve"> method, the accuracy factor is the relevant value in the right-hand side column in Table </w:t>
      </w:r>
      <w:r w:rsidR="005E1DD2">
        <w:t>8</w:t>
      </w:r>
      <w:r>
        <w:t>.1 below.</w:t>
      </w:r>
    </w:p>
    <w:p w14:paraId="627C313B" w14:textId="132D9690" w:rsidR="00FB4760" w:rsidRPr="00B0391F" w:rsidRDefault="00FB4760" w:rsidP="00FB4760">
      <w:pPr>
        <w:pStyle w:val="Caption"/>
      </w:pPr>
      <w:r w:rsidRPr="00B0391F">
        <w:t xml:space="preserve">Table </w:t>
      </w:r>
      <w:r w:rsidR="005B50B8">
        <w:t>8</w:t>
      </w:r>
      <w:r w:rsidRPr="00B0391F">
        <w:t>.1</w:t>
      </w:r>
    </w:p>
    <w:tbl>
      <w:tblPr>
        <w:tblStyle w:val="TableGrid"/>
        <w:tblW w:w="0" w:type="auto"/>
        <w:tblLayout w:type="fixed"/>
        <w:tblLook w:val="04A0" w:firstRow="1" w:lastRow="0" w:firstColumn="1" w:lastColumn="0" w:noHBand="0" w:noVBand="1"/>
      </w:tblPr>
      <w:tblGrid>
        <w:gridCol w:w="6520"/>
        <w:gridCol w:w="1605"/>
      </w:tblGrid>
      <w:tr w:rsidR="00C5223F" w14:paraId="20EF5EAC" w14:textId="77777777" w:rsidTr="00D15C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0" w:type="dxa"/>
            <w:shd w:val="clear" w:color="auto" w:fill="201547"/>
          </w:tcPr>
          <w:p w14:paraId="465B7CF4" w14:textId="603DE095" w:rsidR="00C5223F" w:rsidRDefault="00073D57" w:rsidP="00FB4760">
            <w:pPr>
              <w:pStyle w:val="BodyText"/>
            </w:pPr>
            <w:r>
              <w:t>Length of operating period</w:t>
            </w:r>
          </w:p>
        </w:tc>
        <w:tc>
          <w:tcPr>
            <w:tcW w:w="1605" w:type="dxa"/>
            <w:shd w:val="clear" w:color="auto" w:fill="201547"/>
          </w:tcPr>
          <w:p w14:paraId="3ED588D6" w14:textId="48FB4C6C" w:rsidR="00C5223F" w:rsidRDefault="00073D57" w:rsidP="0064422A">
            <w:pPr>
              <w:pStyle w:val="BodyText"/>
              <w:jc w:val="center"/>
              <w:cnfStyle w:val="100000000000" w:firstRow="1" w:lastRow="0" w:firstColumn="0" w:lastColumn="0" w:oddVBand="0" w:evenVBand="0" w:oddHBand="0" w:evenHBand="0" w:firstRowFirstColumn="0" w:firstRowLastColumn="0" w:lastRowFirstColumn="0" w:lastRowLastColumn="0"/>
            </w:pPr>
            <w:r>
              <w:t>Accuracy factor</w:t>
            </w:r>
          </w:p>
        </w:tc>
      </w:tr>
      <w:tr w:rsidR="00C5223F" w14:paraId="3C13A385" w14:textId="77777777" w:rsidTr="00D15C27">
        <w:tc>
          <w:tcPr>
            <w:cnfStyle w:val="001000000000" w:firstRow="0" w:lastRow="0" w:firstColumn="1" w:lastColumn="0" w:oddVBand="0" w:evenVBand="0" w:oddHBand="0" w:evenHBand="0" w:firstRowFirstColumn="0" w:firstRowLastColumn="0" w:lastRowFirstColumn="0" w:lastRowLastColumn="0"/>
            <w:tcW w:w="6520" w:type="dxa"/>
          </w:tcPr>
          <w:p w14:paraId="1A0FB9AA" w14:textId="0D7E634E" w:rsidR="00C5223F" w:rsidRDefault="00E77743" w:rsidP="00FB4760">
            <w:pPr>
              <w:pStyle w:val="BodyText"/>
            </w:pPr>
            <w:r>
              <w:t>Between 6 and 12 months</w:t>
            </w:r>
            <w:r w:rsidR="00597DAD">
              <w:t>, including the peak, shoulder and off season</w:t>
            </w:r>
          </w:p>
        </w:tc>
        <w:tc>
          <w:tcPr>
            <w:tcW w:w="1605" w:type="dxa"/>
          </w:tcPr>
          <w:p w14:paraId="685265AE" w14:textId="3EB6A42B" w:rsidR="00C5223F" w:rsidRDefault="00E77743" w:rsidP="0064422A">
            <w:pPr>
              <w:pStyle w:val="BodyText"/>
              <w:jc w:val="center"/>
              <w:cnfStyle w:val="000000000000" w:firstRow="0" w:lastRow="0" w:firstColumn="0" w:lastColumn="0" w:oddVBand="0" w:evenVBand="0" w:oddHBand="0" w:evenHBand="0" w:firstRowFirstColumn="0" w:firstRowLastColumn="0" w:lastRowFirstColumn="0" w:lastRowLastColumn="0"/>
            </w:pPr>
            <w:r>
              <w:t>0.</w:t>
            </w:r>
            <w:r w:rsidR="00A67404">
              <w:t>8</w:t>
            </w:r>
          </w:p>
        </w:tc>
      </w:tr>
      <w:tr w:rsidR="00C5223F" w14:paraId="278358A8" w14:textId="77777777" w:rsidTr="00D15C27">
        <w:tc>
          <w:tcPr>
            <w:cnfStyle w:val="001000000000" w:firstRow="0" w:lastRow="0" w:firstColumn="1" w:lastColumn="0" w:oddVBand="0" w:evenVBand="0" w:oddHBand="0" w:evenHBand="0" w:firstRowFirstColumn="0" w:firstRowLastColumn="0" w:lastRowFirstColumn="0" w:lastRowLastColumn="0"/>
            <w:tcW w:w="6520" w:type="dxa"/>
          </w:tcPr>
          <w:p w14:paraId="587500F4" w14:textId="5E886E47" w:rsidR="00C5223F" w:rsidRDefault="00E77743" w:rsidP="00FB4760">
            <w:pPr>
              <w:pStyle w:val="BodyText"/>
            </w:pPr>
            <w:r>
              <w:t xml:space="preserve">Equal to or greater than </w:t>
            </w:r>
            <w:r w:rsidR="00073D57">
              <w:t>12 months</w:t>
            </w:r>
          </w:p>
        </w:tc>
        <w:tc>
          <w:tcPr>
            <w:tcW w:w="1605" w:type="dxa"/>
          </w:tcPr>
          <w:p w14:paraId="1BB2701A" w14:textId="17F90058" w:rsidR="00C5223F" w:rsidRDefault="00073D57" w:rsidP="0064422A">
            <w:pPr>
              <w:pStyle w:val="BodyText"/>
              <w:jc w:val="center"/>
              <w:cnfStyle w:val="000000000000" w:firstRow="0" w:lastRow="0" w:firstColumn="0" w:lastColumn="0" w:oddVBand="0" w:evenVBand="0" w:oddHBand="0" w:evenHBand="0" w:firstRowFirstColumn="0" w:firstRowLastColumn="0" w:lastRowFirstColumn="0" w:lastRowLastColumn="0"/>
            </w:pPr>
            <w:r>
              <w:t>0.</w:t>
            </w:r>
            <w:r w:rsidR="00E31898">
              <w:t>8</w:t>
            </w:r>
          </w:p>
        </w:tc>
      </w:tr>
    </w:tbl>
    <w:p w14:paraId="7E8116B1" w14:textId="77777777" w:rsidR="00FB4760" w:rsidRDefault="00FB4760" w:rsidP="00FB4760">
      <w:pPr>
        <w:pStyle w:val="BodyText"/>
      </w:pPr>
    </w:p>
    <w:p w14:paraId="39508AB9" w14:textId="77777777" w:rsidR="00FB4760" w:rsidRDefault="00FB4760" w:rsidP="00FB4760">
      <w:pPr>
        <w:pStyle w:val="Heading3"/>
      </w:pPr>
      <w:bookmarkStart w:id="180" w:name="_Toc200577560"/>
      <w:r>
        <w:t>Interactive energy savings</w:t>
      </w:r>
      <w:bookmarkEnd w:id="180"/>
    </w:p>
    <w:p w14:paraId="61E6AFF3" w14:textId="10D41A44" w:rsidR="00FB4760" w:rsidRPr="00CF236B" w:rsidRDefault="00FB4760" w:rsidP="00FB4760">
      <w:pPr>
        <w:pStyle w:val="BodyText"/>
      </w:pPr>
      <w:r>
        <w:t xml:space="preserve">Interactive energy savings are limited to 10% for this </w:t>
      </w:r>
      <w:r w:rsidR="00C84691">
        <w:t xml:space="preserve">specified measurement </w:t>
      </w:r>
      <w:r>
        <w:t>method</w:t>
      </w:r>
      <w:r w:rsidR="00D777DD">
        <w:t>.</w:t>
      </w:r>
    </w:p>
    <w:p w14:paraId="12D61590" w14:textId="77777777" w:rsidR="004051DF" w:rsidRPr="004051DF" w:rsidRDefault="004051DF" w:rsidP="00F83712">
      <w:pPr>
        <w:pStyle w:val="BodyText"/>
      </w:pPr>
    </w:p>
    <w:p w14:paraId="0CE26EBC" w14:textId="1C4CE727" w:rsidR="00FB4760" w:rsidRDefault="00FB4760" w:rsidP="00FB4760">
      <w:pPr>
        <w:pStyle w:val="Heading3"/>
      </w:pPr>
      <w:bookmarkStart w:id="181" w:name="_Toc200577561"/>
      <w:r>
        <w:t>Persistence factor</w:t>
      </w:r>
      <w:bookmarkEnd w:id="181"/>
    </w:p>
    <w:p w14:paraId="7451EB6F" w14:textId="56F5D54C" w:rsidR="001000DA" w:rsidRPr="001000DA" w:rsidRDefault="001000DA" w:rsidP="001000DA">
      <w:pPr>
        <w:pStyle w:val="ListNumber2"/>
        <w:keepNext/>
        <w:keepLines/>
        <w:ind w:left="0" w:firstLine="0"/>
        <w:jc w:val="left"/>
      </w:pPr>
      <w:r w:rsidRPr="008729F9">
        <w:t xml:space="preserve">The </w:t>
      </w:r>
      <w:r w:rsidR="00196919">
        <w:t>persist</w:t>
      </w:r>
      <w:r w:rsidR="00CB6E8B">
        <w:t>e</w:t>
      </w:r>
      <w:r w:rsidR="00196919">
        <w:t>nce</w:t>
      </w:r>
      <w:r w:rsidR="00196919" w:rsidRPr="008729F9">
        <w:t xml:space="preserve"> </w:t>
      </w:r>
      <w:r w:rsidRPr="008729F9">
        <w:t>factor for a year i</w:t>
      </w:r>
      <w:r>
        <w:t xml:space="preserve">s assigned on a per measurement boundary basis and is </w:t>
      </w:r>
      <w:r w:rsidRPr="008729F9">
        <w:t xml:space="preserve">determined using Table </w:t>
      </w:r>
      <w:r w:rsidR="005B50B8">
        <w:t>8</w:t>
      </w:r>
      <w:r>
        <w:t>.</w:t>
      </w:r>
      <w:r w:rsidRPr="008729F9">
        <w:t>2</w:t>
      </w:r>
      <w:r w:rsidR="00D777DD">
        <w:t>.</w:t>
      </w:r>
    </w:p>
    <w:p w14:paraId="65BED70B" w14:textId="3004AD49" w:rsidR="00FB4760" w:rsidRPr="00781DB4" w:rsidRDefault="00FB4760" w:rsidP="00FB4760">
      <w:pPr>
        <w:pStyle w:val="Caption"/>
      </w:pPr>
      <w:r w:rsidRPr="00781DB4">
        <w:t xml:space="preserve">Table </w:t>
      </w:r>
      <w:r w:rsidR="005B50B8">
        <w:t>8</w:t>
      </w:r>
      <w:r w:rsidR="00781DB4" w:rsidRPr="00781DB4">
        <w:t>.</w:t>
      </w:r>
      <w:r w:rsidR="00AD5958">
        <w:t>2</w:t>
      </w:r>
    </w:p>
    <w:tbl>
      <w:tblPr>
        <w:tblStyle w:val="TableGrid"/>
        <w:tblW w:w="0" w:type="auto"/>
        <w:tblLayout w:type="fixed"/>
        <w:tblLook w:val="04A0" w:firstRow="1" w:lastRow="0" w:firstColumn="1" w:lastColumn="0" w:noHBand="0" w:noVBand="1"/>
      </w:tblPr>
      <w:tblGrid>
        <w:gridCol w:w="2772"/>
        <w:gridCol w:w="1827"/>
      </w:tblGrid>
      <w:tr w:rsidR="00FB4760" w14:paraId="1C2D6BEB" w14:textId="77777777" w:rsidTr="00D15C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2" w:type="dxa"/>
            <w:shd w:val="clear" w:color="auto" w:fill="201547"/>
          </w:tcPr>
          <w:p w14:paraId="654CBC67" w14:textId="77777777" w:rsidR="00FB4760" w:rsidRDefault="00FB4760">
            <w:pPr>
              <w:pStyle w:val="BodyText"/>
            </w:pPr>
            <w:r>
              <w:t>Technology</w:t>
            </w:r>
          </w:p>
        </w:tc>
        <w:tc>
          <w:tcPr>
            <w:tcW w:w="1827" w:type="dxa"/>
            <w:shd w:val="clear" w:color="auto" w:fill="201547"/>
          </w:tcPr>
          <w:p w14:paraId="4BE49B7A" w14:textId="77777777" w:rsidR="00FB4760" w:rsidRDefault="00FB4760" w:rsidP="0064422A">
            <w:pPr>
              <w:pStyle w:val="BodyText"/>
              <w:jc w:val="center"/>
              <w:cnfStyle w:val="100000000000" w:firstRow="1" w:lastRow="0" w:firstColumn="0" w:lastColumn="0" w:oddVBand="0" w:evenVBand="0" w:oddHBand="0" w:evenHBand="0" w:firstRowFirstColumn="0" w:firstRowLastColumn="0" w:lastRowFirstColumn="0" w:lastRowLastColumn="0"/>
            </w:pPr>
            <w:r>
              <w:t>Persistence factor</w:t>
            </w:r>
          </w:p>
        </w:tc>
      </w:tr>
      <w:tr w:rsidR="00FB4760" w14:paraId="2D658B35" w14:textId="77777777" w:rsidTr="00D15C27">
        <w:tc>
          <w:tcPr>
            <w:cnfStyle w:val="001000000000" w:firstRow="0" w:lastRow="0" w:firstColumn="1" w:lastColumn="0" w:oddVBand="0" w:evenVBand="0" w:oddHBand="0" w:evenHBand="0" w:firstRowFirstColumn="0" w:firstRowLastColumn="0" w:lastRowFirstColumn="0" w:lastRowLastColumn="0"/>
            <w:tcW w:w="2772" w:type="dxa"/>
          </w:tcPr>
          <w:p w14:paraId="1591CC9F" w14:textId="51FBBB1B" w:rsidR="00FB4760" w:rsidRDefault="003C768C" w:rsidP="00FC4D98">
            <w:pPr>
              <w:pStyle w:val="BodyText"/>
              <w:jc w:val="left"/>
            </w:pPr>
            <w:r>
              <w:t>Heat pump hot water</w:t>
            </w:r>
            <w:r w:rsidR="00EB79BE">
              <w:t xml:space="preserve"> system</w:t>
            </w:r>
          </w:p>
        </w:tc>
        <w:tc>
          <w:tcPr>
            <w:tcW w:w="1827" w:type="dxa"/>
          </w:tcPr>
          <w:p w14:paraId="1563B6B9" w14:textId="6E252B45" w:rsidR="00FB4760" w:rsidRDefault="00750ABC" w:rsidP="0064422A">
            <w:pPr>
              <w:pStyle w:val="BodyText"/>
              <w:jc w:val="center"/>
              <w:cnfStyle w:val="000000000000" w:firstRow="0" w:lastRow="0" w:firstColumn="0" w:lastColumn="0" w:oddVBand="0" w:evenVBand="0" w:oddHBand="0" w:evenHBand="0" w:firstRowFirstColumn="0" w:firstRowLastColumn="0" w:lastRowFirstColumn="0" w:lastRowLastColumn="0"/>
            </w:pPr>
            <w:r>
              <w:t>9</w:t>
            </w:r>
          </w:p>
        </w:tc>
      </w:tr>
    </w:tbl>
    <w:p w14:paraId="3DA628EB" w14:textId="77777777" w:rsidR="00966B20" w:rsidRPr="00966B20" w:rsidRDefault="00966B20" w:rsidP="00966B20">
      <w:pPr>
        <w:pStyle w:val="BodyText"/>
      </w:pPr>
    </w:p>
    <w:p w14:paraId="4096DE23" w14:textId="745544A2" w:rsidR="00AD5958" w:rsidRDefault="00AD5958" w:rsidP="00AD5958">
      <w:pPr>
        <w:pStyle w:val="Heading3"/>
      </w:pPr>
      <w:bookmarkStart w:id="182" w:name="_Toc200577562"/>
      <w:r>
        <w:t>Boiler efficiency factor</w:t>
      </w:r>
      <w:bookmarkEnd w:id="182"/>
    </w:p>
    <w:p w14:paraId="76D4C093" w14:textId="3E7899D8" w:rsidR="00AD5958" w:rsidRPr="00B0391F" w:rsidRDefault="00AD5958" w:rsidP="00AD5958">
      <w:pPr>
        <w:pStyle w:val="Caption"/>
      </w:pPr>
      <w:r w:rsidRPr="00B0391F">
        <w:t xml:space="preserve">Table </w:t>
      </w:r>
      <w:r w:rsidR="005B50B8">
        <w:t>8</w:t>
      </w:r>
      <w:r w:rsidRPr="00B0391F">
        <w:t>.</w:t>
      </w:r>
      <w:r>
        <w:t>3</w:t>
      </w:r>
    </w:p>
    <w:tbl>
      <w:tblPr>
        <w:tblStyle w:val="TableGrid"/>
        <w:tblW w:w="0" w:type="auto"/>
        <w:tblLayout w:type="fixed"/>
        <w:tblLook w:val="04A0" w:firstRow="1" w:lastRow="0" w:firstColumn="1" w:lastColumn="0" w:noHBand="0" w:noVBand="1"/>
      </w:tblPr>
      <w:tblGrid>
        <w:gridCol w:w="3969"/>
        <w:gridCol w:w="2457"/>
        <w:gridCol w:w="3213"/>
      </w:tblGrid>
      <w:tr w:rsidR="00AD5958" w14:paraId="46AC237B" w14:textId="77777777" w:rsidTr="00D15C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shd w:val="clear" w:color="auto" w:fill="201547"/>
          </w:tcPr>
          <w:p w14:paraId="5AECBBC4" w14:textId="77777777" w:rsidR="00AD5958" w:rsidRDefault="00AD5958">
            <w:pPr>
              <w:pStyle w:val="BodyText"/>
            </w:pPr>
            <w:r>
              <w:t xml:space="preserve">Type of appliance </w:t>
            </w:r>
          </w:p>
        </w:tc>
        <w:tc>
          <w:tcPr>
            <w:tcW w:w="2457" w:type="dxa"/>
            <w:shd w:val="clear" w:color="auto" w:fill="201547"/>
          </w:tcPr>
          <w:p w14:paraId="46EC2B7D" w14:textId="77777777" w:rsidR="00AD5958" w:rsidRDefault="00AD5958" w:rsidP="0064422A">
            <w:pPr>
              <w:pStyle w:val="BodyText"/>
              <w:jc w:val="center"/>
              <w:cnfStyle w:val="100000000000" w:firstRow="1" w:lastRow="0" w:firstColumn="0" w:lastColumn="0" w:oddVBand="0" w:evenVBand="0" w:oddHBand="0" w:evenHBand="0" w:firstRowFirstColumn="0" w:firstRowLastColumn="0" w:lastRowFirstColumn="0" w:lastRowLastColumn="0"/>
            </w:pPr>
            <w:r>
              <w:t>Efficiency factor</w:t>
            </w:r>
          </w:p>
        </w:tc>
        <w:tc>
          <w:tcPr>
            <w:tcW w:w="3213" w:type="dxa"/>
            <w:shd w:val="clear" w:color="auto" w:fill="201547"/>
          </w:tcPr>
          <w:p w14:paraId="6D4D39B7" w14:textId="77777777" w:rsidR="00AD5958" w:rsidRDefault="00AD5958">
            <w:pPr>
              <w:pStyle w:val="BodyText"/>
              <w:cnfStyle w:val="100000000000" w:firstRow="1" w:lastRow="0" w:firstColumn="0" w:lastColumn="0" w:oddVBand="0" w:evenVBand="0" w:oddHBand="0" w:evenHBand="0" w:firstRowFirstColumn="0" w:firstRowLastColumn="0" w:lastRowFirstColumn="0" w:lastRowLastColumn="0"/>
            </w:pPr>
            <w:r>
              <w:t>Source</w:t>
            </w:r>
          </w:p>
        </w:tc>
      </w:tr>
      <w:tr w:rsidR="00AD5958" w14:paraId="2C29B8A1" w14:textId="77777777" w:rsidTr="00D15C27">
        <w:tc>
          <w:tcPr>
            <w:cnfStyle w:val="001000000000" w:firstRow="0" w:lastRow="0" w:firstColumn="1" w:lastColumn="0" w:oddVBand="0" w:evenVBand="0" w:oddHBand="0" w:evenHBand="0" w:firstRowFirstColumn="0" w:firstRowLastColumn="0" w:lastRowFirstColumn="0" w:lastRowLastColumn="0"/>
            <w:tcW w:w="3969" w:type="dxa"/>
          </w:tcPr>
          <w:p w14:paraId="54DA0537" w14:textId="77777777" w:rsidR="00AD5958" w:rsidRDefault="00AD5958" w:rsidP="00FC4D98">
            <w:pPr>
              <w:pStyle w:val="BodyText"/>
              <w:jc w:val="left"/>
            </w:pPr>
            <w:r>
              <w:t>A gas water heater, that is used as part of an air conditioning system and is rated to consume 500MJ/hour or less</w:t>
            </w:r>
          </w:p>
        </w:tc>
        <w:tc>
          <w:tcPr>
            <w:tcW w:w="2457" w:type="dxa"/>
            <w:shd w:val="clear" w:color="auto" w:fill="CCE3F5"/>
          </w:tcPr>
          <w:p w14:paraId="4B06FF86" w14:textId="77777777" w:rsidR="00AD5958" w:rsidRDefault="00AD5958" w:rsidP="0064422A">
            <w:pPr>
              <w:pStyle w:val="BodyText"/>
              <w:jc w:val="center"/>
              <w:cnfStyle w:val="000000000000" w:firstRow="0" w:lastRow="0" w:firstColumn="0" w:lastColumn="0" w:oddVBand="0" w:evenVBand="0" w:oddHBand="0" w:evenHBand="0" w:firstRowFirstColumn="0" w:firstRowLastColumn="0" w:lastRowFirstColumn="0" w:lastRowLastColumn="0"/>
            </w:pPr>
            <w:r>
              <w:t>0.86</w:t>
            </w:r>
          </w:p>
        </w:tc>
        <w:tc>
          <w:tcPr>
            <w:tcW w:w="3213" w:type="dxa"/>
          </w:tcPr>
          <w:p w14:paraId="66858AC6" w14:textId="77777777" w:rsidR="00AD5958" w:rsidRDefault="00AD5958" w:rsidP="00FC4D98">
            <w:pPr>
              <w:pStyle w:val="BodyText"/>
              <w:jc w:val="left"/>
              <w:cnfStyle w:val="000000000000" w:firstRow="0" w:lastRow="0" w:firstColumn="0" w:lastColumn="0" w:oddVBand="0" w:evenVBand="0" w:oddHBand="0" w:evenHBand="0" w:firstRowFirstColumn="0" w:firstRowLastColumn="0" w:lastRowFirstColumn="0" w:lastRowLastColumn="0"/>
            </w:pPr>
            <w:r>
              <w:t>NCC Volume 2 Part J6D10 (4)</w:t>
            </w:r>
          </w:p>
        </w:tc>
      </w:tr>
      <w:tr w:rsidR="00AD5958" w14:paraId="1753D38F" w14:textId="77777777" w:rsidTr="00D15C27">
        <w:tc>
          <w:tcPr>
            <w:cnfStyle w:val="001000000000" w:firstRow="0" w:lastRow="0" w:firstColumn="1" w:lastColumn="0" w:oddVBand="0" w:evenVBand="0" w:oddHBand="0" w:evenHBand="0" w:firstRowFirstColumn="0" w:firstRowLastColumn="0" w:lastRowFirstColumn="0" w:lastRowLastColumn="0"/>
            <w:tcW w:w="3969" w:type="dxa"/>
          </w:tcPr>
          <w:p w14:paraId="579CC524" w14:textId="77777777" w:rsidR="00AD5958" w:rsidRDefault="00AD5958" w:rsidP="00FC4D98">
            <w:pPr>
              <w:pStyle w:val="BodyText"/>
              <w:jc w:val="left"/>
            </w:pPr>
            <w:r>
              <w:t>A gas water heater, that is used as part of an air conditioning system and is rated to consume more than 500MJ/hour</w:t>
            </w:r>
          </w:p>
        </w:tc>
        <w:tc>
          <w:tcPr>
            <w:tcW w:w="2457" w:type="dxa"/>
            <w:shd w:val="clear" w:color="auto" w:fill="CCE3F5"/>
          </w:tcPr>
          <w:p w14:paraId="3443C8F3" w14:textId="77777777" w:rsidR="00AD5958" w:rsidRDefault="00AD5958" w:rsidP="0064422A">
            <w:pPr>
              <w:pStyle w:val="BodyText"/>
              <w:jc w:val="center"/>
              <w:cnfStyle w:val="000000000000" w:firstRow="0" w:lastRow="0" w:firstColumn="0" w:lastColumn="0" w:oddVBand="0" w:evenVBand="0" w:oddHBand="0" w:evenHBand="0" w:firstRowFirstColumn="0" w:firstRowLastColumn="0" w:lastRowFirstColumn="0" w:lastRowLastColumn="0"/>
            </w:pPr>
            <w:r>
              <w:t>0.9</w:t>
            </w:r>
          </w:p>
        </w:tc>
        <w:tc>
          <w:tcPr>
            <w:tcW w:w="3213" w:type="dxa"/>
          </w:tcPr>
          <w:p w14:paraId="2780E812" w14:textId="77777777" w:rsidR="00AD5958" w:rsidRDefault="00AD5958" w:rsidP="00FC4D98">
            <w:pPr>
              <w:pStyle w:val="BodyText"/>
              <w:jc w:val="left"/>
              <w:cnfStyle w:val="000000000000" w:firstRow="0" w:lastRow="0" w:firstColumn="0" w:lastColumn="0" w:oddVBand="0" w:evenVBand="0" w:oddHBand="0" w:evenHBand="0" w:firstRowFirstColumn="0" w:firstRowLastColumn="0" w:lastRowFirstColumn="0" w:lastRowLastColumn="0"/>
            </w:pPr>
            <w:r>
              <w:t>NCC Volume 2 Part J6D10 (4)</w:t>
            </w:r>
          </w:p>
        </w:tc>
      </w:tr>
      <w:tr w:rsidR="00AD5958" w14:paraId="71EE77D4" w14:textId="77777777" w:rsidTr="00D15C27">
        <w:tc>
          <w:tcPr>
            <w:cnfStyle w:val="001000000000" w:firstRow="0" w:lastRow="0" w:firstColumn="1" w:lastColumn="0" w:oddVBand="0" w:evenVBand="0" w:oddHBand="0" w:evenHBand="0" w:firstRowFirstColumn="0" w:firstRowLastColumn="0" w:lastRowFirstColumn="0" w:lastRowLastColumn="0"/>
            <w:tcW w:w="3969" w:type="dxa"/>
          </w:tcPr>
          <w:p w14:paraId="05E7C056" w14:textId="77777777" w:rsidR="00AD5958" w:rsidRDefault="00AD5958" w:rsidP="00FC4D98">
            <w:pPr>
              <w:pStyle w:val="BodyText"/>
              <w:jc w:val="left"/>
            </w:pPr>
            <w:r>
              <w:t>Swimming pool or spa gas heater rated to consume 500MJ/hour or less</w:t>
            </w:r>
          </w:p>
        </w:tc>
        <w:tc>
          <w:tcPr>
            <w:tcW w:w="2457" w:type="dxa"/>
            <w:shd w:val="clear" w:color="auto" w:fill="CCE3F5"/>
          </w:tcPr>
          <w:p w14:paraId="26CA5D3D" w14:textId="77777777" w:rsidR="00AD5958" w:rsidRDefault="00AD5958" w:rsidP="0064422A">
            <w:pPr>
              <w:pStyle w:val="BodyText"/>
              <w:jc w:val="center"/>
              <w:cnfStyle w:val="000000000000" w:firstRow="0" w:lastRow="0" w:firstColumn="0" w:lastColumn="0" w:oddVBand="0" w:evenVBand="0" w:oddHBand="0" w:evenHBand="0" w:firstRowFirstColumn="0" w:firstRowLastColumn="0" w:lastRowFirstColumn="0" w:lastRowLastColumn="0"/>
            </w:pPr>
            <w:r>
              <w:t>0.86</w:t>
            </w:r>
          </w:p>
        </w:tc>
        <w:tc>
          <w:tcPr>
            <w:tcW w:w="3213" w:type="dxa"/>
          </w:tcPr>
          <w:p w14:paraId="3C67B744" w14:textId="77777777" w:rsidR="00AD5958" w:rsidRDefault="00AD5958" w:rsidP="00FC4D98">
            <w:pPr>
              <w:pStyle w:val="BodyText"/>
              <w:jc w:val="left"/>
              <w:cnfStyle w:val="000000000000" w:firstRow="0" w:lastRow="0" w:firstColumn="0" w:lastColumn="0" w:oddVBand="0" w:evenVBand="0" w:oddHBand="0" w:evenHBand="0" w:firstRowFirstColumn="0" w:firstRowLastColumn="0" w:lastRowFirstColumn="0" w:lastRowLastColumn="0"/>
            </w:pPr>
            <w:r>
              <w:t>NCC Volume 2 Part J8D3 (1)(d)</w:t>
            </w:r>
          </w:p>
        </w:tc>
      </w:tr>
      <w:tr w:rsidR="00AD5958" w14:paraId="4BF6B78B" w14:textId="77777777" w:rsidTr="00D15C27">
        <w:tc>
          <w:tcPr>
            <w:cnfStyle w:val="001000000000" w:firstRow="0" w:lastRow="0" w:firstColumn="1" w:lastColumn="0" w:oddVBand="0" w:evenVBand="0" w:oddHBand="0" w:evenHBand="0" w:firstRowFirstColumn="0" w:firstRowLastColumn="0" w:lastRowFirstColumn="0" w:lastRowLastColumn="0"/>
            <w:tcW w:w="3969" w:type="dxa"/>
          </w:tcPr>
          <w:p w14:paraId="6477EED5" w14:textId="77777777" w:rsidR="00AD5958" w:rsidRDefault="00AD5958" w:rsidP="00FC4D98">
            <w:pPr>
              <w:pStyle w:val="BodyText"/>
              <w:jc w:val="left"/>
            </w:pPr>
            <w:r>
              <w:t xml:space="preserve">Swimming pool or spa gas heater rated to consume more than 500MJ/hour </w:t>
            </w:r>
          </w:p>
        </w:tc>
        <w:tc>
          <w:tcPr>
            <w:tcW w:w="2457" w:type="dxa"/>
            <w:shd w:val="clear" w:color="auto" w:fill="CCE3F5"/>
          </w:tcPr>
          <w:p w14:paraId="68125418" w14:textId="77777777" w:rsidR="00AD5958" w:rsidRDefault="00AD5958" w:rsidP="0064422A">
            <w:pPr>
              <w:pStyle w:val="BodyText"/>
              <w:jc w:val="center"/>
              <w:cnfStyle w:val="000000000000" w:firstRow="0" w:lastRow="0" w:firstColumn="0" w:lastColumn="0" w:oddVBand="0" w:evenVBand="0" w:oddHBand="0" w:evenHBand="0" w:firstRowFirstColumn="0" w:firstRowLastColumn="0" w:lastRowFirstColumn="0" w:lastRowLastColumn="0"/>
            </w:pPr>
            <w:r>
              <w:t>0.9</w:t>
            </w:r>
          </w:p>
        </w:tc>
        <w:tc>
          <w:tcPr>
            <w:tcW w:w="3213" w:type="dxa"/>
          </w:tcPr>
          <w:p w14:paraId="2230FA15" w14:textId="77777777" w:rsidR="00AD5958" w:rsidRDefault="00AD5958" w:rsidP="00FC4D98">
            <w:pPr>
              <w:pStyle w:val="BodyText"/>
              <w:jc w:val="left"/>
              <w:cnfStyle w:val="000000000000" w:firstRow="0" w:lastRow="0" w:firstColumn="0" w:lastColumn="0" w:oddVBand="0" w:evenVBand="0" w:oddHBand="0" w:evenHBand="0" w:firstRowFirstColumn="0" w:firstRowLastColumn="0" w:lastRowFirstColumn="0" w:lastRowLastColumn="0"/>
            </w:pPr>
            <w:r>
              <w:t>NCC Volume 2 Part J8D3 (1)(d)</w:t>
            </w:r>
          </w:p>
        </w:tc>
      </w:tr>
      <w:tr w:rsidR="00AD5958" w14:paraId="28B983FF" w14:textId="77777777" w:rsidTr="00D15C27">
        <w:tc>
          <w:tcPr>
            <w:cnfStyle w:val="001000000000" w:firstRow="0" w:lastRow="0" w:firstColumn="1" w:lastColumn="0" w:oddVBand="0" w:evenVBand="0" w:oddHBand="0" w:evenHBand="0" w:firstRowFirstColumn="0" w:firstRowLastColumn="0" w:lastRowFirstColumn="0" w:lastRowLastColumn="0"/>
            <w:tcW w:w="3969" w:type="dxa"/>
          </w:tcPr>
          <w:p w14:paraId="52EC2703" w14:textId="77777777" w:rsidR="00AD5958" w:rsidRDefault="00AD5958" w:rsidP="00FC4D98">
            <w:pPr>
              <w:pStyle w:val="BodyText"/>
              <w:jc w:val="left"/>
            </w:pPr>
            <w:r>
              <w:t>Any other gas appliance</w:t>
            </w:r>
          </w:p>
        </w:tc>
        <w:tc>
          <w:tcPr>
            <w:tcW w:w="2457" w:type="dxa"/>
            <w:shd w:val="clear" w:color="auto" w:fill="CCE3F5"/>
          </w:tcPr>
          <w:p w14:paraId="48A17DEC" w14:textId="77777777" w:rsidR="00AD5958" w:rsidRDefault="00AD5958" w:rsidP="0064422A">
            <w:pPr>
              <w:pStyle w:val="BodyText"/>
              <w:jc w:val="center"/>
              <w:cnfStyle w:val="000000000000" w:firstRow="0" w:lastRow="0" w:firstColumn="0" w:lastColumn="0" w:oddVBand="0" w:evenVBand="0" w:oddHBand="0" w:evenHBand="0" w:firstRowFirstColumn="0" w:firstRowLastColumn="0" w:lastRowFirstColumn="0" w:lastRowLastColumn="0"/>
            </w:pPr>
            <w:r>
              <w:t>0.9</w:t>
            </w:r>
          </w:p>
        </w:tc>
        <w:tc>
          <w:tcPr>
            <w:tcW w:w="3213" w:type="dxa"/>
          </w:tcPr>
          <w:p w14:paraId="7668ACC9" w14:textId="77777777" w:rsidR="00AD5958" w:rsidRDefault="00AD5958" w:rsidP="00FC4D98">
            <w:pPr>
              <w:pStyle w:val="BodyText"/>
              <w:jc w:val="left"/>
              <w:cnfStyle w:val="000000000000" w:firstRow="0" w:lastRow="0" w:firstColumn="0" w:lastColumn="0" w:oddVBand="0" w:evenVBand="0" w:oddHBand="0" w:evenHBand="0" w:firstRowFirstColumn="0" w:firstRowLastColumn="0" w:lastRowFirstColumn="0" w:lastRowLastColumn="0"/>
            </w:pPr>
            <w:r>
              <w:t>-</w:t>
            </w:r>
          </w:p>
        </w:tc>
      </w:tr>
    </w:tbl>
    <w:p w14:paraId="214319FE" w14:textId="6B63F647" w:rsidR="00F5004C" w:rsidRPr="00E37634" w:rsidRDefault="00F5004C" w:rsidP="004B55BB">
      <w:pPr>
        <w:pStyle w:val="Heading1"/>
        <w:ind w:left="426"/>
      </w:pPr>
      <w:bookmarkStart w:id="183" w:name="_Toc232605547"/>
      <w:bookmarkStart w:id="184" w:name="_Toc239413192"/>
      <w:bookmarkStart w:id="185" w:name="_Toc200577563"/>
      <w:r>
        <w:lastRenderedPageBreak/>
        <w:t xml:space="preserve">Electric </w:t>
      </w:r>
      <w:r w:rsidR="008B1C4D">
        <w:t xml:space="preserve">thermal energy storage </w:t>
      </w:r>
      <w:r w:rsidR="00D37B0C">
        <w:t xml:space="preserve">(eTES) </w:t>
      </w:r>
      <w:r w:rsidR="008B1C4D">
        <w:t>d</w:t>
      </w:r>
      <w:r>
        <w:t>irect measurement</w:t>
      </w:r>
      <w:bookmarkEnd w:id="183"/>
      <w:bookmarkEnd w:id="184"/>
    </w:p>
    <w:p w14:paraId="2648D65A" w14:textId="77777777" w:rsidR="00F5004C" w:rsidRDefault="00F5004C" w:rsidP="00F5004C">
      <w:pPr>
        <w:pStyle w:val="Heading2"/>
      </w:pPr>
      <w:bookmarkStart w:id="186" w:name="_Toc232605548"/>
      <w:r>
        <w:t>Information to be provided</w:t>
      </w:r>
      <w:bookmarkEnd w:id="186"/>
    </w:p>
    <w:p w14:paraId="5354138F" w14:textId="77777777" w:rsidR="00F5004C" w:rsidRDefault="00F5004C" w:rsidP="00F5004C">
      <w:pPr>
        <w:pStyle w:val="Heading3"/>
      </w:pPr>
      <w:r>
        <w:t>Information to be provided in an application for scoping approval</w:t>
      </w:r>
    </w:p>
    <w:p w14:paraId="5B7F3F1F" w14:textId="32A9DF8D" w:rsidR="00F5004C" w:rsidRDefault="00F5004C">
      <w:pPr>
        <w:pStyle w:val="ListParagraph"/>
        <w:numPr>
          <w:ilvl w:val="0"/>
          <w:numId w:val="85"/>
        </w:numPr>
        <w:jc w:val="both"/>
      </w:pPr>
      <w:r>
        <w:t>A declaration that the project is eligible to use the elect</w:t>
      </w:r>
      <w:r w:rsidR="008B1C4D">
        <w:t xml:space="preserve">ric thermal energy storage </w:t>
      </w:r>
      <w:r w:rsidR="00B7675D">
        <w:t xml:space="preserve">(eTES) </w:t>
      </w:r>
      <w:r w:rsidR="008B1C4D">
        <w:t>direct measurement</w:t>
      </w:r>
      <w:r>
        <w:t xml:space="preserve"> </w:t>
      </w:r>
      <w:r w:rsidRPr="00C4074E">
        <w:t>specified measurement method</w:t>
      </w:r>
      <w:r>
        <w:t>, and meets the following criteria:</w:t>
      </w:r>
    </w:p>
    <w:p w14:paraId="7692EF0A" w14:textId="70E466CE" w:rsidR="00D8279E" w:rsidRDefault="00CB2E0A">
      <w:pPr>
        <w:pStyle w:val="BodyText"/>
        <w:numPr>
          <w:ilvl w:val="1"/>
          <w:numId w:val="85"/>
        </w:numPr>
      </w:pPr>
      <w:r>
        <w:t xml:space="preserve">The project </w:t>
      </w:r>
      <w:r w:rsidR="00F5004C">
        <w:t xml:space="preserve">involves the installation of an </w:t>
      </w:r>
      <w:r w:rsidR="00D8279E">
        <w:t>eTES</w:t>
      </w:r>
      <w:r w:rsidR="005571A1">
        <w:t xml:space="preserve"> that uses electricity to</w:t>
      </w:r>
      <w:r w:rsidR="00CB383B">
        <w:t xml:space="preserve"> store heat in a medium to supply heating processes</w:t>
      </w:r>
      <w:r w:rsidR="001A235F">
        <w:t>; and</w:t>
      </w:r>
      <w:r w:rsidR="00D8279E">
        <w:t xml:space="preserve"> </w:t>
      </w:r>
    </w:p>
    <w:p w14:paraId="57218505" w14:textId="01D56EBF" w:rsidR="001D536D" w:rsidRDefault="00D8279E" w:rsidP="00D86FB7">
      <w:pPr>
        <w:pStyle w:val="BodyText"/>
        <w:numPr>
          <w:ilvl w:val="1"/>
          <w:numId w:val="85"/>
        </w:numPr>
      </w:pPr>
      <w:r>
        <w:t xml:space="preserve">The eTES </w:t>
      </w:r>
      <w:r w:rsidR="00F5004C">
        <w:t>replace</w:t>
      </w:r>
      <w:r w:rsidR="004D13A7">
        <w:t>s</w:t>
      </w:r>
      <w:r w:rsidR="002031AA">
        <w:t xml:space="preserve">, </w:t>
      </w:r>
      <w:r w:rsidR="00BA1543">
        <w:t>whole</w:t>
      </w:r>
      <w:r w:rsidR="002031AA">
        <w:t xml:space="preserve"> or part</w:t>
      </w:r>
      <w:r w:rsidR="001D536D">
        <w:t>,</w:t>
      </w:r>
      <w:r w:rsidR="002031AA">
        <w:t xml:space="preserve"> of the heat</w:t>
      </w:r>
      <w:r w:rsidR="00BA1543">
        <w:t xml:space="preserve"> provided</w:t>
      </w:r>
      <w:r w:rsidR="002031AA">
        <w:t xml:space="preserve"> by a</w:t>
      </w:r>
      <w:r w:rsidR="00F5004C">
        <w:t xml:space="preserve"> gas-fired</w:t>
      </w:r>
      <w:r w:rsidR="00B822BA">
        <w:t>, or other fossil fuel</w:t>
      </w:r>
      <w:r w:rsidR="00537F8B">
        <w:t>,</w:t>
      </w:r>
      <w:r w:rsidR="00B822BA">
        <w:t xml:space="preserve"> combustion</w:t>
      </w:r>
      <w:r w:rsidR="00F5004C">
        <w:t xml:space="preserve"> </w:t>
      </w:r>
      <w:r w:rsidR="00537F8B">
        <w:t>equipment</w:t>
      </w:r>
      <w:r w:rsidR="00C453A9">
        <w:t>; and</w:t>
      </w:r>
    </w:p>
    <w:p w14:paraId="358C4BA7" w14:textId="10C75F4E" w:rsidR="00CB2E0A" w:rsidRDefault="00B54573">
      <w:pPr>
        <w:pStyle w:val="BodyText"/>
        <w:numPr>
          <w:ilvl w:val="1"/>
          <w:numId w:val="85"/>
        </w:numPr>
      </w:pPr>
      <w:r>
        <w:t xml:space="preserve">The eTES system is designed to </w:t>
      </w:r>
      <w:r w:rsidR="00771CEE">
        <w:t xml:space="preserve">primarily </w:t>
      </w:r>
      <w:r>
        <w:t xml:space="preserve">supply </w:t>
      </w:r>
      <w:r w:rsidR="0067322B">
        <w:t xml:space="preserve">heat applications </w:t>
      </w:r>
      <w:r w:rsidR="0067322B" w:rsidRPr="004357B8">
        <w:t>100</w:t>
      </w:r>
      <w:r w:rsidR="0067322B" w:rsidRPr="004357B8">
        <w:rPr>
          <w:vertAlign w:val="superscript"/>
        </w:rPr>
        <w:t>o</w:t>
      </w:r>
      <w:r w:rsidR="0067322B" w:rsidRPr="004357B8">
        <w:t>C</w:t>
      </w:r>
      <w:r w:rsidR="0067322B">
        <w:t xml:space="preserve"> or greater</w:t>
      </w:r>
      <w:r w:rsidR="00C453A9">
        <w:t>; and</w:t>
      </w:r>
    </w:p>
    <w:p w14:paraId="056E39CE" w14:textId="0FF162FC" w:rsidR="00DC7AAF" w:rsidRDefault="00DC7AAF">
      <w:pPr>
        <w:pStyle w:val="BodyText"/>
        <w:numPr>
          <w:ilvl w:val="1"/>
          <w:numId w:val="85"/>
        </w:numPr>
      </w:pPr>
      <w:r>
        <w:t xml:space="preserve">The eTES system </w:t>
      </w:r>
      <w:r w:rsidR="005068DE">
        <w:t xml:space="preserve">has a minimum </w:t>
      </w:r>
      <w:r w:rsidR="009E3301">
        <w:t xml:space="preserve">peak </w:t>
      </w:r>
      <w:r w:rsidR="009D437B">
        <w:t xml:space="preserve">charging </w:t>
      </w:r>
      <w:r w:rsidR="009E3301">
        <w:t xml:space="preserve">capacity of 1MW and </w:t>
      </w:r>
      <w:r w:rsidR="00D040E9">
        <w:t xml:space="preserve">capable of storing </w:t>
      </w:r>
      <w:r w:rsidR="002F71FA">
        <w:t>energy equivalent to 4 hours at peak charging</w:t>
      </w:r>
      <w:r w:rsidR="00C453A9">
        <w:t>; and</w:t>
      </w:r>
    </w:p>
    <w:p w14:paraId="54E797A4" w14:textId="09F36321" w:rsidR="00F5004C" w:rsidRDefault="00B54573">
      <w:pPr>
        <w:pStyle w:val="BodyText"/>
        <w:numPr>
          <w:ilvl w:val="1"/>
          <w:numId w:val="85"/>
        </w:numPr>
      </w:pPr>
      <w:r>
        <w:t>D</w:t>
      </w:r>
      <w:r w:rsidR="00F5004C">
        <w:t xml:space="preserve">ata sources suitable for the </w:t>
      </w:r>
      <w:r w:rsidR="00537F8B">
        <w:t xml:space="preserve">electric thermal energy storage direct measurement </w:t>
      </w:r>
      <w:r w:rsidR="00F5004C">
        <w:t xml:space="preserve">method that will be used, including the following: </w:t>
      </w:r>
    </w:p>
    <w:p w14:paraId="53B141BF" w14:textId="70F04855" w:rsidR="00F5004C" w:rsidRDefault="00F5004C">
      <w:pPr>
        <w:pStyle w:val="BodyText"/>
        <w:numPr>
          <w:ilvl w:val="2"/>
          <w:numId w:val="85"/>
        </w:numPr>
      </w:pPr>
      <w:r>
        <w:t xml:space="preserve">measurement of the thermal energy </w:t>
      </w:r>
      <w:r w:rsidR="009445ED">
        <w:t xml:space="preserve">outputs </w:t>
      </w:r>
      <w:r w:rsidRPr="00C64FBD">
        <w:t xml:space="preserve">for the installed </w:t>
      </w:r>
      <w:r w:rsidR="009D4D40">
        <w:t>eTES:</w:t>
      </w:r>
      <w:r>
        <w:t xml:space="preserve"> and</w:t>
      </w:r>
    </w:p>
    <w:p w14:paraId="52342E0D" w14:textId="77777777" w:rsidR="00F5004C" w:rsidRDefault="00F5004C">
      <w:pPr>
        <w:pStyle w:val="BodyText"/>
        <w:numPr>
          <w:ilvl w:val="2"/>
          <w:numId w:val="85"/>
        </w:numPr>
      </w:pPr>
      <w:r>
        <w:t>electricity data collected from a meter at the premises; and</w:t>
      </w:r>
    </w:p>
    <w:p w14:paraId="256BBAC9" w14:textId="05B362E2" w:rsidR="00F63D63" w:rsidRDefault="00B7675D">
      <w:pPr>
        <w:pStyle w:val="BodyText"/>
        <w:numPr>
          <w:ilvl w:val="2"/>
          <w:numId w:val="85"/>
        </w:numPr>
      </w:pPr>
      <w:r>
        <w:t xml:space="preserve">documentation of externally purchased renewable energy </w:t>
      </w:r>
      <w:r w:rsidR="009D4D40">
        <w:t>that supplies</w:t>
      </w:r>
      <w:r>
        <w:t xml:space="preserve"> the </w:t>
      </w:r>
      <w:r w:rsidR="009D4D40">
        <w:t>eTES equipment.</w:t>
      </w:r>
      <w:r>
        <w:t xml:space="preserve"> </w:t>
      </w:r>
    </w:p>
    <w:p w14:paraId="4DC7EB4D" w14:textId="77777777" w:rsidR="00A46F2D" w:rsidRDefault="00D051E9">
      <w:pPr>
        <w:pStyle w:val="BodyText"/>
        <w:numPr>
          <w:ilvl w:val="0"/>
          <w:numId w:val="85"/>
        </w:numPr>
      </w:pPr>
      <w:r w:rsidRPr="00B94F65">
        <w:t>Evidence that calculations or analysis have been perform</w:t>
      </w:r>
      <w:r>
        <w:t>ed</w:t>
      </w:r>
      <w:r w:rsidRPr="00B94F65">
        <w:t xml:space="preserve"> to confirm that the project is suitable to use this </w:t>
      </w:r>
      <w:r>
        <w:t xml:space="preserve">specified measurement </w:t>
      </w:r>
      <w:r w:rsidRPr="00B94F65">
        <w:t>method, including</w:t>
      </w:r>
      <w:r w:rsidR="00A46F2D">
        <w:t>:</w:t>
      </w:r>
    </w:p>
    <w:p w14:paraId="6409E68B" w14:textId="6DAD939A" w:rsidR="00D051E9" w:rsidRDefault="00A46F2D" w:rsidP="00A46F2D">
      <w:pPr>
        <w:pStyle w:val="BodyText"/>
        <w:numPr>
          <w:ilvl w:val="1"/>
          <w:numId w:val="85"/>
        </w:numPr>
      </w:pPr>
      <w:r>
        <w:t>T</w:t>
      </w:r>
      <w:r w:rsidR="00D051E9" w:rsidRPr="00B94F65">
        <w:t xml:space="preserve">hat </w:t>
      </w:r>
      <w:r w:rsidR="00D051E9">
        <w:t>the activity is</w:t>
      </w:r>
      <w:r w:rsidR="00D051E9" w:rsidRPr="00B94F65">
        <w:t xml:space="preserve"> estimated to save </w:t>
      </w:r>
      <w:r w:rsidR="00D051E9" w:rsidRPr="00F83712">
        <w:t>more than 10%</w:t>
      </w:r>
      <w:r w:rsidR="00D051E9" w:rsidRPr="00B94F65">
        <w:t xml:space="preserve"> of the metered gas of the site</w:t>
      </w:r>
      <w:r>
        <w:t>; and</w:t>
      </w:r>
    </w:p>
    <w:p w14:paraId="4031E6EE" w14:textId="0FAF0B4D" w:rsidR="00A46F2D" w:rsidRPr="00B94F65" w:rsidRDefault="003646B0" w:rsidP="00A46F2D">
      <w:pPr>
        <w:pStyle w:val="BodyText"/>
        <w:numPr>
          <w:ilvl w:val="1"/>
          <w:numId w:val="85"/>
        </w:numPr>
      </w:pPr>
      <w:r>
        <w:t>Th</w:t>
      </w:r>
      <w:r w:rsidR="00007456">
        <w:t xml:space="preserve">at the expected energy use of the eTES </w:t>
      </w:r>
      <w:r w:rsidR="005707F9">
        <w:t>that will be</w:t>
      </w:r>
      <w:r w:rsidR="00E66ACE">
        <w:t xml:space="preserve"> s</w:t>
      </w:r>
      <w:r w:rsidR="00D62B68">
        <w:t>upplied</w:t>
      </w:r>
      <w:r w:rsidR="00E66ACE">
        <w:t xml:space="preserve"> by</w:t>
      </w:r>
      <w:r w:rsidR="00D62B68">
        <w:t xml:space="preserve"> 100% renewable energy consisting of</w:t>
      </w:r>
      <w:r w:rsidR="00E66ACE">
        <w:t xml:space="preserve"> </w:t>
      </w:r>
      <w:r w:rsidR="005A159C">
        <w:t xml:space="preserve">on-site </w:t>
      </w:r>
      <w:r w:rsidR="003D444F">
        <w:t>generation</w:t>
      </w:r>
      <w:r w:rsidR="00BD48E6">
        <w:t xml:space="preserve">, offsite </w:t>
      </w:r>
      <w:r w:rsidR="003D444F">
        <w:t>purchased renewable energy</w:t>
      </w:r>
      <w:r w:rsidR="00BD48E6">
        <w:t xml:space="preserve">, or a combination of both. </w:t>
      </w:r>
    </w:p>
    <w:p w14:paraId="07E05BA6" w14:textId="77777777" w:rsidR="00F5004C" w:rsidRPr="00B94F65" w:rsidRDefault="00F5004C" w:rsidP="00F5004C">
      <w:pPr>
        <w:pStyle w:val="BodyText"/>
      </w:pPr>
    </w:p>
    <w:p w14:paraId="45289B36" w14:textId="77777777" w:rsidR="00F5004C" w:rsidRDefault="00F5004C" w:rsidP="00F5004C">
      <w:pPr>
        <w:pStyle w:val="Heading2"/>
      </w:pPr>
      <w:bookmarkStart w:id="187" w:name="_Toc232605549"/>
      <w:r>
        <w:t>Methods</w:t>
      </w:r>
      <w:bookmarkEnd w:id="187"/>
    </w:p>
    <w:p w14:paraId="41D75164" w14:textId="77777777" w:rsidR="00F5004C" w:rsidRPr="00423621" w:rsidRDefault="00F5004C" w:rsidP="00F5004C">
      <w:pPr>
        <w:pStyle w:val="Heading3"/>
      </w:pPr>
      <w:r w:rsidRPr="00423621">
        <w:t>Calculation of carbon dioxide equivalents of greenhouse gases</w:t>
      </w:r>
    </w:p>
    <w:p w14:paraId="7C5A3CF2" w14:textId="3E31F249" w:rsidR="00F5004C" w:rsidRPr="009F77A4" w:rsidRDefault="00F5004C" w:rsidP="00F5004C">
      <w:pPr>
        <w:pStyle w:val="ListNumber"/>
        <w:numPr>
          <w:ilvl w:val="0"/>
          <w:numId w:val="0"/>
        </w:numPr>
        <w:jc w:val="left"/>
      </w:pPr>
      <w:r w:rsidRPr="00B94F65">
        <w:t xml:space="preserve">The carbon dioxide equivalent (in tonnes) of greenhouse gases to be reduced by undertaking a project is calculated using Equation </w:t>
      </w:r>
      <w:r w:rsidR="004D5CF1">
        <w:t>9.1</w:t>
      </w:r>
      <w:r w:rsidR="00E067D2">
        <w:t xml:space="preserve"> or 9.2</w:t>
      </w:r>
      <w:r w:rsidRPr="00B94F65">
        <w:t xml:space="preserve">, where variables are determined in accordance with section 2, this section and </w:t>
      </w:r>
      <w:r w:rsidRPr="00E37634">
        <w:rPr>
          <w:i/>
        </w:rPr>
        <w:t>Accounting For COVID-19 Under VEU (2021)</w:t>
      </w:r>
      <w:r w:rsidRPr="00B94F65">
        <w:t xml:space="preserve"> where applicable.</w:t>
      </w:r>
    </w:p>
    <w:p w14:paraId="4F8AB3C9" w14:textId="77777777" w:rsidR="00F5004C" w:rsidRDefault="00F5004C" w:rsidP="00F5004C">
      <w:pPr>
        <w:pStyle w:val="Heading3"/>
      </w:pPr>
      <w:r>
        <w:t>Carbon dioxide equivalent to be reduced</w:t>
      </w:r>
    </w:p>
    <w:p w14:paraId="7DB362EC" w14:textId="77777777" w:rsidR="005D745E" w:rsidRDefault="005D745E" w:rsidP="005D745E">
      <w:pPr>
        <w:pStyle w:val="BodyText"/>
      </w:pPr>
    </w:p>
    <w:p w14:paraId="1720027C" w14:textId="1723C3A2" w:rsidR="00F5004C" w:rsidRPr="00D34D72" w:rsidRDefault="00F5004C" w:rsidP="00F5004C">
      <w:pPr>
        <w:pStyle w:val="CaptionImageorFigure"/>
      </w:pPr>
      <w:r>
        <w:t xml:space="preserve">Equation </w:t>
      </w:r>
      <w:r w:rsidR="00EA2415">
        <w:t>9</w:t>
      </w:r>
      <w:r>
        <w:t>.1</w:t>
      </w:r>
      <w:r w:rsidR="003F00E8" w:rsidRPr="003F00E8">
        <w:t xml:space="preserve"> </w:t>
      </w:r>
      <w:r w:rsidR="003F00E8">
        <w:t>Forward creation with externally sourced renewable energy</w:t>
      </w:r>
    </w:p>
    <w:p w14:paraId="420C0811" w14:textId="77DEAEC8" w:rsidR="00F5004C" w:rsidRPr="00C56BB8" w:rsidRDefault="00F5004C" w:rsidP="00F5004C">
      <w:pPr>
        <w:pStyle w:val="BodyText"/>
        <w:ind w:left="567"/>
        <w:rPr>
          <w:rFonts w:cs="Arial"/>
          <w:sz w:val="24"/>
        </w:rPr>
      </w:pPr>
      <m:oMathPara>
        <m:oMath>
          <m:r>
            <w:rPr>
              <w:rFonts w:ascii="Cambria Math" w:hAnsi="Cambria Math"/>
              <w:sz w:val="24"/>
            </w:rPr>
            <m:t xml:space="preserve">carbon dioxide equivalent= </m:t>
          </m:r>
          <m:nary>
            <m:naryPr>
              <m:chr m:val="∑"/>
              <m:limLoc m:val="subSup"/>
              <m:supHide m:val="1"/>
              <m:ctrlPr>
                <w:rPr>
                  <w:rFonts w:ascii="Cambria Math" w:hAnsi="Cambria Math" w:cstheme="minorHAnsi"/>
                  <w:i/>
                  <w:sz w:val="24"/>
                  <w:szCs w:val="24"/>
                </w:rPr>
              </m:ctrlPr>
            </m:naryPr>
            <m:sub>
              <m:r>
                <w:rPr>
                  <w:rFonts w:ascii="Cambria Math" w:hAnsi="Cambria Math" w:cstheme="minorHAnsi"/>
                  <w:sz w:val="24"/>
                  <w:szCs w:val="24"/>
                </w:rPr>
                <m:t>j</m:t>
              </m:r>
            </m:sub>
            <m:sup/>
            <m:e>
              <m:d>
                <m:dPr>
                  <m:ctrlPr>
                    <w:rPr>
                      <w:rFonts w:ascii="Cambria Math" w:hAnsi="Cambria Math" w:cstheme="minorHAnsi"/>
                      <w:i/>
                      <w:sz w:val="24"/>
                      <w:szCs w:val="24"/>
                    </w:rPr>
                  </m:ctrlPr>
                </m:dPr>
                <m:e>
                  <m:r>
                    <w:rPr>
                      <w:rFonts w:ascii="Cambria Math" w:hAnsi="Cambria Math"/>
                      <w:sz w:val="24"/>
                    </w:rPr>
                    <m:t xml:space="preserve">  </m:t>
                  </m:r>
                  <m:sSub>
                    <m:sSubPr>
                      <m:ctrlPr>
                        <w:rPr>
                          <w:rFonts w:ascii="Cambria Math" w:hAnsi="Cambria Math" w:cstheme="minorHAnsi"/>
                          <w:i/>
                          <w:sz w:val="24"/>
                          <w:szCs w:val="24"/>
                        </w:rPr>
                      </m:ctrlPr>
                    </m:sSubPr>
                    <m:e>
                      <m:r>
                        <w:rPr>
                          <w:rFonts w:ascii="Cambria Math" w:hAnsi="Cambria Math"/>
                          <w:sz w:val="24"/>
                        </w:rPr>
                        <m:t>avoided emissions</m:t>
                      </m:r>
                    </m:e>
                    <m:sub>
                      <m:r>
                        <w:rPr>
                          <w:rFonts w:ascii="Cambria Math" w:hAnsi="Cambria Math" w:cstheme="minorHAnsi"/>
                          <w:sz w:val="24"/>
                          <w:szCs w:val="24"/>
                        </w:rPr>
                        <m:t>j</m:t>
                      </m:r>
                    </m:sub>
                  </m:sSub>
                  <m:r>
                    <w:rPr>
                      <w:rFonts w:ascii="Cambria Math" w:hAnsi="Cambria Math"/>
                      <w:sz w:val="24"/>
                    </w:rPr>
                    <m:t xml:space="preserve"> ×</m:t>
                  </m:r>
                  <m:sSub>
                    <m:sSubPr>
                      <m:ctrlPr>
                        <w:rPr>
                          <w:rFonts w:ascii="Cambria Math" w:hAnsi="Cambria Math"/>
                          <w:i/>
                          <w:sz w:val="24"/>
                        </w:rPr>
                      </m:ctrlPr>
                    </m:sSubPr>
                    <m:e>
                      <m:r>
                        <w:rPr>
                          <w:rFonts w:ascii="Cambria Math" w:hAnsi="Cambria Math"/>
                          <w:sz w:val="24"/>
                        </w:rPr>
                        <m:t>PF</m:t>
                      </m:r>
                    </m:e>
                    <m:sub>
                      <m:r>
                        <w:rPr>
                          <w:rFonts w:ascii="Cambria Math" w:hAnsi="Cambria Math"/>
                          <w:sz w:val="24"/>
                        </w:rPr>
                        <m:t>j</m:t>
                      </m:r>
                    </m:sub>
                  </m:sSub>
                  <m:r>
                    <w:rPr>
                      <w:rFonts w:ascii="Cambria Math" w:hAnsi="Cambria Math" w:cstheme="minorHAnsi"/>
                      <w:sz w:val="24"/>
                      <w:szCs w:val="24"/>
                    </w:rPr>
                    <m:t>×Lifetime</m:t>
                  </m:r>
                </m:e>
              </m:d>
              <m:r>
                <w:rPr>
                  <w:rFonts w:ascii="Cambria Math" w:hAnsi="Cambria Math" w:cstheme="minorHAnsi"/>
                  <w:sz w:val="24"/>
                  <w:szCs w:val="24"/>
                </w:rPr>
                <m:t>-counted savings</m:t>
              </m:r>
            </m:e>
          </m:nary>
        </m:oMath>
      </m:oMathPara>
    </w:p>
    <w:p w14:paraId="629E56C8" w14:textId="77777777" w:rsidR="00F5004C" w:rsidRDefault="00F5004C" w:rsidP="00F5004C">
      <w:pPr>
        <w:pStyle w:val="BodyText"/>
      </w:pPr>
      <w:r>
        <w:t>where:</w:t>
      </w:r>
    </w:p>
    <w:p w14:paraId="6F7411FE" w14:textId="77777777" w:rsidR="00F5004C" w:rsidRDefault="00F5004C">
      <w:pPr>
        <w:pStyle w:val="ListNumber2"/>
        <w:numPr>
          <w:ilvl w:val="0"/>
          <w:numId w:val="90"/>
        </w:numPr>
        <w:jc w:val="left"/>
      </w:pPr>
      <m:oMath>
        <m:r>
          <w:rPr>
            <w:rFonts w:ascii="Cambria Math" w:hAnsi="Cambria Math"/>
          </w:rPr>
          <m:t>j</m:t>
        </m:r>
      </m:oMath>
      <w:r>
        <w:t xml:space="preserve"> is the measurement boundary number in the case that there are multiple measurement boundaries under one project;</w:t>
      </w:r>
    </w:p>
    <w:p w14:paraId="52E32739" w14:textId="64114B0B" w:rsidR="00F5004C" w:rsidRPr="00952A87" w:rsidRDefault="00000000">
      <w:pPr>
        <w:pStyle w:val="ListNumber2"/>
        <w:numPr>
          <w:ilvl w:val="0"/>
          <w:numId w:val="90"/>
        </w:numPr>
        <w:jc w:val="left"/>
      </w:pPr>
      <m:oMath>
        <m:sSub>
          <m:sSubPr>
            <m:ctrlPr>
              <w:rPr>
                <w:rFonts w:ascii="Cambria Math" w:hAnsi="Cambria Math" w:cstheme="minorHAnsi"/>
                <w:i/>
                <w:sz w:val="24"/>
                <w:szCs w:val="24"/>
              </w:rPr>
            </m:ctrlPr>
          </m:sSubPr>
          <m:e>
            <m:r>
              <w:rPr>
                <w:rFonts w:ascii="Cambria Math" w:hAnsi="Cambria Math"/>
                <w:sz w:val="24"/>
              </w:rPr>
              <m:t>avoided emissions</m:t>
            </m:r>
          </m:e>
          <m:sub>
            <m:r>
              <w:rPr>
                <w:rFonts w:ascii="Cambria Math" w:hAnsi="Cambria Math" w:cstheme="minorHAnsi"/>
                <w:sz w:val="24"/>
                <w:szCs w:val="24"/>
              </w:rPr>
              <m:t>j</m:t>
            </m:r>
          </m:sub>
        </m:sSub>
      </m:oMath>
      <w:r w:rsidR="00F5004C">
        <w:t xml:space="preserve"> is</w:t>
      </w:r>
      <w:r w:rsidR="00F5004C" w:rsidDel="00D20F33">
        <w:t xml:space="preserve"> </w:t>
      </w:r>
      <w:r w:rsidR="00F5004C">
        <w:t xml:space="preserve">calculated as per </w:t>
      </w:r>
      <w:r w:rsidR="00F5004C" w:rsidRPr="00952A87">
        <w:t xml:space="preserve">equation </w:t>
      </w:r>
      <w:r w:rsidR="00157EC5" w:rsidRPr="00952A87">
        <w:t>9</w:t>
      </w:r>
      <w:r w:rsidR="00F5004C" w:rsidRPr="00952A87">
        <w:t>.</w:t>
      </w:r>
      <w:r w:rsidR="00E067D2" w:rsidRPr="00952A87">
        <w:t xml:space="preserve">3 </w:t>
      </w:r>
      <w:r w:rsidR="007D295C" w:rsidRPr="00952A87">
        <w:t>or 9.</w:t>
      </w:r>
      <w:r w:rsidR="00E067D2" w:rsidRPr="00952A87">
        <w:t>4</w:t>
      </w:r>
      <w:r w:rsidR="00F5004C" w:rsidRPr="00952A87">
        <w:t>;</w:t>
      </w:r>
    </w:p>
    <w:p w14:paraId="6F64898D" w14:textId="6181C90A" w:rsidR="00F5004C" w:rsidRPr="00952A87" w:rsidRDefault="00000000">
      <w:pPr>
        <w:pStyle w:val="ListNumber2"/>
        <w:numPr>
          <w:ilvl w:val="0"/>
          <w:numId w:val="90"/>
        </w:numPr>
        <w:jc w:val="left"/>
      </w:pPr>
      <m:oMath>
        <m:sSub>
          <m:sSubPr>
            <m:ctrlPr>
              <w:rPr>
                <w:rFonts w:ascii="Cambria Math" w:hAnsi="Cambria Math"/>
                <w:i/>
                <w:sz w:val="24"/>
              </w:rPr>
            </m:ctrlPr>
          </m:sSubPr>
          <m:e>
            <m:r>
              <w:rPr>
                <w:rFonts w:ascii="Cambria Math" w:hAnsi="Cambria Math"/>
                <w:sz w:val="24"/>
              </w:rPr>
              <m:t>PF</m:t>
            </m:r>
          </m:e>
          <m:sub>
            <m:r>
              <w:rPr>
                <w:rFonts w:ascii="Cambria Math" w:hAnsi="Cambria Math"/>
                <w:sz w:val="24"/>
              </w:rPr>
              <m:t>j</m:t>
            </m:r>
          </m:sub>
        </m:sSub>
      </m:oMath>
      <w:r w:rsidR="00F5004C" w:rsidRPr="00952A87">
        <w:rPr>
          <w:iCs/>
        </w:rPr>
        <w:t xml:space="preserve"> is the persistence factor as provided for in Table </w:t>
      </w:r>
      <w:r w:rsidR="00032409" w:rsidRPr="00952A87">
        <w:t>9</w:t>
      </w:r>
      <w:r w:rsidR="00F5004C" w:rsidRPr="00952A87">
        <w:t>.</w:t>
      </w:r>
      <w:r w:rsidR="00F71B59" w:rsidRPr="00952A87">
        <w:t>1</w:t>
      </w:r>
      <w:r w:rsidR="00F5004C" w:rsidRPr="00952A87">
        <w:t>;</w:t>
      </w:r>
      <w:r w:rsidR="00E53EF8" w:rsidRPr="00952A87">
        <w:rPr>
          <w:iCs/>
        </w:rPr>
        <w:t xml:space="preserve"> </w:t>
      </w:r>
    </w:p>
    <w:p w14:paraId="3770976F" w14:textId="3FE48B18" w:rsidR="009C17A1" w:rsidRPr="00952A87" w:rsidRDefault="000015E4">
      <w:pPr>
        <w:pStyle w:val="ListNumber2"/>
        <w:numPr>
          <w:ilvl w:val="0"/>
          <w:numId w:val="90"/>
        </w:numPr>
        <w:jc w:val="left"/>
      </w:pPr>
      <m:oMath>
        <m:r>
          <w:rPr>
            <w:rFonts w:ascii="Cambria Math" w:hAnsi="Cambria Math"/>
          </w:rPr>
          <w:lastRenderedPageBreak/>
          <m:t>Lifetime</m:t>
        </m:r>
      </m:oMath>
      <w:r w:rsidR="005D5BE7" w:rsidRPr="00952A87">
        <w:t xml:space="preserve"> is expected lifetime </w:t>
      </w:r>
      <w:r w:rsidR="00F71B59" w:rsidRPr="00952A87">
        <w:rPr>
          <w:iCs/>
        </w:rPr>
        <w:t xml:space="preserve">as provided for in Table </w:t>
      </w:r>
      <w:r w:rsidR="00032409" w:rsidRPr="00952A87">
        <w:t>9</w:t>
      </w:r>
      <w:r w:rsidR="00F71B59" w:rsidRPr="00952A87">
        <w:t>.</w:t>
      </w:r>
      <w:r w:rsidR="00916BDE" w:rsidRPr="00952A87">
        <w:rPr>
          <w:iCs/>
        </w:rPr>
        <w:t>2</w:t>
      </w:r>
    </w:p>
    <w:p w14:paraId="78E4C57B" w14:textId="71DDB17A" w:rsidR="009D4943" w:rsidRPr="00952A87" w:rsidRDefault="009D4943">
      <w:pPr>
        <w:pStyle w:val="ListNumber2"/>
        <w:numPr>
          <w:ilvl w:val="0"/>
          <w:numId w:val="90"/>
        </w:numPr>
        <w:jc w:val="left"/>
      </w:pPr>
      <w:r w:rsidRPr="00952A87">
        <w:rPr>
          <w:i/>
          <w:iCs/>
        </w:rPr>
        <w:t>counted savings</w:t>
      </w:r>
      <w:r w:rsidRPr="00952A87">
        <w:t xml:space="preserve"> is a variable determined in accordance with section 2.</w:t>
      </w:r>
    </w:p>
    <w:p w14:paraId="308BB3B5" w14:textId="77777777" w:rsidR="00506261" w:rsidRPr="00952A87" w:rsidRDefault="00506261" w:rsidP="00506261">
      <w:pPr>
        <w:pStyle w:val="CaptionImageorFigure"/>
      </w:pPr>
      <w:r w:rsidRPr="00952A87">
        <w:t>Equation 9.2 Annual creation with externally sourced renewable energy</w:t>
      </w:r>
    </w:p>
    <w:p w14:paraId="7A79E5FD" w14:textId="77777777" w:rsidR="00506261" w:rsidRPr="00952A87" w:rsidRDefault="00001628" w:rsidP="00506261">
      <w:pPr>
        <w:pStyle w:val="BodyText"/>
        <w:ind w:left="567"/>
        <w:rPr>
          <w:rFonts w:cs="Arial"/>
          <w:sz w:val="24"/>
        </w:rPr>
      </w:pPr>
      <m:oMathPara>
        <m:oMath>
          <m:r>
            <w:rPr>
              <w:rFonts w:ascii="Cambria Math" w:hAnsi="Cambria Math"/>
              <w:sz w:val="24"/>
            </w:rPr>
            <m:t xml:space="preserve">carbon dioxide equivalent= </m:t>
          </m:r>
          <m:nary>
            <m:naryPr>
              <m:chr m:val="∑"/>
              <m:limLoc m:val="subSup"/>
              <m:supHide m:val="1"/>
              <m:ctrlPr>
                <w:rPr>
                  <w:rFonts w:ascii="Cambria Math" w:hAnsi="Cambria Math" w:cstheme="minorHAnsi"/>
                  <w:i/>
                  <w:sz w:val="24"/>
                  <w:szCs w:val="24"/>
                </w:rPr>
              </m:ctrlPr>
            </m:naryPr>
            <m:sub>
              <m:r>
                <w:rPr>
                  <w:rFonts w:ascii="Cambria Math" w:hAnsi="Cambria Math" w:cstheme="minorHAnsi"/>
                  <w:sz w:val="24"/>
                  <w:szCs w:val="24"/>
                </w:rPr>
                <m:t>j</m:t>
              </m:r>
            </m:sub>
            <m:sup/>
            <m:e>
              <m:d>
                <m:dPr>
                  <m:ctrlPr>
                    <w:rPr>
                      <w:rFonts w:ascii="Cambria Math" w:hAnsi="Cambria Math" w:cstheme="minorHAnsi"/>
                      <w:i/>
                      <w:sz w:val="24"/>
                      <w:szCs w:val="24"/>
                    </w:rPr>
                  </m:ctrlPr>
                </m:dPr>
                <m:e>
                  <m:r>
                    <w:rPr>
                      <w:rFonts w:ascii="Cambria Math" w:hAnsi="Cambria Math"/>
                      <w:sz w:val="24"/>
                    </w:rPr>
                    <m:t xml:space="preserve">  </m:t>
                  </m:r>
                  <m:sSub>
                    <m:sSubPr>
                      <m:ctrlPr>
                        <w:rPr>
                          <w:rFonts w:ascii="Cambria Math" w:hAnsi="Cambria Math" w:cstheme="minorHAnsi"/>
                          <w:i/>
                          <w:sz w:val="24"/>
                          <w:szCs w:val="24"/>
                        </w:rPr>
                      </m:ctrlPr>
                    </m:sSubPr>
                    <m:e>
                      <m:r>
                        <w:rPr>
                          <w:rFonts w:ascii="Cambria Math" w:hAnsi="Cambria Math"/>
                          <w:sz w:val="24"/>
                        </w:rPr>
                        <m:t>avoided emissions</m:t>
                      </m:r>
                    </m:e>
                    <m:sub>
                      <m:r>
                        <w:rPr>
                          <w:rFonts w:ascii="Cambria Math" w:hAnsi="Cambria Math" w:cstheme="minorHAnsi"/>
                          <w:sz w:val="24"/>
                          <w:szCs w:val="24"/>
                        </w:rPr>
                        <m:t>j</m:t>
                      </m:r>
                    </m:sub>
                  </m:sSub>
                  <m:r>
                    <w:rPr>
                      <w:rFonts w:ascii="Cambria Math" w:hAnsi="Cambria Math"/>
                      <w:sz w:val="24"/>
                    </w:rPr>
                    <m:t xml:space="preserve"> ×</m:t>
                  </m:r>
                  <m:sSub>
                    <m:sSubPr>
                      <m:ctrlPr>
                        <w:rPr>
                          <w:rFonts w:ascii="Cambria Math" w:hAnsi="Cambria Math"/>
                          <w:i/>
                          <w:sz w:val="24"/>
                        </w:rPr>
                      </m:ctrlPr>
                    </m:sSubPr>
                    <m:e>
                      <m:r>
                        <w:rPr>
                          <w:rFonts w:ascii="Cambria Math" w:hAnsi="Cambria Math"/>
                          <w:sz w:val="24"/>
                        </w:rPr>
                        <m:t>PF</m:t>
                      </m:r>
                    </m:e>
                    <m:sub>
                      <m:r>
                        <w:rPr>
                          <w:rFonts w:ascii="Cambria Math" w:hAnsi="Cambria Math"/>
                          <w:sz w:val="24"/>
                        </w:rPr>
                        <m:t>j</m:t>
                      </m:r>
                    </m:sub>
                  </m:sSub>
                </m:e>
              </m:d>
              <m:r>
                <w:rPr>
                  <w:rFonts w:ascii="Cambria Math" w:hAnsi="Cambria Math" w:cstheme="minorHAnsi"/>
                  <w:sz w:val="24"/>
                  <w:szCs w:val="24"/>
                </w:rPr>
                <m:t>-counted savings</m:t>
              </m:r>
            </m:e>
          </m:nary>
        </m:oMath>
      </m:oMathPara>
    </w:p>
    <w:p w14:paraId="317926CD" w14:textId="77777777" w:rsidR="00506261" w:rsidRPr="00952A87" w:rsidRDefault="00506261" w:rsidP="00506261">
      <w:pPr>
        <w:pStyle w:val="BodyText"/>
      </w:pPr>
      <w:r w:rsidRPr="00952A87">
        <w:t>where:</w:t>
      </w:r>
    </w:p>
    <w:p w14:paraId="0FD2651C" w14:textId="77777777" w:rsidR="00506261" w:rsidRPr="00952A87" w:rsidRDefault="00001628">
      <w:pPr>
        <w:pStyle w:val="ListNumber2"/>
        <w:numPr>
          <w:ilvl w:val="0"/>
          <w:numId w:val="95"/>
        </w:numPr>
        <w:jc w:val="left"/>
      </w:pPr>
      <m:oMath>
        <m:r>
          <w:rPr>
            <w:rFonts w:ascii="Cambria Math" w:hAnsi="Cambria Math"/>
          </w:rPr>
          <m:t>j</m:t>
        </m:r>
      </m:oMath>
      <w:r w:rsidR="00506261" w:rsidRPr="00952A87">
        <w:t xml:space="preserve"> is the measurement boundary number in the case that there are multiple measurement boundaries under one project;</w:t>
      </w:r>
    </w:p>
    <w:p w14:paraId="157DA676" w14:textId="3AACD74C" w:rsidR="00506261" w:rsidRPr="00952A87" w:rsidRDefault="00000000">
      <w:pPr>
        <w:pStyle w:val="ListNumber2"/>
        <w:numPr>
          <w:ilvl w:val="0"/>
          <w:numId w:val="95"/>
        </w:numPr>
        <w:jc w:val="left"/>
      </w:pPr>
      <m:oMath>
        <m:sSub>
          <m:sSubPr>
            <m:ctrlPr>
              <w:rPr>
                <w:rFonts w:ascii="Cambria Math" w:hAnsi="Cambria Math" w:cstheme="minorHAnsi"/>
                <w:i/>
                <w:sz w:val="24"/>
                <w:szCs w:val="24"/>
              </w:rPr>
            </m:ctrlPr>
          </m:sSubPr>
          <m:e>
            <m:r>
              <w:rPr>
                <w:rFonts w:ascii="Cambria Math" w:hAnsi="Cambria Math"/>
                <w:sz w:val="24"/>
              </w:rPr>
              <m:t>avoided emissions</m:t>
            </m:r>
          </m:e>
          <m:sub>
            <m:r>
              <w:rPr>
                <w:rFonts w:ascii="Cambria Math" w:hAnsi="Cambria Math" w:cstheme="minorHAnsi"/>
                <w:sz w:val="24"/>
                <w:szCs w:val="24"/>
              </w:rPr>
              <m:t>j</m:t>
            </m:r>
          </m:sub>
        </m:sSub>
      </m:oMath>
      <w:r w:rsidR="00506261" w:rsidRPr="00952A87">
        <w:t xml:space="preserve"> is</w:t>
      </w:r>
      <w:r w:rsidR="00506261" w:rsidRPr="00952A87" w:rsidDel="00D20F33">
        <w:t xml:space="preserve"> </w:t>
      </w:r>
      <w:r w:rsidR="00506261" w:rsidRPr="00952A87">
        <w:t>calculated as per equation 9.</w:t>
      </w:r>
      <w:r w:rsidR="00E067D2" w:rsidRPr="00952A87">
        <w:t>3</w:t>
      </w:r>
      <w:r w:rsidR="00506261" w:rsidRPr="00952A87">
        <w:t xml:space="preserve"> or 9.</w:t>
      </w:r>
      <w:r w:rsidR="00E067D2" w:rsidRPr="00952A87">
        <w:t>4</w:t>
      </w:r>
      <w:r w:rsidR="00506261" w:rsidRPr="00952A87">
        <w:t>;</w:t>
      </w:r>
    </w:p>
    <w:p w14:paraId="1067B4B1" w14:textId="141CAAEA" w:rsidR="00506261" w:rsidRPr="00952A87" w:rsidRDefault="00000000">
      <w:pPr>
        <w:pStyle w:val="ListNumber2"/>
        <w:numPr>
          <w:ilvl w:val="0"/>
          <w:numId w:val="95"/>
        </w:numPr>
        <w:jc w:val="left"/>
      </w:pPr>
      <m:oMath>
        <m:sSub>
          <m:sSubPr>
            <m:ctrlPr>
              <w:rPr>
                <w:rFonts w:ascii="Cambria Math" w:hAnsi="Cambria Math"/>
                <w:i/>
                <w:sz w:val="24"/>
              </w:rPr>
            </m:ctrlPr>
          </m:sSubPr>
          <m:e>
            <m:r>
              <w:rPr>
                <w:rFonts w:ascii="Cambria Math" w:hAnsi="Cambria Math"/>
                <w:sz w:val="24"/>
              </w:rPr>
              <m:t>PF</m:t>
            </m:r>
          </m:e>
          <m:sub>
            <m:r>
              <w:rPr>
                <w:rFonts w:ascii="Cambria Math" w:hAnsi="Cambria Math"/>
                <w:sz w:val="24"/>
              </w:rPr>
              <m:t>j</m:t>
            </m:r>
          </m:sub>
        </m:sSub>
      </m:oMath>
      <w:r w:rsidR="00506261" w:rsidRPr="00952A87">
        <w:rPr>
          <w:iCs/>
        </w:rPr>
        <w:t xml:space="preserve">is the persistence factor as provided for in Table </w:t>
      </w:r>
      <w:r w:rsidR="00506261" w:rsidRPr="00952A87">
        <w:t>9.1;</w:t>
      </w:r>
      <w:r w:rsidR="00506261" w:rsidRPr="00952A87">
        <w:rPr>
          <w:iCs/>
        </w:rPr>
        <w:t xml:space="preserve"> </w:t>
      </w:r>
    </w:p>
    <w:p w14:paraId="758BAA23" w14:textId="77777777" w:rsidR="00506261" w:rsidRDefault="00506261">
      <w:pPr>
        <w:pStyle w:val="ListNumber2"/>
        <w:numPr>
          <w:ilvl w:val="0"/>
          <w:numId w:val="95"/>
        </w:numPr>
        <w:jc w:val="left"/>
      </w:pPr>
      <w:r w:rsidRPr="00F83712">
        <w:rPr>
          <w:i/>
          <w:iCs/>
        </w:rPr>
        <w:t>counted savings</w:t>
      </w:r>
      <w:r>
        <w:t xml:space="preserve"> is </w:t>
      </w:r>
      <w:r w:rsidRPr="00A21848">
        <w:t>a variable determined in accordance with section</w:t>
      </w:r>
      <w:r>
        <w:t xml:space="preserve"> 2.</w:t>
      </w:r>
    </w:p>
    <w:p w14:paraId="54AA2EAE" w14:textId="77777777" w:rsidR="00506261" w:rsidRDefault="00506261" w:rsidP="00E37634">
      <w:pPr>
        <w:pStyle w:val="ListNumber2"/>
        <w:jc w:val="left"/>
      </w:pPr>
    </w:p>
    <w:p w14:paraId="28FB3A21" w14:textId="77777777" w:rsidR="00F5004C" w:rsidRDefault="00F5004C" w:rsidP="00F5004C">
      <w:pPr>
        <w:pStyle w:val="Heading3"/>
      </w:pPr>
      <w:r>
        <w:t xml:space="preserve">Direct measurement savings </w:t>
      </w:r>
    </w:p>
    <w:p w14:paraId="28049A87" w14:textId="77777777" w:rsidR="007D295C" w:rsidRDefault="007D295C" w:rsidP="007D295C">
      <w:pPr>
        <w:pStyle w:val="CaptionImageorFigure"/>
        <w:rPr>
          <w:rFonts w:eastAsiaTheme="majorEastAsia"/>
        </w:rPr>
      </w:pPr>
    </w:p>
    <w:p w14:paraId="5D0B2C81" w14:textId="3DB8E02D" w:rsidR="007D295C" w:rsidRPr="004F6341" w:rsidRDefault="007D295C" w:rsidP="007D295C">
      <w:pPr>
        <w:pStyle w:val="CaptionImageorFigure"/>
      </w:pPr>
      <w:r w:rsidRPr="004F6341">
        <w:rPr>
          <w:rFonts w:eastAsiaTheme="majorEastAsia"/>
        </w:rPr>
        <w:t>Equation 9.</w:t>
      </w:r>
      <w:r w:rsidR="0087770F">
        <w:t xml:space="preserve">3 </w:t>
      </w:r>
      <w:r w:rsidR="002726F9">
        <w:t>Avoided emissions for direct electricity measurement</w:t>
      </w:r>
    </w:p>
    <w:p w14:paraId="18E3D0CE" w14:textId="77777777" w:rsidR="00F15D53" w:rsidRPr="00F15D53" w:rsidRDefault="00F15D53" w:rsidP="004F6341">
      <w:pPr>
        <w:pStyle w:val="BodyText"/>
      </w:pPr>
    </w:p>
    <w:p w14:paraId="65A16F9B" w14:textId="7532FFD6" w:rsidR="00D96AB6" w:rsidRPr="00F72554" w:rsidRDefault="00F72554" w:rsidP="00F5004C">
      <w:pPr>
        <w:pStyle w:val="CaptionImageorFigure"/>
        <w:rPr>
          <w:rFonts w:eastAsiaTheme="majorEastAsia"/>
          <w:b w:val="0"/>
          <w:bCs w:val="0"/>
          <w:sz w:val="24"/>
          <w:szCs w:val="24"/>
        </w:rPr>
      </w:pPr>
      <m:oMathPara>
        <m:oMath>
          <m:r>
            <m:rPr>
              <m:sty m:val="bi"/>
            </m:rPr>
            <w:rPr>
              <w:rFonts w:ascii="Cambria Math" w:hAnsi="Cambria Math"/>
              <w:sz w:val="24"/>
              <w:szCs w:val="24"/>
            </w:rPr>
            <m:t>Avoided emissions=</m:t>
          </m:r>
          <m:nary>
            <m:naryPr>
              <m:chr m:val="∑"/>
              <m:limLoc m:val="subSup"/>
              <m:supHide m:val="1"/>
              <m:ctrlPr>
                <w:rPr>
                  <w:rFonts w:ascii="Cambria Math" w:hAnsi="Cambria Math"/>
                  <w:b w:val="0"/>
                  <w:bCs w:val="0"/>
                  <w:i/>
                  <w:sz w:val="24"/>
                  <w:szCs w:val="24"/>
                </w:rPr>
              </m:ctrlPr>
            </m:naryPr>
            <m:sub>
              <m:r>
                <m:rPr>
                  <m:sty m:val="bi"/>
                </m:rPr>
                <w:rPr>
                  <w:rFonts w:ascii="Cambria Math" w:hAnsi="Cambria Math"/>
                  <w:sz w:val="24"/>
                  <w:szCs w:val="24"/>
                </w:rPr>
                <m:t>t</m:t>
              </m:r>
            </m:sub>
            <m:sup/>
            <m:e>
              <m:d>
                <m:dPr>
                  <m:ctrlPr>
                    <w:rPr>
                      <w:rFonts w:ascii="Cambria Math" w:hAnsi="Cambria Math"/>
                      <w:b w:val="0"/>
                      <w:bCs w:val="0"/>
                      <w:i/>
                      <w:sz w:val="24"/>
                      <w:szCs w:val="24"/>
                    </w:rPr>
                  </m:ctrlPr>
                </m:dPr>
                <m:e>
                  <m:r>
                    <m:rPr>
                      <m:sty m:val="bi"/>
                    </m:rPr>
                    <w:rPr>
                      <w:rFonts w:ascii="Cambria Math" w:hAnsi="Cambria Math"/>
                      <w:sz w:val="24"/>
                      <w:szCs w:val="24"/>
                    </w:rPr>
                    <m:t xml:space="preserve">ɳ × </m:t>
                  </m:r>
                  <m:sSub>
                    <m:sSubPr>
                      <m:ctrlPr>
                        <w:rPr>
                          <w:rFonts w:ascii="Cambria Math" w:hAnsi="Cambria Math"/>
                          <w:b w:val="0"/>
                          <w:bCs w:val="0"/>
                          <w:i/>
                          <w:sz w:val="24"/>
                          <w:szCs w:val="24"/>
                        </w:rPr>
                      </m:ctrlPr>
                    </m:sSubPr>
                    <m:e>
                      <m:r>
                        <m:rPr>
                          <m:sty m:val="bi"/>
                        </m:rPr>
                        <w:rPr>
                          <w:rFonts w:ascii="Cambria Math" w:hAnsi="Cambria Math"/>
                          <w:sz w:val="24"/>
                          <w:szCs w:val="24"/>
                        </w:rPr>
                        <m:t xml:space="preserve"> E</m:t>
                      </m:r>
                    </m:e>
                    <m:sub>
                      <m:r>
                        <m:rPr>
                          <m:sty m:val="bi"/>
                        </m:rPr>
                        <w:rPr>
                          <w:rFonts w:ascii="Cambria Math" w:hAnsi="Cambria Math"/>
                          <w:sz w:val="24"/>
                          <w:szCs w:val="24"/>
                        </w:rPr>
                        <m:t>e,t</m:t>
                      </m:r>
                    </m:sub>
                  </m:sSub>
                  <m:r>
                    <m:rPr>
                      <m:sty m:val="bi"/>
                    </m:rPr>
                    <w:rPr>
                      <w:rFonts w:ascii="Cambria Math" w:hAnsi="Cambria Math"/>
                      <w:sz w:val="24"/>
                      <w:szCs w:val="24"/>
                    </w:rPr>
                    <m:t xml:space="preserve"> [ </m:t>
                  </m:r>
                  <m:f>
                    <m:fPr>
                      <m:ctrlPr>
                        <w:rPr>
                          <w:rFonts w:ascii="Cambria Math" w:hAnsi="Cambria Math"/>
                          <w:b w:val="0"/>
                          <w:bCs w:val="0"/>
                          <w:i/>
                          <w:sz w:val="24"/>
                          <w:szCs w:val="24"/>
                        </w:rPr>
                      </m:ctrlPr>
                    </m:fPr>
                    <m:num>
                      <m:r>
                        <m:rPr>
                          <m:sty m:val="bi"/>
                        </m:rPr>
                        <w:rPr>
                          <w:rFonts w:ascii="Cambria Math" w:hAnsi="Cambria Math"/>
                          <w:sz w:val="24"/>
                          <w:szCs w:val="24"/>
                        </w:rPr>
                        <m:t>1</m:t>
                      </m:r>
                    </m:num>
                    <m:den>
                      <m:r>
                        <m:rPr>
                          <m:sty m:val="bi"/>
                        </m:rPr>
                        <w:rPr>
                          <w:rFonts w:ascii="Cambria Math" w:hAnsi="Cambria Math"/>
                          <w:sz w:val="24"/>
                          <w:szCs w:val="24"/>
                        </w:rPr>
                        <m:t>B</m:t>
                      </m:r>
                    </m:den>
                  </m:f>
                  <m:r>
                    <m:rPr>
                      <m:sty m:val="bi"/>
                    </m:rPr>
                    <w:rPr>
                      <w:rFonts w:ascii="Cambria Math" w:hAnsi="Cambria Math"/>
                      <w:sz w:val="24"/>
                      <w:szCs w:val="24"/>
                    </w:rPr>
                    <m:t>×</m:t>
                  </m:r>
                  <m:sSub>
                    <m:sSubPr>
                      <m:ctrlPr>
                        <w:rPr>
                          <w:rFonts w:ascii="Cambria Math" w:hAnsi="Cambria Math"/>
                          <w:b w:val="0"/>
                          <w:bCs w:val="0"/>
                          <w:i/>
                          <w:sz w:val="24"/>
                          <w:szCs w:val="24"/>
                        </w:rPr>
                      </m:ctrlPr>
                    </m:sSubPr>
                    <m:e>
                      <m:r>
                        <m:rPr>
                          <m:sty m:val="bi"/>
                        </m:rPr>
                        <w:rPr>
                          <w:rFonts w:ascii="Cambria Math" w:hAnsi="Cambria Math"/>
                          <w:sz w:val="24"/>
                          <w:szCs w:val="24"/>
                        </w:rPr>
                        <m:t>EF</m:t>
                      </m:r>
                    </m:e>
                    <m:sub>
                      <m:r>
                        <m:rPr>
                          <m:sty m:val="bi"/>
                        </m:rPr>
                        <w:rPr>
                          <w:rFonts w:ascii="Cambria Math" w:hAnsi="Cambria Math"/>
                          <w:sz w:val="24"/>
                          <w:szCs w:val="24"/>
                        </w:rPr>
                        <m:t>gas</m:t>
                      </m:r>
                    </m:sub>
                  </m:sSub>
                  <m:r>
                    <m:rPr>
                      <m:sty m:val="bi"/>
                    </m:rPr>
                    <w:rPr>
                      <w:rFonts w:ascii="Cambria Math" w:hAnsi="Cambria Math"/>
                      <w:sz w:val="24"/>
                      <w:szCs w:val="24"/>
                    </w:rPr>
                    <m:t>]</m:t>
                  </m:r>
                </m:e>
              </m:d>
            </m:e>
          </m:nary>
        </m:oMath>
      </m:oMathPara>
    </w:p>
    <w:p w14:paraId="01CC6329" w14:textId="77777777" w:rsidR="00EF750B" w:rsidRDefault="00EF750B" w:rsidP="00F5004C">
      <w:pPr>
        <w:pStyle w:val="CaptionImageorFigure"/>
        <w:rPr>
          <w:rFonts w:eastAsiaTheme="majorEastAsia"/>
          <w:b w:val="0"/>
          <w:bCs w:val="0"/>
          <w:sz w:val="24"/>
          <w:szCs w:val="24"/>
        </w:rPr>
      </w:pPr>
    </w:p>
    <w:p w14:paraId="12084535" w14:textId="77777777" w:rsidR="0020221B" w:rsidRDefault="0020221B">
      <w:pPr>
        <w:pStyle w:val="ListNumber2"/>
        <w:numPr>
          <w:ilvl w:val="0"/>
          <w:numId w:val="87"/>
        </w:numPr>
        <w:jc w:val="left"/>
      </w:pPr>
      <m:oMath>
        <m:r>
          <w:rPr>
            <w:rFonts w:ascii="Cambria Math" w:eastAsiaTheme="minorEastAsia" w:hAnsi="Cambria Math"/>
          </w:rPr>
          <m:t>t</m:t>
        </m:r>
      </m:oMath>
      <w:r w:rsidRPr="0008292E">
        <w:t xml:space="preserve"> is an eligible time interval in the </w:t>
      </w:r>
      <w:r>
        <w:t>operating</w:t>
      </w:r>
      <w:r w:rsidRPr="0008292E">
        <w:t xml:space="preserve"> period</w:t>
      </w:r>
      <w:r>
        <w:t xml:space="preserve"> of that measurement boundary;</w:t>
      </w:r>
    </w:p>
    <w:p w14:paraId="334D9F68" w14:textId="6FDE5021" w:rsidR="007A77DD" w:rsidRDefault="007A77DD">
      <w:pPr>
        <w:pStyle w:val="ListNumber2"/>
        <w:numPr>
          <w:ilvl w:val="0"/>
          <w:numId w:val="87"/>
        </w:numPr>
        <w:jc w:val="left"/>
      </w:pPr>
      <w:r>
        <w:rPr>
          <w:rFonts w:cstheme="minorHAnsi"/>
        </w:rPr>
        <w:t>ɳ</w:t>
      </w:r>
      <w:r>
        <w:t xml:space="preserve"> is the assumed round-trip efficiency of the eTES being 0.9</w:t>
      </w:r>
      <w:r w:rsidR="007B37B9">
        <w:t>3</w:t>
      </w:r>
      <w:r>
        <w:t>;</w:t>
      </w:r>
    </w:p>
    <w:p w14:paraId="6253ABC3" w14:textId="51B93089" w:rsidR="0020221B" w:rsidRPr="0053462C" w:rsidRDefault="00000000">
      <w:pPr>
        <w:pStyle w:val="ListNumber2"/>
        <w:numPr>
          <w:ilvl w:val="0"/>
          <w:numId w:val="87"/>
        </w:numPr>
        <w:jc w:val="left"/>
      </w:pPr>
      <m:oMath>
        <m:sSub>
          <m:sSubPr>
            <m:ctrlPr>
              <w:rPr>
                <w:rFonts w:ascii="Cambria Math" w:hAnsi="Cambria Math"/>
                <w:i/>
              </w:rPr>
            </m:ctrlPr>
          </m:sSubPr>
          <m:e>
            <m:r>
              <w:rPr>
                <w:rFonts w:ascii="Cambria Math" w:hAnsi="Cambria Math"/>
              </w:rPr>
              <m:t>E</m:t>
            </m:r>
          </m:e>
          <m:sub>
            <m:r>
              <w:rPr>
                <w:rFonts w:ascii="Cambria Math" w:hAnsi="Cambria Math"/>
              </w:rPr>
              <m:t>e,t</m:t>
            </m:r>
          </m:sub>
        </m:sSub>
      </m:oMath>
      <w:r w:rsidR="0020221B" w:rsidRPr="00227AB5">
        <w:rPr>
          <w:rFonts w:eastAsiaTheme="minorEastAsia"/>
        </w:rPr>
        <w:t xml:space="preserve"> is the</w:t>
      </w:r>
      <w:r w:rsidR="0020221B">
        <w:rPr>
          <w:rFonts w:eastAsiaTheme="minorEastAsia"/>
        </w:rPr>
        <w:t xml:space="preserve"> </w:t>
      </w:r>
      <w:r w:rsidR="000954EE">
        <w:rPr>
          <w:rFonts w:eastAsiaTheme="minorEastAsia"/>
        </w:rPr>
        <w:t>eTES e</w:t>
      </w:r>
      <w:r w:rsidR="006A662F">
        <w:rPr>
          <w:rFonts w:eastAsiaTheme="minorEastAsia"/>
        </w:rPr>
        <w:t xml:space="preserve">lectricity </w:t>
      </w:r>
      <w:r w:rsidR="004566BB">
        <w:rPr>
          <w:rFonts w:eastAsiaTheme="minorEastAsia"/>
        </w:rPr>
        <w:t>consumption</w:t>
      </w:r>
      <w:r w:rsidR="00264D22">
        <w:rPr>
          <w:rFonts w:eastAsiaTheme="minorEastAsia"/>
        </w:rPr>
        <w:t xml:space="preserve">, supplied by </w:t>
      </w:r>
      <w:r w:rsidR="007A05DA">
        <w:rPr>
          <w:rFonts w:eastAsiaTheme="minorEastAsia"/>
        </w:rPr>
        <w:t>a</w:t>
      </w:r>
      <w:r w:rsidR="00264D22">
        <w:rPr>
          <w:rFonts w:eastAsiaTheme="minorEastAsia"/>
        </w:rPr>
        <w:t xml:space="preserve"> renewable energy source</w:t>
      </w:r>
      <w:r w:rsidR="007755B9">
        <w:rPr>
          <w:rFonts w:eastAsiaTheme="minorEastAsia"/>
        </w:rPr>
        <w:t xml:space="preserve"> </w:t>
      </w:r>
      <w:r w:rsidR="0020221B" w:rsidRPr="00227AB5">
        <w:rPr>
          <w:rFonts w:eastAsiaTheme="minorEastAsia"/>
        </w:rPr>
        <w:t>for</w:t>
      </w:r>
      <w:r w:rsidR="0020221B">
        <w:rPr>
          <w:rFonts w:eastAsiaTheme="minorEastAsia"/>
        </w:rPr>
        <w:t xml:space="preserve"> time interval</w:t>
      </w:r>
      <w:r w:rsidR="0020221B" w:rsidRPr="00227AB5">
        <w:rPr>
          <w:rFonts w:eastAsiaTheme="minorEastAsia"/>
        </w:rPr>
        <w:t xml:space="preserve"> </w:t>
      </w:r>
      <w:r w:rsidR="0020221B" w:rsidRPr="00227AB5">
        <w:rPr>
          <w:rFonts w:eastAsiaTheme="minorEastAsia"/>
          <w:i/>
        </w:rPr>
        <w:t>t</w:t>
      </w:r>
      <w:r w:rsidR="0020221B">
        <w:rPr>
          <w:rFonts w:eastAsiaTheme="minorEastAsia"/>
          <w:i/>
        </w:rPr>
        <w:t xml:space="preserve"> </w:t>
      </w:r>
      <w:r w:rsidR="0020221B">
        <w:rPr>
          <w:rFonts w:eastAsiaTheme="minorEastAsia"/>
        </w:rPr>
        <w:t>at that measurement boundary;</w:t>
      </w:r>
    </w:p>
    <w:p w14:paraId="3EF149CE" w14:textId="5B48B334" w:rsidR="0020221B" w:rsidRDefault="0020221B">
      <w:pPr>
        <w:pStyle w:val="ListNumber2"/>
        <w:numPr>
          <w:ilvl w:val="0"/>
          <w:numId w:val="87"/>
        </w:numPr>
        <w:jc w:val="left"/>
      </w:pPr>
      <m:oMath>
        <m:r>
          <w:rPr>
            <w:rFonts w:ascii="Cambria Math" w:hAnsi="Cambria Math"/>
          </w:rPr>
          <m:t>B</m:t>
        </m:r>
      </m:oMath>
      <w:r>
        <w:t xml:space="preserve"> is the boiler efficiency factor</w:t>
      </w:r>
      <w:r w:rsidR="00151440">
        <w:t>,</w:t>
      </w:r>
      <w:r>
        <w:t xml:space="preserve"> </w:t>
      </w:r>
      <w:r w:rsidR="00151440">
        <w:t>being 0.</w:t>
      </w:r>
      <w:r w:rsidR="007B37B9">
        <w:t>78</w:t>
      </w:r>
      <w:r w:rsidR="00977167">
        <w:t>8</w:t>
      </w:r>
      <w:r>
        <w:t>;</w:t>
      </w:r>
    </w:p>
    <w:p w14:paraId="49A9483D" w14:textId="3412573B" w:rsidR="0020221B" w:rsidRDefault="00000000">
      <w:pPr>
        <w:pStyle w:val="ListNumber2"/>
        <w:numPr>
          <w:ilvl w:val="0"/>
          <w:numId w:val="87"/>
        </w:numPr>
        <w:jc w:val="left"/>
      </w:pPr>
      <m:oMath>
        <m:sSub>
          <m:sSubPr>
            <m:ctrlPr>
              <w:rPr>
                <w:rFonts w:ascii="Cambria Math" w:hAnsi="Cambria Math"/>
                <w:i/>
              </w:rPr>
            </m:ctrlPr>
          </m:sSubPr>
          <m:e>
            <m:r>
              <w:rPr>
                <w:rFonts w:ascii="Cambria Math" w:hAnsi="Cambria Math"/>
              </w:rPr>
              <m:t>EF</m:t>
            </m:r>
          </m:e>
          <m:sub>
            <m:r>
              <w:rPr>
                <w:rFonts w:ascii="Cambria Math" w:hAnsi="Cambria Math"/>
              </w:rPr>
              <m:t>gas</m:t>
            </m:r>
          </m:sub>
        </m:sSub>
      </m:oMath>
      <w:r w:rsidR="0020221B" w:rsidRPr="00227AB5">
        <w:rPr>
          <w:rFonts w:eastAsiaTheme="minorEastAsia"/>
        </w:rPr>
        <w:t xml:space="preserve"> is the</w:t>
      </w:r>
      <w:r w:rsidR="0020221B">
        <w:rPr>
          <w:rFonts w:eastAsiaTheme="minorEastAsia"/>
        </w:rPr>
        <w:t xml:space="preserve"> gas emissions factor as defined in </w:t>
      </w:r>
      <w:r w:rsidR="0020221B" w:rsidRPr="009D1CEF">
        <w:rPr>
          <w:iCs/>
        </w:rPr>
        <w:t>Section 2.1</w:t>
      </w:r>
      <w:r w:rsidR="007A77DD">
        <w:rPr>
          <w:iCs/>
        </w:rPr>
        <w:t>;</w:t>
      </w:r>
    </w:p>
    <w:p w14:paraId="65754BB3" w14:textId="77777777" w:rsidR="00EF750B" w:rsidRPr="004F6341" w:rsidRDefault="00EF750B" w:rsidP="00F5004C">
      <w:pPr>
        <w:pStyle w:val="CaptionImageorFigure"/>
        <w:rPr>
          <w:rFonts w:eastAsiaTheme="majorEastAsia"/>
          <w:b w:val="0"/>
        </w:rPr>
      </w:pPr>
    </w:p>
    <w:p w14:paraId="585CD3AA" w14:textId="77777777" w:rsidR="00D96AB6" w:rsidRPr="004F6341" w:rsidRDefault="00D96AB6" w:rsidP="00F5004C">
      <w:pPr>
        <w:pStyle w:val="CaptionImageorFigure"/>
        <w:rPr>
          <w:rFonts w:eastAsiaTheme="majorEastAsia"/>
          <w:b w:val="0"/>
        </w:rPr>
      </w:pPr>
    </w:p>
    <w:p w14:paraId="48F1CB8B" w14:textId="68669B3E" w:rsidR="00F5004C" w:rsidRPr="007D295C" w:rsidRDefault="00F5004C" w:rsidP="00F5004C">
      <w:pPr>
        <w:pStyle w:val="CaptionImageorFigure"/>
      </w:pPr>
      <w:r w:rsidRPr="007D295C">
        <w:rPr>
          <w:rFonts w:eastAsiaTheme="majorEastAsia"/>
        </w:rPr>
        <w:t xml:space="preserve">Equation </w:t>
      </w:r>
      <w:r w:rsidR="00EA2415">
        <w:rPr>
          <w:rFonts w:eastAsiaTheme="majorEastAsia"/>
        </w:rPr>
        <w:t>9</w:t>
      </w:r>
      <w:r w:rsidRPr="007D295C">
        <w:rPr>
          <w:rFonts w:eastAsiaTheme="majorEastAsia"/>
        </w:rPr>
        <w:t>.</w:t>
      </w:r>
      <w:r w:rsidR="0087770F">
        <w:t xml:space="preserve">4 </w:t>
      </w:r>
      <w:r w:rsidR="008667F2">
        <w:t>Avoided emissions for direct thermal measurement</w:t>
      </w:r>
    </w:p>
    <w:p w14:paraId="39D1FC0E" w14:textId="57F7B034" w:rsidR="003D7C57" w:rsidRPr="00F72554" w:rsidRDefault="00F72554" w:rsidP="004F6341">
      <w:pPr>
        <w:pStyle w:val="CaptionImageorFigure"/>
        <w:ind w:left="720" w:hanging="720"/>
        <w:rPr>
          <w:b w:val="0"/>
          <w:bCs w:val="0"/>
          <w:sz w:val="24"/>
          <w:szCs w:val="24"/>
        </w:rPr>
      </w:pPr>
      <m:oMathPara>
        <m:oMath>
          <m:r>
            <m:rPr>
              <m:sty m:val="bi"/>
            </m:rPr>
            <w:rPr>
              <w:rFonts w:ascii="Cambria Math" w:hAnsi="Cambria Math"/>
              <w:sz w:val="24"/>
              <w:szCs w:val="24"/>
            </w:rPr>
            <m:t>Avoided emissions=</m:t>
          </m:r>
          <m:nary>
            <m:naryPr>
              <m:chr m:val="∑"/>
              <m:limLoc m:val="subSup"/>
              <m:supHide m:val="1"/>
              <m:ctrlPr>
                <w:rPr>
                  <w:rFonts w:ascii="Cambria Math" w:hAnsi="Cambria Math"/>
                  <w:b w:val="0"/>
                  <w:bCs w:val="0"/>
                  <w:i/>
                  <w:sz w:val="24"/>
                  <w:szCs w:val="24"/>
                </w:rPr>
              </m:ctrlPr>
            </m:naryPr>
            <m:sub>
              <m:r>
                <m:rPr>
                  <m:sty m:val="bi"/>
                </m:rPr>
                <w:rPr>
                  <w:rFonts w:ascii="Cambria Math" w:hAnsi="Cambria Math"/>
                  <w:sz w:val="24"/>
                  <w:szCs w:val="24"/>
                </w:rPr>
                <m:t>t</m:t>
              </m:r>
            </m:sub>
            <m:sup/>
            <m:e>
              <m:d>
                <m:dPr>
                  <m:ctrlPr>
                    <w:rPr>
                      <w:rFonts w:ascii="Cambria Math" w:hAnsi="Cambria Math"/>
                      <w:b w:val="0"/>
                      <w:bCs w:val="0"/>
                      <w:i/>
                      <w:sz w:val="24"/>
                      <w:szCs w:val="24"/>
                    </w:rPr>
                  </m:ctrlPr>
                </m:dPr>
                <m:e>
                  <m:sSub>
                    <m:sSubPr>
                      <m:ctrlPr>
                        <w:rPr>
                          <w:rFonts w:ascii="Cambria Math" w:hAnsi="Cambria Math"/>
                          <w:b w:val="0"/>
                          <w:bCs w:val="0"/>
                          <w:i/>
                          <w:sz w:val="24"/>
                          <w:szCs w:val="24"/>
                        </w:rPr>
                      </m:ctrlPr>
                    </m:sSubPr>
                    <m:e>
                      <m:r>
                        <m:rPr>
                          <m:sty m:val="bi"/>
                        </m:rPr>
                        <w:rPr>
                          <w:rFonts w:ascii="Cambria Math" w:hAnsi="Cambria Math"/>
                          <w:sz w:val="24"/>
                          <w:szCs w:val="24"/>
                        </w:rPr>
                        <m:t>E</m:t>
                      </m:r>
                    </m:e>
                    <m:sub>
                      <m:r>
                        <m:rPr>
                          <m:sty m:val="bi"/>
                        </m:rPr>
                        <w:rPr>
                          <w:rFonts w:ascii="Cambria Math" w:hAnsi="Cambria Math"/>
                          <w:sz w:val="24"/>
                          <w:szCs w:val="24"/>
                        </w:rPr>
                        <m:t xml:space="preserve">B,t </m:t>
                      </m:r>
                    </m:sub>
                  </m:sSub>
                  <m:r>
                    <m:rPr>
                      <m:sty m:val="bi"/>
                    </m:rPr>
                    <w:rPr>
                      <w:rFonts w:ascii="Cambria Math" w:hAnsi="Cambria Math"/>
                      <w:sz w:val="24"/>
                      <w:szCs w:val="24"/>
                    </w:rPr>
                    <m:t xml:space="preserve"> </m:t>
                  </m:r>
                  <m:f>
                    <m:fPr>
                      <m:ctrlPr>
                        <w:rPr>
                          <w:rFonts w:ascii="Cambria Math" w:hAnsi="Cambria Math"/>
                          <w:b w:val="0"/>
                          <w:bCs w:val="0"/>
                          <w:i/>
                          <w:sz w:val="24"/>
                          <w:szCs w:val="24"/>
                        </w:rPr>
                      </m:ctrlPr>
                    </m:fPr>
                    <m:num>
                      <m:r>
                        <m:rPr>
                          <m:sty m:val="bi"/>
                        </m:rPr>
                        <w:rPr>
                          <w:rFonts w:ascii="Cambria Math" w:hAnsi="Cambria Math"/>
                          <w:sz w:val="24"/>
                          <w:szCs w:val="24"/>
                        </w:rPr>
                        <m:t>1</m:t>
                      </m:r>
                    </m:num>
                    <m:den>
                      <m:r>
                        <m:rPr>
                          <m:sty m:val="bi"/>
                        </m:rPr>
                        <w:rPr>
                          <w:rFonts w:ascii="Cambria Math" w:hAnsi="Cambria Math"/>
                          <w:sz w:val="24"/>
                          <w:szCs w:val="24"/>
                        </w:rPr>
                        <m:t xml:space="preserve"> B</m:t>
                      </m:r>
                    </m:den>
                  </m:f>
                  <m:r>
                    <m:rPr>
                      <m:sty m:val="bi"/>
                    </m:rPr>
                    <w:rPr>
                      <w:rFonts w:ascii="Cambria Math" w:hAnsi="Cambria Math"/>
                      <w:sz w:val="24"/>
                      <w:szCs w:val="24"/>
                    </w:rPr>
                    <m:t>×</m:t>
                  </m:r>
                  <m:sSub>
                    <m:sSubPr>
                      <m:ctrlPr>
                        <w:rPr>
                          <w:rFonts w:ascii="Cambria Math" w:hAnsi="Cambria Math"/>
                          <w:b w:val="0"/>
                          <w:bCs w:val="0"/>
                          <w:i/>
                          <w:sz w:val="24"/>
                          <w:szCs w:val="24"/>
                        </w:rPr>
                      </m:ctrlPr>
                    </m:sSubPr>
                    <m:e>
                      <m:r>
                        <m:rPr>
                          <m:sty m:val="bi"/>
                        </m:rPr>
                        <w:rPr>
                          <w:rFonts w:ascii="Cambria Math" w:hAnsi="Cambria Math"/>
                          <w:sz w:val="24"/>
                          <w:szCs w:val="24"/>
                        </w:rPr>
                        <m:t>EF</m:t>
                      </m:r>
                    </m:e>
                    <m:sub>
                      <m:r>
                        <m:rPr>
                          <m:sty m:val="bi"/>
                        </m:rPr>
                        <w:rPr>
                          <w:rFonts w:ascii="Cambria Math" w:hAnsi="Cambria Math"/>
                          <w:sz w:val="24"/>
                          <w:szCs w:val="24"/>
                        </w:rPr>
                        <m:t>gas</m:t>
                      </m:r>
                    </m:sub>
                  </m:sSub>
                </m:e>
              </m:d>
            </m:e>
          </m:nary>
        </m:oMath>
      </m:oMathPara>
    </w:p>
    <w:p w14:paraId="36904F02" w14:textId="77777777" w:rsidR="00F5004C" w:rsidRPr="003D143A" w:rsidRDefault="00F5004C" w:rsidP="00F5004C">
      <w:pPr>
        <w:pStyle w:val="BodyText"/>
      </w:pPr>
      <w:r w:rsidRPr="003D143A">
        <w:t>where:</w:t>
      </w:r>
    </w:p>
    <w:p w14:paraId="19590AE0" w14:textId="77777777" w:rsidR="0087770F" w:rsidRDefault="00001628">
      <w:pPr>
        <w:pStyle w:val="ListNumber2"/>
        <w:numPr>
          <w:ilvl w:val="0"/>
          <w:numId w:val="96"/>
        </w:numPr>
        <w:jc w:val="left"/>
      </w:pPr>
      <m:oMath>
        <m:r>
          <w:rPr>
            <w:rFonts w:ascii="Cambria Math" w:eastAsiaTheme="minorEastAsia" w:hAnsi="Cambria Math"/>
          </w:rPr>
          <m:t>t</m:t>
        </m:r>
      </m:oMath>
      <w:r w:rsidR="0087770F" w:rsidRPr="0008292E">
        <w:t xml:space="preserve"> is an eligible time interval in the </w:t>
      </w:r>
      <w:r w:rsidR="0087770F">
        <w:t>operating</w:t>
      </w:r>
      <w:r w:rsidR="0087770F" w:rsidRPr="0008292E">
        <w:t xml:space="preserve"> period</w:t>
      </w:r>
      <w:r w:rsidR="0087770F">
        <w:t xml:space="preserve"> of that measurement boundary;</w:t>
      </w:r>
    </w:p>
    <w:p w14:paraId="0802E80E" w14:textId="77777777" w:rsidR="0087770F" w:rsidRPr="0053462C" w:rsidRDefault="00000000">
      <w:pPr>
        <w:pStyle w:val="ListNumber2"/>
        <w:numPr>
          <w:ilvl w:val="0"/>
          <w:numId w:val="96"/>
        </w:numPr>
        <w:jc w:val="left"/>
      </w:pPr>
      <m:oMath>
        <m:sSub>
          <m:sSubPr>
            <m:ctrlPr>
              <w:rPr>
                <w:rFonts w:ascii="Cambria Math" w:hAnsi="Cambria Math"/>
                <w:i/>
              </w:rPr>
            </m:ctrlPr>
          </m:sSubPr>
          <m:e>
            <m:r>
              <w:rPr>
                <w:rFonts w:ascii="Cambria Math" w:hAnsi="Cambria Math"/>
              </w:rPr>
              <m:t>E</m:t>
            </m:r>
          </m:e>
          <m:sub>
            <m:r>
              <w:rPr>
                <w:rFonts w:ascii="Cambria Math" w:hAnsi="Cambria Math"/>
              </w:rPr>
              <m:t>B,t</m:t>
            </m:r>
          </m:sub>
        </m:sSub>
      </m:oMath>
      <w:r w:rsidR="0087770F" w:rsidRPr="00227AB5">
        <w:rPr>
          <w:rFonts w:eastAsiaTheme="minorEastAsia"/>
        </w:rPr>
        <w:t xml:space="preserve"> is the</w:t>
      </w:r>
      <w:r w:rsidR="0087770F">
        <w:rPr>
          <w:rFonts w:eastAsiaTheme="minorEastAsia"/>
        </w:rPr>
        <w:t xml:space="preserve"> heat energy supplied by the eTES and measured in GJ</w:t>
      </w:r>
      <w:r w:rsidR="0087770F" w:rsidRPr="00227AB5">
        <w:rPr>
          <w:rFonts w:eastAsiaTheme="minorEastAsia"/>
        </w:rPr>
        <w:t xml:space="preserve"> for</w:t>
      </w:r>
      <w:r w:rsidR="0087770F">
        <w:rPr>
          <w:rFonts w:eastAsiaTheme="minorEastAsia"/>
        </w:rPr>
        <w:t xml:space="preserve"> time interval</w:t>
      </w:r>
      <w:r w:rsidR="0087770F" w:rsidRPr="00227AB5">
        <w:rPr>
          <w:rFonts w:eastAsiaTheme="minorEastAsia"/>
        </w:rPr>
        <w:t xml:space="preserve"> </w:t>
      </w:r>
      <w:r w:rsidR="0087770F" w:rsidRPr="00227AB5">
        <w:rPr>
          <w:rFonts w:eastAsiaTheme="minorEastAsia"/>
          <w:i/>
        </w:rPr>
        <w:t>t</w:t>
      </w:r>
      <w:r w:rsidR="0087770F">
        <w:rPr>
          <w:rFonts w:eastAsiaTheme="minorEastAsia"/>
          <w:i/>
        </w:rPr>
        <w:t xml:space="preserve"> </w:t>
      </w:r>
      <w:r w:rsidR="0087770F">
        <w:rPr>
          <w:rFonts w:eastAsiaTheme="minorEastAsia"/>
        </w:rPr>
        <w:t>at that measurement boundary;</w:t>
      </w:r>
    </w:p>
    <w:p w14:paraId="728D144C" w14:textId="33EABA96" w:rsidR="0087770F" w:rsidRDefault="00001628">
      <w:pPr>
        <w:pStyle w:val="ListNumber2"/>
        <w:numPr>
          <w:ilvl w:val="0"/>
          <w:numId w:val="96"/>
        </w:numPr>
        <w:jc w:val="left"/>
      </w:pPr>
      <m:oMath>
        <m:r>
          <w:rPr>
            <w:rFonts w:ascii="Cambria Math" w:hAnsi="Cambria Math"/>
          </w:rPr>
          <m:t>B</m:t>
        </m:r>
      </m:oMath>
      <w:r w:rsidR="0087770F">
        <w:t xml:space="preserve"> is the boiler efficiency factor being 0.</w:t>
      </w:r>
      <w:r w:rsidR="00FB4BB0">
        <w:t>78</w:t>
      </w:r>
      <w:r w:rsidR="0087770F">
        <w:t>;</w:t>
      </w:r>
    </w:p>
    <w:p w14:paraId="29509A70" w14:textId="5C45CCAB" w:rsidR="0087770F" w:rsidRPr="00202247" w:rsidRDefault="00000000">
      <w:pPr>
        <w:pStyle w:val="ListNumber2"/>
        <w:numPr>
          <w:ilvl w:val="0"/>
          <w:numId w:val="96"/>
        </w:numPr>
      </w:pPr>
      <m:oMath>
        <m:sSub>
          <m:sSubPr>
            <m:ctrlPr>
              <w:rPr>
                <w:rFonts w:ascii="Cambria Math" w:hAnsi="Cambria Math"/>
                <w:i/>
              </w:rPr>
            </m:ctrlPr>
          </m:sSubPr>
          <m:e>
            <m:r>
              <w:rPr>
                <w:rFonts w:ascii="Cambria Math" w:hAnsi="Cambria Math"/>
              </w:rPr>
              <m:t>EF</m:t>
            </m:r>
          </m:e>
          <m:sub>
            <m:r>
              <w:rPr>
                <w:rFonts w:ascii="Cambria Math" w:hAnsi="Cambria Math"/>
              </w:rPr>
              <m:t>gas</m:t>
            </m:r>
          </m:sub>
        </m:sSub>
      </m:oMath>
      <w:r w:rsidR="0087770F">
        <w:rPr>
          <w:i/>
        </w:rPr>
        <w:t xml:space="preserve"> </w:t>
      </w:r>
      <w:r w:rsidR="0087770F" w:rsidRPr="009D1CEF">
        <w:rPr>
          <w:iCs/>
        </w:rPr>
        <w:t xml:space="preserve">is the </w:t>
      </w:r>
      <w:r w:rsidR="0087770F">
        <w:rPr>
          <w:iCs/>
        </w:rPr>
        <w:t xml:space="preserve">gas </w:t>
      </w:r>
      <w:r w:rsidR="0087770F" w:rsidRPr="009D1CEF">
        <w:rPr>
          <w:iCs/>
        </w:rPr>
        <w:t>emissions factor as defined in Section 2.1</w:t>
      </w:r>
      <w:r w:rsidR="0087770F">
        <w:rPr>
          <w:iCs/>
        </w:rPr>
        <w:t>.</w:t>
      </w:r>
    </w:p>
    <w:p w14:paraId="623A5F80" w14:textId="23F98B76" w:rsidR="00772436" w:rsidRPr="0053462C" w:rsidRDefault="00772436" w:rsidP="00E37634">
      <w:pPr>
        <w:pStyle w:val="ListNumber2"/>
        <w:ind w:left="360" w:firstLine="0"/>
        <w:jc w:val="left"/>
      </w:pPr>
    </w:p>
    <w:p w14:paraId="52467D78" w14:textId="77777777" w:rsidR="000B7438" w:rsidRDefault="000B7438" w:rsidP="000B7438">
      <w:pPr>
        <w:pStyle w:val="Heading3"/>
      </w:pPr>
      <w:r>
        <w:lastRenderedPageBreak/>
        <w:t>Persistence factor</w:t>
      </w:r>
    </w:p>
    <w:p w14:paraId="7548543C" w14:textId="34B42C14" w:rsidR="000B7438" w:rsidRPr="001000DA" w:rsidRDefault="000B7438" w:rsidP="000B7438">
      <w:pPr>
        <w:pStyle w:val="ListNumber2"/>
        <w:keepNext/>
        <w:keepLines/>
        <w:ind w:left="0" w:firstLine="0"/>
        <w:jc w:val="left"/>
      </w:pPr>
      <w:r w:rsidRPr="008729F9">
        <w:t xml:space="preserve">The </w:t>
      </w:r>
      <w:r>
        <w:t>persistence</w:t>
      </w:r>
      <w:r w:rsidRPr="008729F9">
        <w:t xml:space="preserve"> factor for a year i</w:t>
      </w:r>
      <w:r>
        <w:t xml:space="preserve">s assigned on a per measurement boundary basis and is </w:t>
      </w:r>
      <w:r w:rsidRPr="008729F9">
        <w:t xml:space="preserve">determined using Table </w:t>
      </w:r>
      <w:r w:rsidR="00032409">
        <w:t>9</w:t>
      </w:r>
      <w:r>
        <w:t>.</w:t>
      </w:r>
      <w:r w:rsidR="00C97884">
        <w:t>1</w:t>
      </w:r>
      <w:r>
        <w:t>.</w:t>
      </w:r>
    </w:p>
    <w:p w14:paraId="72D4745C" w14:textId="5F80CE7B" w:rsidR="000B7438" w:rsidRPr="00781DB4" w:rsidRDefault="000B7438" w:rsidP="000B7438">
      <w:pPr>
        <w:pStyle w:val="Caption"/>
      </w:pPr>
      <w:r w:rsidRPr="00781DB4">
        <w:t xml:space="preserve">Table </w:t>
      </w:r>
      <w:r w:rsidR="00032409">
        <w:t>9</w:t>
      </w:r>
      <w:r w:rsidRPr="00781DB4">
        <w:t>.</w:t>
      </w:r>
      <w:r w:rsidR="00C97884">
        <w:t>1</w:t>
      </w:r>
    </w:p>
    <w:tbl>
      <w:tblPr>
        <w:tblStyle w:val="TableGrid"/>
        <w:tblW w:w="0" w:type="auto"/>
        <w:tblLayout w:type="fixed"/>
        <w:tblLook w:val="04A0" w:firstRow="1" w:lastRow="0" w:firstColumn="1" w:lastColumn="0" w:noHBand="0" w:noVBand="1"/>
      </w:tblPr>
      <w:tblGrid>
        <w:gridCol w:w="5812"/>
        <w:gridCol w:w="1985"/>
      </w:tblGrid>
      <w:tr w:rsidR="000B7438" w14:paraId="55EC0A75" w14:textId="77777777" w:rsidTr="004F63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12" w:type="dxa"/>
            <w:shd w:val="clear" w:color="auto" w:fill="201547"/>
          </w:tcPr>
          <w:p w14:paraId="5B80E348" w14:textId="77777777" w:rsidR="000B7438" w:rsidRDefault="000B7438">
            <w:pPr>
              <w:pStyle w:val="BodyText"/>
            </w:pPr>
            <w:r>
              <w:t>Technology</w:t>
            </w:r>
          </w:p>
        </w:tc>
        <w:tc>
          <w:tcPr>
            <w:tcW w:w="1985" w:type="dxa"/>
            <w:shd w:val="clear" w:color="auto" w:fill="201547"/>
          </w:tcPr>
          <w:p w14:paraId="7A9C36B7" w14:textId="77777777" w:rsidR="000B7438" w:rsidRDefault="000B7438">
            <w:pPr>
              <w:pStyle w:val="BodyText"/>
              <w:jc w:val="center"/>
              <w:cnfStyle w:val="100000000000" w:firstRow="1" w:lastRow="0" w:firstColumn="0" w:lastColumn="0" w:oddVBand="0" w:evenVBand="0" w:oddHBand="0" w:evenHBand="0" w:firstRowFirstColumn="0" w:firstRowLastColumn="0" w:lastRowFirstColumn="0" w:lastRowLastColumn="0"/>
            </w:pPr>
            <w:r>
              <w:t>Persistence factor</w:t>
            </w:r>
          </w:p>
        </w:tc>
      </w:tr>
      <w:tr w:rsidR="000B7438" w14:paraId="647A3868" w14:textId="77777777" w:rsidTr="004F6341">
        <w:tc>
          <w:tcPr>
            <w:cnfStyle w:val="001000000000" w:firstRow="0" w:lastRow="0" w:firstColumn="1" w:lastColumn="0" w:oddVBand="0" w:evenVBand="0" w:oddHBand="0" w:evenHBand="0" w:firstRowFirstColumn="0" w:firstRowLastColumn="0" w:lastRowFirstColumn="0" w:lastRowLastColumn="0"/>
            <w:tcW w:w="5812" w:type="dxa"/>
          </w:tcPr>
          <w:p w14:paraId="5B5A0DA2" w14:textId="771D9785" w:rsidR="000B7438" w:rsidRDefault="000B7438">
            <w:pPr>
              <w:pStyle w:val="BodyText"/>
              <w:jc w:val="left"/>
            </w:pPr>
            <w:r>
              <w:t>Sensible heat storage eTES</w:t>
            </w:r>
            <w:r w:rsidR="008D155D">
              <w:t xml:space="preserve"> </w:t>
            </w:r>
          </w:p>
        </w:tc>
        <w:tc>
          <w:tcPr>
            <w:tcW w:w="1985" w:type="dxa"/>
          </w:tcPr>
          <w:p w14:paraId="28C9E59B" w14:textId="04C03227" w:rsidR="000B7438" w:rsidRDefault="00AF5F37">
            <w:pPr>
              <w:pStyle w:val="BodyText"/>
              <w:jc w:val="center"/>
              <w:cnfStyle w:val="000000000000" w:firstRow="0" w:lastRow="0" w:firstColumn="0" w:lastColumn="0" w:oddVBand="0" w:evenVBand="0" w:oddHBand="0" w:evenHBand="0" w:firstRowFirstColumn="0" w:firstRowLastColumn="0" w:lastRowFirstColumn="0" w:lastRowLastColumn="0"/>
            </w:pPr>
            <w:r>
              <w:t>0.</w:t>
            </w:r>
            <w:r w:rsidR="000B7438">
              <w:t>9</w:t>
            </w:r>
          </w:p>
        </w:tc>
      </w:tr>
      <w:tr w:rsidR="000B7438" w14:paraId="683B02DF" w14:textId="77777777" w:rsidTr="004F6341">
        <w:tc>
          <w:tcPr>
            <w:cnfStyle w:val="001000000000" w:firstRow="0" w:lastRow="0" w:firstColumn="1" w:lastColumn="0" w:oddVBand="0" w:evenVBand="0" w:oddHBand="0" w:evenHBand="0" w:firstRowFirstColumn="0" w:firstRowLastColumn="0" w:lastRowFirstColumn="0" w:lastRowLastColumn="0"/>
            <w:tcW w:w="5812" w:type="dxa"/>
          </w:tcPr>
          <w:p w14:paraId="3FD2EA76" w14:textId="2086D9A4" w:rsidR="000B7438" w:rsidRDefault="000B7438">
            <w:pPr>
              <w:pStyle w:val="BodyText"/>
              <w:jc w:val="left"/>
            </w:pPr>
            <w:r>
              <w:t xml:space="preserve">Latent heat storage </w:t>
            </w:r>
            <w:r w:rsidR="004C705B">
              <w:t>eTES</w:t>
            </w:r>
          </w:p>
        </w:tc>
        <w:tc>
          <w:tcPr>
            <w:tcW w:w="1985" w:type="dxa"/>
          </w:tcPr>
          <w:p w14:paraId="1979944D" w14:textId="68071A46" w:rsidR="000B7438" w:rsidRDefault="00AF5F37">
            <w:pPr>
              <w:pStyle w:val="BodyText"/>
              <w:jc w:val="center"/>
              <w:cnfStyle w:val="000000000000" w:firstRow="0" w:lastRow="0" w:firstColumn="0" w:lastColumn="0" w:oddVBand="0" w:evenVBand="0" w:oddHBand="0" w:evenHBand="0" w:firstRowFirstColumn="0" w:firstRowLastColumn="0" w:lastRowFirstColumn="0" w:lastRowLastColumn="0"/>
            </w:pPr>
            <w:r>
              <w:t>0.</w:t>
            </w:r>
            <w:r w:rsidR="00196E33">
              <w:t>9</w:t>
            </w:r>
          </w:p>
        </w:tc>
      </w:tr>
      <w:tr w:rsidR="008D3591" w14:paraId="74D2D6C0" w14:textId="77777777" w:rsidTr="004F6341">
        <w:tc>
          <w:tcPr>
            <w:cnfStyle w:val="001000000000" w:firstRow="0" w:lastRow="0" w:firstColumn="1" w:lastColumn="0" w:oddVBand="0" w:evenVBand="0" w:oddHBand="0" w:evenHBand="0" w:firstRowFirstColumn="0" w:firstRowLastColumn="0" w:lastRowFirstColumn="0" w:lastRowLastColumn="0"/>
            <w:tcW w:w="5812" w:type="dxa"/>
          </w:tcPr>
          <w:p w14:paraId="726014C6" w14:textId="4D756B5A" w:rsidR="008D3591" w:rsidRDefault="008D3591" w:rsidP="008D3591">
            <w:pPr>
              <w:pStyle w:val="BodyText"/>
              <w:jc w:val="left"/>
            </w:pPr>
            <w:r>
              <w:t xml:space="preserve">Other </w:t>
            </w:r>
          </w:p>
        </w:tc>
        <w:tc>
          <w:tcPr>
            <w:tcW w:w="1985" w:type="dxa"/>
          </w:tcPr>
          <w:p w14:paraId="6B09DF92" w14:textId="094B2894" w:rsidR="008D3591" w:rsidRDefault="00AF5F37" w:rsidP="008D3591">
            <w:pPr>
              <w:pStyle w:val="BodyText"/>
              <w:jc w:val="center"/>
              <w:cnfStyle w:val="000000000000" w:firstRow="0" w:lastRow="0" w:firstColumn="0" w:lastColumn="0" w:oddVBand="0" w:evenVBand="0" w:oddHBand="0" w:evenHBand="0" w:firstRowFirstColumn="0" w:firstRowLastColumn="0" w:lastRowFirstColumn="0" w:lastRowLastColumn="0"/>
            </w:pPr>
            <w:r>
              <w:t>0.</w:t>
            </w:r>
            <w:r w:rsidR="008D3591">
              <w:t>7</w:t>
            </w:r>
          </w:p>
        </w:tc>
      </w:tr>
    </w:tbl>
    <w:p w14:paraId="15C2F317" w14:textId="33F68609" w:rsidR="000B7438" w:rsidRDefault="000B7438" w:rsidP="000B7438">
      <w:pPr>
        <w:pStyle w:val="Heading3"/>
      </w:pPr>
      <w:bookmarkStart w:id="188" w:name="_Toc232600228"/>
      <w:bookmarkStart w:id="189" w:name="_Toc232600229"/>
      <w:bookmarkStart w:id="190" w:name="_Toc232600230"/>
      <w:bookmarkEnd w:id="188"/>
      <w:bookmarkEnd w:id="189"/>
      <w:bookmarkEnd w:id="190"/>
      <w:r>
        <w:t>Lifetime</w:t>
      </w:r>
    </w:p>
    <w:p w14:paraId="684E769B" w14:textId="140787FB" w:rsidR="00C97884" w:rsidRDefault="008C5D39" w:rsidP="000B7438">
      <w:pPr>
        <w:pStyle w:val="BodyText"/>
      </w:pPr>
      <w:r>
        <w:t xml:space="preserve">The lifetime factor </w:t>
      </w:r>
      <w:r w:rsidR="00C97884">
        <w:t xml:space="preserve">is determined using table </w:t>
      </w:r>
      <w:r w:rsidR="005A7E86">
        <w:t>9</w:t>
      </w:r>
      <w:r w:rsidR="00C97884">
        <w:t>.2.</w:t>
      </w:r>
    </w:p>
    <w:p w14:paraId="31EB62CF" w14:textId="0DDD88F9" w:rsidR="008B0133" w:rsidRPr="00781DB4" w:rsidDel="008B0133" w:rsidRDefault="00C97884" w:rsidP="008B0133">
      <w:pPr>
        <w:pStyle w:val="Caption"/>
      </w:pPr>
      <w:r w:rsidRPr="00781DB4">
        <w:t xml:space="preserve">Table </w:t>
      </w:r>
      <w:r w:rsidR="00032409">
        <w:t>9.</w:t>
      </w:r>
      <w:r w:rsidR="00916BDE">
        <w:t>2</w:t>
      </w:r>
      <w:r w:rsidR="0027216F">
        <w:t xml:space="preserve"> Life</w:t>
      </w:r>
      <w:r w:rsidR="00951E6B">
        <w:t>ti</w:t>
      </w:r>
      <w:r w:rsidR="0027216F">
        <w:t>me</w:t>
      </w:r>
    </w:p>
    <w:tbl>
      <w:tblPr>
        <w:tblStyle w:val="TableGrid"/>
        <w:tblW w:w="0" w:type="auto"/>
        <w:tblLayout w:type="fixed"/>
        <w:tblLook w:val="04A0" w:firstRow="1" w:lastRow="0" w:firstColumn="1" w:lastColumn="0" w:noHBand="0" w:noVBand="1"/>
      </w:tblPr>
      <w:tblGrid>
        <w:gridCol w:w="2772"/>
        <w:gridCol w:w="1827"/>
      </w:tblGrid>
      <w:tr w:rsidR="0027216F" w14:paraId="0D5D1F1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2" w:type="dxa"/>
            <w:shd w:val="clear" w:color="auto" w:fill="201547"/>
          </w:tcPr>
          <w:p w14:paraId="149B624C" w14:textId="77777777" w:rsidR="0027216F" w:rsidRPr="00E37634" w:rsidRDefault="0027216F">
            <w:pPr>
              <w:pStyle w:val="BodyText"/>
              <w:rPr>
                <w:b/>
                <w:bCs/>
              </w:rPr>
            </w:pPr>
            <w:r w:rsidRPr="00E37634">
              <w:rPr>
                <w:b/>
                <w:bCs/>
              </w:rPr>
              <w:t>Operating period</w:t>
            </w:r>
          </w:p>
        </w:tc>
        <w:tc>
          <w:tcPr>
            <w:tcW w:w="1827" w:type="dxa"/>
            <w:shd w:val="clear" w:color="auto" w:fill="201547"/>
          </w:tcPr>
          <w:p w14:paraId="2816CA56" w14:textId="77777777" w:rsidR="0027216F" w:rsidRPr="00E37634" w:rsidRDefault="0027216F">
            <w:pPr>
              <w:pStyle w:val="BodyText"/>
              <w:jc w:val="center"/>
              <w:cnfStyle w:val="100000000000" w:firstRow="1" w:lastRow="0" w:firstColumn="0" w:lastColumn="0" w:oddVBand="0" w:evenVBand="0" w:oddHBand="0" w:evenHBand="0" w:firstRowFirstColumn="0" w:firstRowLastColumn="0" w:lastRowFirstColumn="0" w:lastRowLastColumn="0"/>
              <w:rPr>
                <w:b/>
                <w:bCs/>
              </w:rPr>
            </w:pPr>
            <w:r w:rsidRPr="00E37634">
              <w:rPr>
                <w:b/>
                <w:bCs/>
              </w:rPr>
              <w:t>Lifetime</w:t>
            </w:r>
          </w:p>
        </w:tc>
      </w:tr>
      <w:tr w:rsidR="0027216F" w14:paraId="65FC21D7" w14:textId="77777777">
        <w:tc>
          <w:tcPr>
            <w:cnfStyle w:val="001000000000" w:firstRow="0" w:lastRow="0" w:firstColumn="1" w:lastColumn="0" w:oddVBand="0" w:evenVBand="0" w:oddHBand="0" w:evenHBand="0" w:firstRowFirstColumn="0" w:firstRowLastColumn="0" w:lastRowFirstColumn="0" w:lastRowLastColumn="0"/>
            <w:tcW w:w="2772" w:type="dxa"/>
          </w:tcPr>
          <w:p w14:paraId="2D8F755D" w14:textId="77777777" w:rsidR="0027216F" w:rsidRDefault="0027216F">
            <w:pPr>
              <w:pStyle w:val="BodyText"/>
              <w:jc w:val="left"/>
            </w:pPr>
            <w:r>
              <w:t>12 months</w:t>
            </w:r>
          </w:p>
        </w:tc>
        <w:tc>
          <w:tcPr>
            <w:tcW w:w="1827" w:type="dxa"/>
          </w:tcPr>
          <w:p w14:paraId="73963F02" w14:textId="4D2EF333" w:rsidR="0027216F" w:rsidRDefault="0027216F">
            <w:pPr>
              <w:pStyle w:val="BodyText"/>
              <w:jc w:val="center"/>
              <w:cnfStyle w:val="000000000000" w:firstRow="0" w:lastRow="0" w:firstColumn="0" w:lastColumn="0" w:oddVBand="0" w:evenVBand="0" w:oddHBand="0" w:evenHBand="0" w:firstRowFirstColumn="0" w:firstRowLastColumn="0" w:lastRowFirstColumn="0" w:lastRowLastColumn="0"/>
            </w:pPr>
            <w:r>
              <w:t>10</w:t>
            </w:r>
          </w:p>
        </w:tc>
      </w:tr>
    </w:tbl>
    <w:p w14:paraId="75AB7FA5" w14:textId="77777777" w:rsidR="008B0133" w:rsidRDefault="008B0133" w:rsidP="00DC41BD">
      <w:pPr>
        <w:pStyle w:val="BodyText"/>
      </w:pPr>
    </w:p>
    <w:p w14:paraId="13F97FB9" w14:textId="77777777" w:rsidR="00F5004C" w:rsidRDefault="00F5004C" w:rsidP="00F8100C">
      <w:pPr>
        <w:pStyle w:val="Heading3"/>
      </w:pPr>
      <w:r>
        <w:t>Interactive energy savings</w:t>
      </w:r>
    </w:p>
    <w:p w14:paraId="65A5A9E8" w14:textId="77777777" w:rsidR="00F5004C" w:rsidRDefault="00F5004C" w:rsidP="00F5004C">
      <w:pPr>
        <w:pStyle w:val="BodyText"/>
      </w:pPr>
      <w:r>
        <w:t>Interactive energy savings are limited to 10% for this specified measurement method.</w:t>
      </w:r>
    </w:p>
    <w:p w14:paraId="0093506B" w14:textId="77777777" w:rsidR="008B0133" w:rsidRDefault="008B0133" w:rsidP="00F5004C">
      <w:pPr>
        <w:pStyle w:val="BodyText"/>
      </w:pPr>
    </w:p>
    <w:p w14:paraId="1F7410FC" w14:textId="7672CB8C" w:rsidR="00F5004C" w:rsidRDefault="007D4214" w:rsidP="00F5004C">
      <w:pPr>
        <w:pStyle w:val="Heading3"/>
      </w:pPr>
      <w:r>
        <w:t>E</w:t>
      </w:r>
      <w:r w:rsidR="00175182">
        <w:t xml:space="preserve">missions factor </w:t>
      </w:r>
    </w:p>
    <w:p w14:paraId="05936F04" w14:textId="5F134C07" w:rsidR="00146BCB" w:rsidRDefault="00146BCB">
      <w:pPr>
        <w:pStyle w:val="BodyText"/>
        <w:numPr>
          <w:ilvl w:val="0"/>
          <w:numId w:val="86"/>
        </w:numPr>
      </w:pPr>
      <w:r>
        <w:t>E</w:t>
      </w:r>
      <w:r w:rsidR="00222640">
        <w:t>lectricity sources</w:t>
      </w:r>
      <w:r w:rsidR="00F769EF">
        <w:t xml:space="preserve"> with an emissions factor of 0</w:t>
      </w:r>
      <w:r>
        <w:t xml:space="preserve"> </w:t>
      </w:r>
      <w:r w:rsidR="00C42284">
        <w:t>can</w:t>
      </w:r>
      <w:r w:rsidR="003863F1">
        <w:t xml:space="preserve"> be used </w:t>
      </w:r>
      <w:r w:rsidR="008706B4">
        <w:t xml:space="preserve">for the purposes of </w:t>
      </w:r>
      <w:r w:rsidR="00D37B0C">
        <w:t>the eTES direct measurement method</w:t>
      </w:r>
      <w:r w:rsidR="009245A6">
        <w:t xml:space="preserve"> </w:t>
      </w:r>
      <w:r w:rsidR="00F769EF">
        <w:t>calculation</w:t>
      </w:r>
      <w:r w:rsidR="009245A6">
        <w:t xml:space="preserve">. </w:t>
      </w:r>
      <w:r w:rsidR="00B605C4">
        <w:t>This can include</w:t>
      </w:r>
      <w:r w:rsidR="005C72F1">
        <w:t>:</w:t>
      </w:r>
    </w:p>
    <w:p w14:paraId="71BB4694" w14:textId="34112EF1" w:rsidR="005C72F1" w:rsidRDefault="005C72F1">
      <w:pPr>
        <w:pStyle w:val="BodyText"/>
        <w:numPr>
          <w:ilvl w:val="1"/>
          <w:numId w:val="86"/>
        </w:numPr>
      </w:pPr>
      <w:r>
        <w:t>New onsite renewable energy or;</w:t>
      </w:r>
    </w:p>
    <w:p w14:paraId="1BCCEE63" w14:textId="2209A08D" w:rsidR="005C72F1" w:rsidRDefault="005C72F1">
      <w:pPr>
        <w:pStyle w:val="BodyText"/>
        <w:numPr>
          <w:ilvl w:val="1"/>
          <w:numId w:val="86"/>
        </w:numPr>
      </w:pPr>
      <w:r>
        <w:t>Offsite purchased renewable energy or;</w:t>
      </w:r>
    </w:p>
    <w:p w14:paraId="052435CD" w14:textId="69F7BFF3" w:rsidR="005C72F1" w:rsidRDefault="005C72F1">
      <w:pPr>
        <w:pStyle w:val="BodyText"/>
        <w:numPr>
          <w:ilvl w:val="1"/>
          <w:numId w:val="86"/>
        </w:numPr>
      </w:pPr>
      <w:r>
        <w:t>A combination new onsite ren</w:t>
      </w:r>
      <w:r w:rsidR="00EE6265">
        <w:t>e</w:t>
      </w:r>
      <w:r>
        <w:t xml:space="preserve">wable energy and </w:t>
      </w:r>
      <w:r w:rsidR="00EE6265">
        <w:t xml:space="preserve">offsite purchased renewable energy. </w:t>
      </w:r>
    </w:p>
    <w:p w14:paraId="14EDB2CA" w14:textId="2AC3784E" w:rsidR="004731A9" w:rsidRDefault="008F7F62">
      <w:pPr>
        <w:pStyle w:val="BodyText"/>
        <w:numPr>
          <w:ilvl w:val="0"/>
          <w:numId w:val="86"/>
        </w:numPr>
      </w:pPr>
      <w:r>
        <w:t xml:space="preserve">Projects claiming </w:t>
      </w:r>
      <w:r w:rsidR="00AB2511">
        <w:t xml:space="preserve">zero emissions </w:t>
      </w:r>
      <w:r>
        <w:t>renewable ener</w:t>
      </w:r>
      <w:r w:rsidR="00370861">
        <w:t xml:space="preserve">gy must </w:t>
      </w:r>
      <w:r w:rsidR="004A4378">
        <w:t>demonstrate</w:t>
      </w:r>
      <w:r w:rsidR="00565DB2">
        <w:t>:</w:t>
      </w:r>
    </w:p>
    <w:p w14:paraId="2FFEDD0C" w14:textId="37BCA082" w:rsidR="004731A9" w:rsidRDefault="001104AB">
      <w:pPr>
        <w:pStyle w:val="BodyText"/>
        <w:numPr>
          <w:ilvl w:val="1"/>
          <w:numId w:val="86"/>
        </w:numPr>
      </w:pPr>
      <w:r>
        <w:t xml:space="preserve">That the </w:t>
      </w:r>
      <w:r w:rsidR="004A4378">
        <w:t xml:space="preserve">renewable </w:t>
      </w:r>
      <w:r>
        <w:t>energy</w:t>
      </w:r>
      <w:r w:rsidR="00B5240A">
        <w:t xml:space="preserve"> sufficiently covers the measured </w:t>
      </w:r>
      <w:r>
        <w:t xml:space="preserve">energy </w:t>
      </w:r>
      <w:r w:rsidR="00B5240A">
        <w:t>consumption of the eTES</w:t>
      </w:r>
      <w:r w:rsidR="00441B71">
        <w:t>.</w:t>
      </w:r>
    </w:p>
    <w:p w14:paraId="276BEF94" w14:textId="68D6DB3D" w:rsidR="00441B71" w:rsidRDefault="00D45242">
      <w:pPr>
        <w:pStyle w:val="BodyText"/>
        <w:numPr>
          <w:ilvl w:val="1"/>
          <w:numId w:val="86"/>
        </w:numPr>
      </w:pPr>
      <w:r>
        <w:t>T</w:t>
      </w:r>
      <w:r w:rsidR="00441B71">
        <w:t xml:space="preserve">he renewable energy supplied to the eTES is additional to any existing </w:t>
      </w:r>
      <w:r w:rsidR="001104AB">
        <w:t>on</w:t>
      </w:r>
      <w:r w:rsidR="00A76758">
        <w:t xml:space="preserve">site or </w:t>
      </w:r>
      <w:r w:rsidR="00626219">
        <w:t xml:space="preserve">offsite </w:t>
      </w:r>
      <w:r w:rsidR="00441B71">
        <w:t xml:space="preserve">renewable energy </w:t>
      </w:r>
      <w:r w:rsidR="00E551BB">
        <w:t>sources</w:t>
      </w:r>
      <w:r w:rsidR="00441B71">
        <w:t xml:space="preserve">. </w:t>
      </w:r>
    </w:p>
    <w:p w14:paraId="734B5943" w14:textId="245FDF23" w:rsidR="00C90F4C" w:rsidRDefault="00697D94">
      <w:pPr>
        <w:pStyle w:val="BodyText"/>
        <w:numPr>
          <w:ilvl w:val="1"/>
          <w:numId w:val="86"/>
        </w:numPr>
      </w:pPr>
      <w:r>
        <w:t>T</w:t>
      </w:r>
      <w:r w:rsidR="00D45242">
        <w:t>he</w:t>
      </w:r>
      <w:r w:rsidR="00C90F4C">
        <w:t xml:space="preserve"> </w:t>
      </w:r>
      <w:r w:rsidR="00A93807">
        <w:t xml:space="preserve">voluntary </w:t>
      </w:r>
      <w:r w:rsidR="00C90F4C">
        <w:t xml:space="preserve">surrender of </w:t>
      </w:r>
      <w:r w:rsidR="00D3505D">
        <w:t xml:space="preserve">greenhouse gas emissions certificates for the volume of </w:t>
      </w:r>
      <w:r w:rsidR="00626219">
        <w:t xml:space="preserve">off-site purchased </w:t>
      </w:r>
      <w:r w:rsidR="00D3505D">
        <w:t>renewable energy claimed</w:t>
      </w:r>
      <w:r w:rsidR="00142721">
        <w:t xml:space="preserve"> </w:t>
      </w:r>
      <w:r w:rsidR="005E1F6C">
        <w:t>for the forward creation or annual creation period</w:t>
      </w:r>
      <w:r w:rsidR="00B5240A">
        <w:t xml:space="preserve">. </w:t>
      </w:r>
    </w:p>
    <w:p w14:paraId="2AB148A9" w14:textId="2A555786" w:rsidR="00B5240A" w:rsidRDefault="00D45242">
      <w:pPr>
        <w:pStyle w:val="BodyText"/>
        <w:numPr>
          <w:ilvl w:val="1"/>
          <w:numId w:val="86"/>
        </w:numPr>
      </w:pPr>
      <w:r>
        <w:t xml:space="preserve">The </w:t>
      </w:r>
      <w:r w:rsidR="00626219">
        <w:t>offsite</w:t>
      </w:r>
      <w:r>
        <w:t xml:space="preserve"> p</w:t>
      </w:r>
      <w:r w:rsidR="00B553D0">
        <w:t>urchased renewable energy must meet the following criteria:</w:t>
      </w:r>
    </w:p>
    <w:p w14:paraId="1717CB01" w14:textId="15A5B3F7" w:rsidR="00B553D0" w:rsidRDefault="00CB2ECB">
      <w:pPr>
        <w:pStyle w:val="BodyText"/>
        <w:numPr>
          <w:ilvl w:val="2"/>
          <w:numId w:val="86"/>
        </w:numPr>
      </w:pPr>
      <w:r>
        <w:t>Be recognised under the Large</w:t>
      </w:r>
      <w:r w:rsidR="000E6F76">
        <w:t>-s</w:t>
      </w:r>
      <w:r>
        <w:t>cale</w:t>
      </w:r>
      <w:r w:rsidR="001D3445">
        <w:t xml:space="preserve"> Renewable Energy target (i.e.</w:t>
      </w:r>
      <w:r>
        <w:t xml:space="preserve"> </w:t>
      </w:r>
      <w:r w:rsidR="001D3445">
        <w:t xml:space="preserve">Large-scale </w:t>
      </w:r>
      <w:r w:rsidR="00BA6024">
        <w:t>g</w:t>
      </w:r>
      <w:r>
        <w:t xml:space="preserve">eneration </w:t>
      </w:r>
      <w:r w:rsidR="00BA6024">
        <w:t>c</w:t>
      </w:r>
      <w:r w:rsidR="009700EC">
        <w:t>ertificate</w:t>
      </w:r>
      <w:r w:rsidR="00BA6024">
        <w:t xml:space="preserve">), Renewable electricity guarantee of origin, or any other </w:t>
      </w:r>
      <w:r w:rsidR="00DF61DF">
        <w:t xml:space="preserve">renewable energy scheme </w:t>
      </w:r>
      <w:r w:rsidR="00CC2214">
        <w:t>accepted</w:t>
      </w:r>
      <w:r w:rsidR="00CC2214" w:rsidRPr="00E37634">
        <w:t xml:space="preserve"> </w:t>
      </w:r>
      <w:r w:rsidR="00DF61DF" w:rsidRPr="00E37634">
        <w:t>by the program administrator</w:t>
      </w:r>
      <w:r w:rsidR="00DF61DF">
        <w:t xml:space="preserve">. </w:t>
      </w:r>
    </w:p>
    <w:p w14:paraId="4DC611BA" w14:textId="3FF05905" w:rsidR="00BA6024" w:rsidRDefault="00137258">
      <w:pPr>
        <w:pStyle w:val="BodyText"/>
        <w:numPr>
          <w:ilvl w:val="2"/>
          <w:numId w:val="86"/>
        </w:numPr>
      </w:pPr>
      <w:r>
        <w:t>Certificate vintage i</w:t>
      </w:r>
      <w:r w:rsidR="000527BD">
        <w:t>s no more than 36 months for certificates that are not below-baseline and 18-months for</w:t>
      </w:r>
      <w:r w:rsidR="000975DB">
        <w:t xml:space="preserve"> </w:t>
      </w:r>
      <w:r w:rsidR="000527BD">
        <w:t>certificates that are below baseline</w:t>
      </w:r>
      <w:r w:rsidR="000975DB">
        <w:t>.</w:t>
      </w:r>
    </w:p>
    <w:p w14:paraId="1018B7E7" w14:textId="5556BFAA" w:rsidR="000975DB" w:rsidRPr="00146BCB" w:rsidRDefault="00A37B1A">
      <w:pPr>
        <w:pStyle w:val="BodyText"/>
        <w:numPr>
          <w:ilvl w:val="2"/>
          <w:numId w:val="86"/>
        </w:numPr>
      </w:pPr>
      <w:r>
        <w:t>The geographic location of the r</w:t>
      </w:r>
      <w:r w:rsidR="000975DB">
        <w:t xml:space="preserve">enewable energy generation is </w:t>
      </w:r>
      <w:r w:rsidR="00DE05E8">
        <w:t>in</w:t>
      </w:r>
      <w:r w:rsidR="000975DB">
        <w:t xml:space="preserve"> Victoria. </w:t>
      </w:r>
    </w:p>
    <w:p w14:paraId="0F48B773" w14:textId="77777777" w:rsidR="006E32DF" w:rsidRDefault="006E32DF" w:rsidP="006E32DF">
      <w:bookmarkStart w:id="191" w:name="_Toc232605550"/>
    </w:p>
    <w:p w14:paraId="33CBFCF2" w14:textId="234284EF" w:rsidR="008F0D0B" w:rsidRPr="00E05128" w:rsidRDefault="008F0D0B" w:rsidP="00037A9F">
      <w:pPr>
        <w:pStyle w:val="Heading1"/>
        <w:ind w:left="426"/>
      </w:pPr>
      <w:bookmarkStart w:id="192" w:name="_Toc239413193"/>
      <w:r>
        <w:lastRenderedPageBreak/>
        <w:t>Heat demand reduction</w:t>
      </w:r>
      <w:bookmarkEnd w:id="191"/>
      <w:r w:rsidR="00037A9F">
        <w:t xml:space="preserve"> </w:t>
      </w:r>
      <w:r w:rsidR="005723CE">
        <w:t>avoided energy</w:t>
      </w:r>
      <w:bookmarkEnd w:id="192"/>
    </w:p>
    <w:p w14:paraId="33B3B1D9" w14:textId="77777777" w:rsidR="008F0D0B" w:rsidRDefault="008F0D0B" w:rsidP="008F0D0B">
      <w:pPr>
        <w:pStyle w:val="Heading2"/>
      </w:pPr>
      <w:bookmarkStart w:id="193" w:name="_Toc223358293"/>
      <w:bookmarkStart w:id="194" w:name="_Toc232605551"/>
      <w:r>
        <w:t>Information to be provided</w:t>
      </w:r>
      <w:bookmarkEnd w:id="193"/>
      <w:bookmarkEnd w:id="194"/>
    </w:p>
    <w:p w14:paraId="0FBA94D2" w14:textId="77777777" w:rsidR="008F0D0B" w:rsidRDefault="008F0D0B" w:rsidP="008F0D0B">
      <w:pPr>
        <w:pStyle w:val="Heading3"/>
      </w:pPr>
      <w:bookmarkStart w:id="195" w:name="_Toc223358294"/>
      <w:r>
        <w:t>Information to be provided in an application for scoping approval</w:t>
      </w:r>
      <w:bookmarkEnd w:id="195"/>
    </w:p>
    <w:p w14:paraId="03EBFE9B" w14:textId="77777777" w:rsidR="008F0D0B" w:rsidRDefault="008F0D0B">
      <w:pPr>
        <w:pStyle w:val="ListParagraph"/>
        <w:numPr>
          <w:ilvl w:val="0"/>
          <w:numId w:val="91"/>
        </w:numPr>
        <w:jc w:val="both"/>
      </w:pPr>
      <w:r>
        <w:t xml:space="preserve">A declaration that the project is eligible to use the heat demand reduction </w:t>
      </w:r>
      <w:r w:rsidRPr="00C4074E">
        <w:t>specified measurement method</w:t>
      </w:r>
      <w:r>
        <w:t>, and meets the following criteria:</w:t>
      </w:r>
    </w:p>
    <w:p w14:paraId="0F932A46" w14:textId="5E95B554" w:rsidR="008F0D0B" w:rsidRPr="00A95BD4" w:rsidRDefault="008F0D0B">
      <w:pPr>
        <w:pStyle w:val="BodyText"/>
        <w:numPr>
          <w:ilvl w:val="1"/>
          <w:numId w:val="91"/>
        </w:numPr>
      </w:pPr>
      <w:r w:rsidRPr="00A95BD4">
        <w:t>involves the installation of equipment or upgrades that result in long lasting reduction in the demand for heat</w:t>
      </w:r>
      <w:r w:rsidR="003E7AB1" w:rsidRPr="00A95BD4">
        <w:t>;</w:t>
      </w:r>
    </w:p>
    <w:p w14:paraId="18AC1294" w14:textId="0854739A" w:rsidR="008F0D0B" w:rsidRDefault="008F0D0B">
      <w:pPr>
        <w:pStyle w:val="BodyText"/>
        <w:numPr>
          <w:ilvl w:val="1"/>
          <w:numId w:val="91"/>
        </w:numPr>
      </w:pPr>
      <w:r w:rsidRPr="00A95BD4">
        <w:t>includes data sources suitable for the gas efficiency measurement method that will be used, including the measurement of the thermal energy that may include volume and temperature</w:t>
      </w:r>
      <w:r w:rsidRPr="00C64FBD">
        <w:t xml:space="preserve"> for the installed equipment, and pressure for pressurised systems</w:t>
      </w:r>
      <w:r w:rsidR="003E7AB1">
        <w:t>;</w:t>
      </w:r>
    </w:p>
    <w:p w14:paraId="23B50831" w14:textId="5AC43995" w:rsidR="00C0142C" w:rsidRDefault="003E7AB1">
      <w:pPr>
        <w:pStyle w:val="ListParagraph"/>
        <w:numPr>
          <w:ilvl w:val="1"/>
          <w:numId w:val="91"/>
        </w:numPr>
      </w:pPr>
      <w:r>
        <w:t>the</w:t>
      </w:r>
      <w:r w:rsidR="00C0142C">
        <w:t xml:space="preserve"> upgrades </w:t>
      </w:r>
      <w:r>
        <w:t>are</w:t>
      </w:r>
      <w:r w:rsidR="00C0142C">
        <w:t xml:space="preserve"> eligible </w:t>
      </w:r>
      <w:r>
        <w:t>as defined</w:t>
      </w:r>
      <w:r w:rsidR="00C0142C">
        <w:t xml:space="preserve"> in table 10.1.</w:t>
      </w:r>
    </w:p>
    <w:p w14:paraId="5D3EBAA1" w14:textId="77777777" w:rsidR="000439ED" w:rsidRDefault="000439ED" w:rsidP="000439ED">
      <w:pPr>
        <w:pStyle w:val="Caption"/>
      </w:pPr>
    </w:p>
    <w:p w14:paraId="5348113D" w14:textId="134EC835" w:rsidR="000439ED" w:rsidRDefault="000439ED" w:rsidP="00E37634">
      <w:pPr>
        <w:pStyle w:val="Caption"/>
      </w:pPr>
      <w:r>
        <w:t xml:space="preserve">Table </w:t>
      </w:r>
      <w:r>
        <w:fldChar w:fldCharType="begin"/>
      </w:r>
      <w:r>
        <w:instrText>SEQ Table \* ARABIC</w:instrText>
      </w:r>
      <w:r>
        <w:fldChar w:fldCharType="separate"/>
      </w:r>
      <w:r w:rsidR="003363DF">
        <w:rPr>
          <w:noProof/>
        </w:rPr>
        <w:t>1</w:t>
      </w:r>
      <w:r>
        <w:fldChar w:fldCharType="end"/>
      </w:r>
      <w:r>
        <w:t>0</w:t>
      </w:r>
      <w:r w:rsidR="005A7E86">
        <w:t>.1</w:t>
      </w:r>
      <w:r>
        <w:t xml:space="preserve"> Eligible measures</w:t>
      </w:r>
    </w:p>
    <w:tbl>
      <w:tblPr>
        <w:tblStyle w:val="TableGrid"/>
        <w:tblW w:w="0" w:type="auto"/>
        <w:tblLook w:val="04A0" w:firstRow="1" w:lastRow="0" w:firstColumn="1" w:lastColumn="0" w:noHBand="0" w:noVBand="1"/>
      </w:tblPr>
      <w:tblGrid>
        <w:gridCol w:w="7797"/>
        <w:gridCol w:w="1842"/>
      </w:tblGrid>
      <w:tr w:rsidR="000439ED" w14:paraId="2027777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97" w:type="dxa"/>
          </w:tcPr>
          <w:p w14:paraId="0ECA230F" w14:textId="77777777" w:rsidR="000439ED" w:rsidRDefault="000439ED">
            <w:r w:rsidRPr="009D03D3">
              <w:rPr>
                <w:b/>
                <w:bCs/>
              </w:rPr>
              <w:t>Measure</w:t>
            </w:r>
          </w:p>
        </w:tc>
        <w:tc>
          <w:tcPr>
            <w:tcW w:w="1842" w:type="dxa"/>
          </w:tcPr>
          <w:p w14:paraId="7BAFBE61" w14:textId="77777777" w:rsidR="000439ED" w:rsidRPr="009D03D3" w:rsidRDefault="000439ED">
            <w:pPr>
              <w:cnfStyle w:val="100000000000" w:firstRow="1" w:lastRow="0" w:firstColumn="0" w:lastColumn="0" w:oddVBand="0" w:evenVBand="0" w:oddHBand="0" w:evenHBand="0" w:firstRowFirstColumn="0" w:firstRowLastColumn="0" w:lastRowFirstColumn="0" w:lastRowLastColumn="0"/>
              <w:rPr>
                <w:b/>
                <w:bCs/>
              </w:rPr>
            </w:pPr>
            <w:r w:rsidRPr="009D03D3">
              <w:rPr>
                <w:b/>
                <w:bCs/>
              </w:rPr>
              <w:t xml:space="preserve">Eligibility </w:t>
            </w:r>
          </w:p>
        </w:tc>
      </w:tr>
      <w:tr w:rsidR="000439ED" w14:paraId="340879D0" w14:textId="77777777">
        <w:tc>
          <w:tcPr>
            <w:cnfStyle w:val="001000000000" w:firstRow="0" w:lastRow="0" w:firstColumn="1" w:lastColumn="0" w:oddVBand="0" w:evenVBand="0" w:oddHBand="0" w:evenHBand="0" w:firstRowFirstColumn="0" w:firstRowLastColumn="0" w:lastRowFirstColumn="0" w:lastRowLastColumn="0"/>
            <w:tcW w:w="7797" w:type="dxa"/>
          </w:tcPr>
          <w:p w14:paraId="251EDD2F" w14:textId="77777777" w:rsidR="000439ED" w:rsidRDefault="000439ED">
            <w:r w:rsidRPr="009D03D3">
              <w:t>Insulate previously uninsulated steam piping valves and flanges</w:t>
            </w:r>
          </w:p>
        </w:tc>
        <w:tc>
          <w:tcPr>
            <w:tcW w:w="1842" w:type="dxa"/>
          </w:tcPr>
          <w:p w14:paraId="2C181C75" w14:textId="77777777" w:rsidR="000439ED" w:rsidRDefault="000439ED">
            <w:pPr>
              <w:cnfStyle w:val="000000000000" w:firstRow="0" w:lastRow="0" w:firstColumn="0" w:lastColumn="0" w:oddVBand="0" w:evenVBand="0" w:oddHBand="0" w:evenHBand="0" w:firstRowFirstColumn="0" w:firstRowLastColumn="0" w:lastRowFirstColumn="0" w:lastRowLastColumn="0"/>
            </w:pPr>
            <w:r>
              <w:t>Yes</w:t>
            </w:r>
          </w:p>
        </w:tc>
      </w:tr>
      <w:tr w:rsidR="000439ED" w14:paraId="7466EBC2" w14:textId="77777777">
        <w:tc>
          <w:tcPr>
            <w:cnfStyle w:val="001000000000" w:firstRow="0" w:lastRow="0" w:firstColumn="1" w:lastColumn="0" w:oddVBand="0" w:evenVBand="0" w:oddHBand="0" w:evenHBand="0" w:firstRowFirstColumn="0" w:firstRowLastColumn="0" w:lastRowFirstColumn="0" w:lastRowLastColumn="0"/>
            <w:tcW w:w="7797" w:type="dxa"/>
          </w:tcPr>
          <w:p w14:paraId="4435FB13" w14:textId="77777777" w:rsidR="000439ED" w:rsidRDefault="000439ED">
            <w:r w:rsidRPr="009D03D3">
              <w:t>Insulate previously uninsulated equipment (tanks vessels heat exchanger shells)</w:t>
            </w:r>
          </w:p>
        </w:tc>
        <w:tc>
          <w:tcPr>
            <w:tcW w:w="1842" w:type="dxa"/>
          </w:tcPr>
          <w:p w14:paraId="65EDF1ED" w14:textId="77777777" w:rsidR="000439ED" w:rsidRDefault="000439ED">
            <w:pPr>
              <w:cnfStyle w:val="000000000000" w:firstRow="0" w:lastRow="0" w:firstColumn="0" w:lastColumn="0" w:oddVBand="0" w:evenVBand="0" w:oddHBand="0" w:evenHBand="0" w:firstRowFirstColumn="0" w:firstRowLastColumn="0" w:lastRowFirstColumn="0" w:lastRowLastColumn="0"/>
            </w:pPr>
            <w:r>
              <w:t>Yes</w:t>
            </w:r>
          </w:p>
        </w:tc>
      </w:tr>
      <w:tr w:rsidR="000439ED" w14:paraId="0BD5A464" w14:textId="77777777">
        <w:tc>
          <w:tcPr>
            <w:cnfStyle w:val="001000000000" w:firstRow="0" w:lastRow="0" w:firstColumn="1" w:lastColumn="0" w:oddVBand="0" w:evenVBand="0" w:oddHBand="0" w:evenHBand="0" w:firstRowFirstColumn="0" w:firstRowLastColumn="0" w:lastRowFirstColumn="0" w:lastRowLastColumn="0"/>
            <w:tcW w:w="7797" w:type="dxa"/>
            <w:vAlign w:val="bottom"/>
          </w:tcPr>
          <w:p w14:paraId="2B6F6970" w14:textId="77777777" w:rsidR="000439ED" w:rsidRDefault="000439ED">
            <w:r w:rsidRPr="009D03D3">
              <w:t>Replace damaged or compressed insulation (no underlying leak)</w:t>
            </w:r>
          </w:p>
        </w:tc>
        <w:tc>
          <w:tcPr>
            <w:tcW w:w="1842" w:type="dxa"/>
          </w:tcPr>
          <w:p w14:paraId="6C2CC02E" w14:textId="77777777" w:rsidR="000439ED" w:rsidRDefault="000439ED">
            <w:pPr>
              <w:cnfStyle w:val="000000000000" w:firstRow="0" w:lastRow="0" w:firstColumn="0" w:lastColumn="0" w:oddVBand="0" w:evenVBand="0" w:oddHBand="0" w:evenHBand="0" w:firstRowFirstColumn="0" w:firstRowLastColumn="0" w:lastRowFirstColumn="0" w:lastRowLastColumn="0"/>
            </w:pPr>
            <w:r>
              <w:t>Yes</w:t>
            </w:r>
          </w:p>
        </w:tc>
      </w:tr>
      <w:tr w:rsidR="000439ED" w14:paraId="47F812C0" w14:textId="77777777">
        <w:tc>
          <w:tcPr>
            <w:cnfStyle w:val="001000000000" w:firstRow="0" w:lastRow="0" w:firstColumn="1" w:lastColumn="0" w:oddVBand="0" w:evenVBand="0" w:oddHBand="0" w:evenHBand="0" w:firstRowFirstColumn="0" w:firstRowLastColumn="0" w:lastRowFirstColumn="0" w:lastRowLastColumn="0"/>
            <w:tcW w:w="7797" w:type="dxa"/>
          </w:tcPr>
          <w:p w14:paraId="1E105796" w14:textId="77777777" w:rsidR="000439ED" w:rsidRDefault="000439ED">
            <w:r w:rsidRPr="009D03D3">
              <w:t>Fix underlying leak AND replace wet insulation</w:t>
            </w:r>
          </w:p>
        </w:tc>
        <w:tc>
          <w:tcPr>
            <w:tcW w:w="1842" w:type="dxa"/>
          </w:tcPr>
          <w:p w14:paraId="73FCE55D" w14:textId="77777777" w:rsidR="000439ED" w:rsidRDefault="000439ED">
            <w:pPr>
              <w:cnfStyle w:val="000000000000" w:firstRow="0" w:lastRow="0" w:firstColumn="0" w:lastColumn="0" w:oddVBand="0" w:evenVBand="0" w:oddHBand="0" w:evenHBand="0" w:firstRowFirstColumn="0" w:firstRowLastColumn="0" w:lastRowFirstColumn="0" w:lastRowLastColumn="0"/>
            </w:pPr>
            <w:r>
              <w:t>Yes</w:t>
            </w:r>
          </w:p>
        </w:tc>
      </w:tr>
      <w:tr w:rsidR="000439ED" w14:paraId="1FF56BE9" w14:textId="77777777">
        <w:tc>
          <w:tcPr>
            <w:cnfStyle w:val="001000000000" w:firstRow="0" w:lastRow="0" w:firstColumn="1" w:lastColumn="0" w:oddVBand="0" w:evenVBand="0" w:oddHBand="0" w:evenHBand="0" w:firstRowFirstColumn="0" w:firstRowLastColumn="0" w:lastRowFirstColumn="0" w:lastRowLastColumn="0"/>
            <w:tcW w:w="7797" w:type="dxa"/>
          </w:tcPr>
          <w:p w14:paraId="12F4343B" w14:textId="77777777" w:rsidR="000439ED" w:rsidRPr="009D03D3" w:rsidRDefault="000439ED">
            <w:r w:rsidRPr="009D03D3">
              <w:t>Eliminate redundant or abandoned steam mains (cap or remove)</w:t>
            </w:r>
          </w:p>
        </w:tc>
        <w:tc>
          <w:tcPr>
            <w:tcW w:w="1842" w:type="dxa"/>
          </w:tcPr>
          <w:p w14:paraId="3D84852A" w14:textId="77777777" w:rsidR="000439ED" w:rsidRDefault="000439ED">
            <w:pPr>
              <w:cnfStyle w:val="000000000000" w:firstRow="0" w:lastRow="0" w:firstColumn="0" w:lastColumn="0" w:oddVBand="0" w:evenVBand="0" w:oddHBand="0" w:evenHBand="0" w:firstRowFirstColumn="0" w:firstRowLastColumn="0" w:lastRowFirstColumn="0" w:lastRowLastColumn="0"/>
            </w:pPr>
            <w:r>
              <w:t>Yes</w:t>
            </w:r>
          </w:p>
        </w:tc>
      </w:tr>
      <w:tr w:rsidR="000439ED" w14:paraId="7C4C7682" w14:textId="77777777">
        <w:tc>
          <w:tcPr>
            <w:cnfStyle w:val="001000000000" w:firstRow="0" w:lastRow="0" w:firstColumn="1" w:lastColumn="0" w:oddVBand="0" w:evenVBand="0" w:oddHBand="0" w:evenHBand="0" w:firstRowFirstColumn="0" w:firstRowLastColumn="0" w:lastRowFirstColumn="0" w:lastRowLastColumn="0"/>
            <w:tcW w:w="7797" w:type="dxa"/>
            <w:vAlign w:val="bottom"/>
          </w:tcPr>
          <w:p w14:paraId="25398058" w14:textId="77777777" w:rsidR="000439ED" w:rsidRPr="009D03D3" w:rsidRDefault="000439ED">
            <w:r w:rsidRPr="009D03D3">
              <w:t>Recover flash steam from high-pressure condensate to lower-pressure use</w:t>
            </w:r>
          </w:p>
        </w:tc>
        <w:tc>
          <w:tcPr>
            <w:tcW w:w="1842" w:type="dxa"/>
          </w:tcPr>
          <w:p w14:paraId="29FD7A60" w14:textId="77777777" w:rsidR="000439ED" w:rsidRDefault="000439ED">
            <w:pPr>
              <w:cnfStyle w:val="000000000000" w:firstRow="0" w:lastRow="0" w:firstColumn="0" w:lastColumn="0" w:oddVBand="0" w:evenVBand="0" w:oddHBand="0" w:evenHBand="0" w:firstRowFirstColumn="0" w:firstRowLastColumn="0" w:lastRowFirstColumn="0" w:lastRowLastColumn="0"/>
            </w:pPr>
            <w:r>
              <w:t>Yes</w:t>
            </w:r>
          </w:p>
        </w:tc>
      </w:tr>
      <w:tr w:rsidR="000439ED" w14:paraId="1EB9AB8E" w14:textId="77777777">
        <w:tc>
          <w:tcPr>
            <w:cnfStyle w:val="001000000000" w:firstRow="0" w:lastRow="0" w:firstColumn="1" w:lastColumn="0" w:oddVBand="0" w:evenVBand="0" w:oddHBand="0" w:evenHBand="0" w:firstRowFirstColumn="0" w:firstRowLastColumn="0" w:lastRowFirstColumn="0" w:lastRowLastColumn="0"/>
            <w:tcW w:w="7797" w:type="dxa"/>
            <w:vAlign w:val="bottom"/>
          </w:tcPr>
          <w:p w14:paraId="1C6B5DED" w14:textId="77777777" w:rsidR="000439ED" w:rsidRPr="009D03D3" w:rsidRDefault="000439ED">
            <w:r w:rsidRPr="009D03D3">
              <w:t>Return condensate that was previously dumped to drain</w:t>
            </w:r>
          </w:p>
        </w:tc>
        <w:tc>
          <w:tcPr>
            <w:tcW w:w="1842" w:type="dxa"/>
          </w:tcPr>
          <w:p w14:paraId="5DFF1AF2" w14:textId="77777777" w:rsidR="000439ED" w:rsidRDefault="000439ED">
            <w:pPr>
              <w:cnfStyle w:val="000000000000" w:firstRow="0" w:lastRow="0" w:firstColumn="0" w:lastColumn="0" w:oddVBand="0" w:evenVBand="0" w:oddHBand="0" w:evenHBand="0" w:firstRowFirstColumn="0" w:firstRowLastColumn="0" w:lastRowFirstColumn="0" w:lastRowLastColumn="0"/>
            </w:pPr>
            <w:r>
              <w:t>Yes</w:t>
            </w:r>
          </w:p>
        </w:tc>
      </w:tr>
      <w:tr w:rsidR="000439ED" w14:paraId="37C70D99" w14:textId="77777777">
        <w:tc>
          <w:tcPr>
            <w:cnfStyle w:val="001000000000" w:firstRow="0" w:lastRow="0" w:firstColumn="1" w:lastColumn="0" w:oddVBand="0" w:evenVBand="0" w:oddHBand="0" w:evenHBand="0" w:firstRowFirstColumn="0" w:firstRowLastColumn="0" w:lastRowFirstColumn="0" w:lastRowLastColumn="0"/>
            <w:tcW w:w="7797" w:type="dxa"/>
            <w:vAlign w:val="bottom"/>
          </w:tcPr>
          <w:p w14:paraId="53F720CE" w14:textId="77777777" w:rsidR="000439ED" w:rsidRPr="009D03D3" w:rsidRDefault="000439ED">
            <w:r w:rsidRPr="009D03D3">
              <w:t>Improve condensate return line insulation</w:t>
            </w:r>
          </w:p>
        </w:tc>
        <w:tc>
          <w:tcPr>
            <w:tcW w:w="1842" w:type="dxa"/>
          </w:tcPr>
          <w:p w14:paraId="4AB25DD8" w14:textId="77777777" w:rsidR="000439ED" w:rsidRDefault="000439ED">
            <w:pPr>
              <w:cnfStyle w:val="000000000000" w:firstRow="0" w:lastRow="0" w:firstColumn="0" w:lastColumn="0" w:oddVBand="0" w:evenVBand="0" w:oddHBand="0" w:evenHBand="0" w:firstRowFirstColumn="0" w:firstRowLastColumn="0" w:lastRowFirstColumn="0" w:lastRowLastColumn="0"/>
            </w:pPr>
            <w:r>
              <w:t>Yes</w:t>
            </w:r>
          </w:p>
        </w:tc>
      </w:tr>
      <w:tr w:rsidR="000439ED" w14:paraId="4B165B65" w14:textId="77777777">
        <w:tc>
          <w:tcPr>
            <w:cnfStyle w:val="001000000000" w:firstRow="0" w:lastRow="0" w:firstColumn="1" w:lastColumn="0" w:oddVBand="0" w:evenVBand="0" w:oddHBand="0" w:evenHBand="0" w:firstRowFirstColumn="0" w:firstRowLastColumn="0" w:lastRowFirstColumn="0" w:lastRowLastColumn="0"/>
            <w:tcW w:w="7797" w:type="dxa"/>
            <w:vAlign w:val="bottom"/>
          </w:tcPr>
          <w:p w14:paraId="6A617029" w14:textId="77777777" w:rsidR="000439ED" w:rsidRPr="009D03D3" w:rsidRDefault="000439ED">
            <w:r w:rsidRPr="009D03D3">
              <w:t>Replace incorrectly sized heat exchanger with correctly sized unit</w:t>
            </w:r>
          </w:p>
        </w:tc>
        <w:tc>
          <w:tcPr>
            <w:tcW w:w="1842" w:type="dxa"/>
          </w:tcPr>
          <w:p w14:paraId="3718BCF9" w14:textId="77777777" w:rsidR="000439ED" w:rsidRDefault="000439ED">
            <w:pPr>
              <w:cnfStyle w:val="000000000000" w:firstRow="0" w:lastRow="0" w:firstColumn="0" w:lastColumn="0" w:oddVBand="0" w:evenVBand="0" w:oddHBand="0" w:evenHBand="0" w:firstRowFirstColumn="0" w:firstRowLastColumn="0" w:lastRowFirstColumn="0" w:lastRowLastColumn="0"/>
            </w:pPr>
            <w:r>
              <w:t>Yes</w:t>
            </w:r>
          </w:p>
        </w:tc>
      </w:tr>
      <w:tr w:rsidR="000439ED" w14:paraId="4AA8724B" w14:textId="77777777">
        <w:tc>
          <w:tcPr>
            <w:cnfStyle w:val="001000000000" w:firstRow="0" w:lastRow="0" w:firstColumn="1" w:lastColumn="0" w:oddVBand="0" w:evenVBand="0" w:oddHBand="0" w:evenHBand="0" w:firstRowFirstColumn="0" w:firstRowLastColumn="0" w:lastRowFirstColumn="0" w:lastRowLastColumn="0"/>
            <w:tcW w:w="7797" w:type="dxa"/>
            <w:vAlign w:val="bottom"/>
          </w:tcPr>
          <w:p w14:paraId="33BD21B6" w14:textId="77777777" w:rsidR="000439ED" w:rsidRPr="009D03D3" w:rsidRDefault="000439ED">
            <w:r w:rsidRPr="009D03D3">
              <w:t>Add temperature or flow control where none previously existed</w:t>
            </w:r>
          </w:p>
        </w:tc>
        <w:tc>
          <w:tcPr>
            <w:tcW w:w="1842" w:type="dxa"/>
          </w:tcPr>
          <w:p w14:paraId="79C30BCB" w14:textId="77777777" w:rsidR="000439ED" w:rsidRDefault="000439ED">
            <w:pPr>
              <w:cnfStyle w:val="000000000000" w:firstRow="0" w:lastRow="0" w:firstColumn="0" w:lastColumn="0" w:oddVBand="0" w:evenVBand="0" w:oddHBand="0" w:evenHBand="0" w:firstRowFirstColumn="0" w:firstRowLastColumn="0" w:lastRowFirstColumn="0" w:lastRowLastColumn="0"/>
            </w:pPr>
            <w:r>
              <w:t>Yes</w:t>
            </w:r>
          </w:p>
        </w:tc>
      </w:tr>
      <w:tr w:rsidR="000439ED" w14:paraId="1ACB481C" w14:textId="77777777">
        <w:tc>
          <w:tcPr>
            <w:cnfStyle w:val="001000000000" w:firstRow="0" w:lastRow="0" w:firstColumn="1" w:lastColumn="0" w:oddVBand="0" w:evenVBand="0" w:oddHBand="0" w:evenHBand="0" w:firstRowFirstColumn="0" w:firstRowLastColumn="0" w:lastRowFirstColumn="0" w:lastRowLastColumn="0"/>
            <w:tcW w:w="7797" w:type="dxa"/>
            <w:vAlign w:val="bottom"/>
          </w:tcPr>
          <w:p w14:paraId="3B35715A" w14:textId="77777777" w:rsidR="000439ED" w:rsidRPr="009D03D3" w:rsidRDefault="000439ED">
            <w:r w:rsidRPr="009D03D3">
              <w:t>Install automatic isolation valves on intermittent steam users</w:t>
            </w:r>
          </w:p>
        </w:tc>
        <w:tc>
          <w:tcPr>
            <w:tcW w:w="1842" w:type="dxa"/>
          </w:tcPr>
          <w:p w14:paraId="0C4A55D3" w14:textId="77777777" w:rsidR="000439ED" w:rsidRDefault="000439ED">
            <w:pPr>
              <w:cnfStyle w:val="000000000000" w:firstRow="0" w:lastRow="0" w:firstColumn="0" w:lastColumn="0" w:oddVBand="0" w:evenVBand="0" w:oddHBand="0" w:evenHBand="0" w:firstRowFirstColumn="0" w:firstRowLastColumn="0" w:lastRowFirstColumn="0" w:lastRowLastColumn="0"/>
            </w:pPr>
            <w:r>
              <w:t>Yes</w:t>
            </w:r>
          </w:p>
        </w:tc>
      </w:tr>
      <w:tr w:rsidR="000439ED" w14:paraId="5E0D01B7" w14:textId="77777777">
        <w:tc>
          <w:tcPr>
            <w:cnfStyle w:val="001000000000" w:firstRow="0" w:lastRow="0" w:firstColumn="1" w:lastColumn="0" w:oddVBand="0" w:evenVBand="0" w:oddHBand="0" w:evenHBand="0" w:firstRowFirstColumn="0" w:firstRowLastColumn="0" w:lastRowFirstColumn="0" w:lastRowLastColumn="0"/>
            <w:tcW w:w="7797" w:type="dxa"/>
            <w:vAlign w:val="bottom"/>
          </w:tcPr>
          <w:p w14:paraId="0E56E2F6" w14:textId="77777777" w:rsidR="000439ED" w:rsidRPr="009D03D3" w:rsidRDefault="000439ED">
            <w:r w:rsidRPr="009D03D3">
              <w:t>Eliminate unnecessary steam tracing (hardware removal)</w:t>
            </w:r>
          </w:p>
        </w:tc>
        <w:tc>
          <w:tcPr>
            <w:tcW w:w="1842" w:type="dxa"/>
          </w:tcPr>
          <w:p w14:paraId="364DB45C" w14:textId="77777777" w:rsidR="000439ED" w:rsidRDefault="000439ED">
            <w:pPr>
              <w:cnfStyle w:val="000000000000" w:firstRow="0" w:lastRow="0" w:firstColumn="0" w:lastColumn="0" w:oddVBand="0" w:evenVBand="0" w:oddHBand="0" w:evenHBand="0" w:firstRowFirstColumn="0" w:firstRowLastColumn="0" w:lastRowFirstColumn="0" w:lastRowLastColumn="0"/>
            </w:pPr>
            <w:r>
              <w:t>Yes</w:t>
            </w:r>
          </w:p>
        </w:tc>
      </w:tr>
      <w:tr w:rsidR="000439ED" w14:paraId="064488E8" w14:textId="77777777">
        <w:tc>
          <w:tcPr>
            <w:cnfStyle w:val="001000000000" w:firstRow="0" w:lastRow="0" w:firstColumn="1" w:lastColumn="0" w:oddVBand="0" w:evenVBand="0" w:oddHBand="0" w:evenHBand="0" w:firstRowFirstColumn="0" w:firstRowLastColumn="0" w:lastRowFirstColumn="0" w:lastRowLastColumn="0"/>
            <w:tcW w:w="7797" w:type="dxa"/>
            <w:vAlign w:val="bottom"/>
          </w:tcPr>
          <w:p w14:paraId="3407B095" w14:textId="77777777" w:rsidR="000439ED" w:rsidRPr="009D03D3" w:rsidRDefault="000439ED">
            <w:r w:rsidRPr="009D03D3">
              <w:t>Replace direct steam injection with indirect heating (hardware change)</w:t>
            </w:r>
          </w:p>
        </w:tc>
        <w:tc>
          <w:tcPr>
            <w:tcW w:w="1842" w:type="dxa"/>
          </w:tcPr>
          <w:p w14:paraId="260E1B92" w14:textId="77777777" w:rsidR="000439ED" w:rsidRDefault="000439ED">
            <w:pPr>
              <w:cnfStyle w:val="000000000000" w:firstRow="0" w:lastRow="0" w:firstColumn="0" w:lastColumn="0" w:oddVBand="0" w:evenVBand="0" w:oddHBand="0" w:evenHBand="0" w:firstRowFirstColumn="0" w:firstRowLastColumn="0" w:lastRowFirstColumn="0" w:lastRowLastColumn="0"/>
            </w:pPr>
            <w:r>
              <w:t>Yes</w:t>
            </w:r>
          </w:p>
        </w:tc>
      </w:tr>
      <w:tr w:rsidR="000439ED" w14:paraId="06CEA25D" w14:textId="77777777">
        <w:tc>
          <w:tcPr>
            <w:cnfStyle w:val="001000000000" w:firstRow="0" w:lastRow="0" w:firstColumn="1" w:lastColumn="0" w:oddVBand="0" w:evenVBand="0" w:oddHBand="0" w:evenHBand="0" w:firstRowFirstColumn="0" w:firstRowLastColumn="0" w:lastRowFirstColumn="0" w:lastRowLastColumn="0"/>
            <w:tcW w:w="7797" w:type="dxa"/>
            <w:vAlign w:val="bottom"/>
          </w:tcPr>
          <w:p w14:paraId="0E44F018" w14:textId="77777777" w:rsidR="000439ED" w:rsidRPr="009D03D3" w:rsidRDefault="000439ED">
            <w:r w:rsidRPr="009D03D3">
              <w:t>Recover vent steam from deaerator</w:t>
            </w:r>
          </w:p>
        </w:tc>
        <w:tc>
          <w:tcPr>
            <w:tcW w:w="1842" w:type="dxa"/>
          </w:tcPr>
          <w:p w14:paraId="05BB8AF6" w14:textId="77777777" w:rsidR="000439ED" w:rsidRDefault="000439ED">
            <w:pPr>
              <w:cnfStyle w:val="000000000000" w:firstRow="0" w:lastRow="0" w:firstColumn="0" w:lastColumn="0" w:oddVBand="0" w:evenVBand="0" w:oddHBand="0" w:evenHBand="0" w:firstRowFirstColumn="0" w:firstRowLastColumn="0" w:lastRowFirstColumn="0" w:lastRowLastColumn="0"/>
            </w:pPr>
            <w:r>
              <w:t>Yes</w:t>
            </w:r>
          </w:p>
        </w:tc>
      </w:tr>
      <w:tr w:rsidR="000439ED" w14:paraId="26628D36" w14:textId="77777777">
        <w:tc>
          <w:tcPr>
            <w:cnfStyle w:val="001000000000" w:firstRow="0" w:lastRow="0" w:firstColumn="1" w:lastColumn="0" w:oddVBand="0" w:evenVBand="0" w:oddHBand="0" w:evenHBand="0" w:firstRowFirstColumn="0" w:firstRowLastColumn="0" w:lastRowFirstColumn="0" w:lastRowLastColumn="0"/>
            <w:tcW w:w="7797" w:type="dxa"/>
            <w:vAlign w:val="bottom"/>
          </w:tcPr>
          <w:p w14:paraId="40377698" w14:textId="77777777" w:rsidR="000439ED" w:rsidRPr="009D03D3" w:rsidRDefault="000439ED">
            <w:r>
              <w:t>M</w:t>
            </w:r>
            <w:r w:rsidRPr="006C12F8">
              <w:t>aintenance of steam traps</w:t>
            </w:r>
          </w:p>
        </w:tc>
        <w:tc>
          <w:tcPr>
            <w:tcW w:w="1842" w:type="dxa"/>
          </w:tcPr>
          <w:p w14:paraId="2ACD7086" w14:textId="77777777" w:rsidR="000439ED" w:rsidRDefault="000439ED">
            <w:pPr>
              <w:cnfStyle w:val="000000000000" w:firstRow="0" w:lastRow="0" w:firstColumn="0" w:lastColumn="0" w:oddVBand="0" w:evenVBand="0" w:oddHBand="0" w:evenHBand="0" w:firstRowFirstColumn="0" w:firstRowLastColumn="0" w:lastRowFirstColumn="0" w:lastRowLastColumn="0"/>
            </w:pPr>
            <w:r>
              <w:t>No</w:t>
            </w:r>
          </w:p>
        </w:tc>
      </w:tr>
      <w:tr w:rsidR="000439ED" w14:paraId="0BB4DD5D" w14:textId="77777777">
        <w:tc>
          <w:tcPr>
            <w:cnfStyle w:val="001000000000" w:firstRow="0" w:lastRow="0" w:firstColumn="1" w:lastColumn="0" w:oddVBand="0" w:evenVBand="0" w:oddHBand="0" w:evenHBand="0" w:firstRowFirstColumn="0" w:firstRowLastColumn="0" w:lastRowFirstColumn="0" w:lastRowLastColumn="0"/>
            <w:tcW w:w="7797" w:type="dxa"/>
            <w:vAlign w:val="bottom"/>
          </w:tcPr>
          <w:p w14:paraId="2DD023DD" w14:textId="77777777" w:rsidR="000439ED" w:rsidRDefault="000439ED">
            <w:r>
              <w:t>M</w:t>
            </w:r>
            <w:r w:rsidRPr="006C12F8">
              <w:t>inimization of steam delivery pressure</w:t>
            </w:r>
          </w:p>
        </w:tc>
        <w:tc>
          <w:tcPr>
            <w:tcW w:w="1842" w:type="dxa"/>
          </w:tcPr>
          <w:p w14:paraId="24FCA78F" w14:textId="77777777" w:rsidR="000439ED" w:rsidRDefault="000439ED">
            <w:pPr>
              <w:cnfStyle w:val="000000000000" w:firstRow="0" w:lastRow="0" w:firstColumn="0" w:lastColumn="0" w:oddVBand="0" w:evenVBand="0" w:oddHBand="0" w:evenHBand="0" w:firstRowFirstColumn="0" w:firstRowLastColumn="0" w:lastRowFirstColumn="0" w:lastRowLastColumn="0"/>
            </w:pPr>
            <w:r>
              <w:t>No</w:t>
            </w:r>
          </w:p>
        </w:tc>
      </w:tr>
      <w:tr w:rsidR="000439ED" w14:paraId="53A02F8E" w14:textId="77777777">
        <w:tc>
          <w:tcPr>
            <w:cnfStyle w:val="001000000000" w:firstRow="0" w:lastRow="0" w:firstColumn="1" w:lastColumn="0" w:oddVBand="0" w:evenVBand="0" w:oddHBand="0" w:evenHBand="0" w:firstRowFirstColumn="0" w:firstRowLastColumn="0" w:lastRowFirstColumn="0" w:lastRowLastColumn="0"/>
            <w:tcW w:w="7797" w:type="dxa"/>
            <w:vAlign w:val="bottom"/>
          </w:tcPr>
          <w:p w14:paraId="349CE60B" w14:textId="77777777" w:rsidR="000439ED" w:rsidRDefault="000439ED">
            <w:r>
              <w:t>Combustion trim</w:t>
            </w:r>
          </w:p>
        </w:tc>
        <w:tc>
          <w:tcPr>
            <w:tcW w:w="1842" w:type="dxa"/>
          </w:tcPr>
          <w:p w14:paraId="023202C0" w14:textId="77777777" w:rsidR="000439ED" w:rsidRDefault="000439ED">
            <w:pPr>
              <w:cnfStyle w:val="000000000000" w:firstRow="0" w:lastRow="0" w:firstColumn="0" w:lastColumn="0" w:oddVBand="0" w:evenVBand="0" w:oddHBand="0" w:evenHBand="0" w:firstRowFirstColumn="0" w:firstRowLastColumn="0" w:lastRowFirstColumn="0" w:lastRowLastColumn="0"/>
            </w:pPr>
            <w:r>
              <w:t>No</w:t>
            </w:r>
          </w:p>
        </w:tc>
      </w:tr>
      <w:tr w:rsidR="000671E8" w14:paraId="00094B39" w14:textId="77777777">
        <w:tc>
          <w:tcPr>
            <w:cnfStyle w:val="001000000000" w:firstRow="0" w:lastRow="0" w:firstColumn="1" w:lastColumn="0" w:oddVBand="0" w:evenVBand="0" w:oddHBand="0" w:evenHBand="0" w:firstRowFirstColumn="0" w:firstRowLastColumn="0" w:lastRowFirstColumn="0" w:lastRowLastColumn="0"/>
            <w:tcW w:w="7797" w:type="dxa"/>
            <w:vAlign w:val="bottom"/>
          </w:tcPr>
          <w:p w14:paraId="768209EF" w14:textId="1A5989CC" w:rsidR="000671E8" w:rsidRDefault="000671E8">
            <w:r>
              <w:t>Other measures may be proposed on a case by case basis to the administrator, who must be satisfied that the savings will be maintained without the need for additional intervention for the forward creation period</w:t>
            </w:r>
          </w:p>
        </w:tc>
        <w:tc>
          <w:tcPr>
            <w:tcW w:w="1842" w:type="dxa"/>
          </w:tcPr>
          <w:p w14:paraId="75C41FEA" w14:textId="78AA443C" w:rsidR="000671E8" w:rsidRDefault="000671E8">
            <w:pPr>
              <w:cnfStyle w:val="000000000000" w:firstRow="0" w:lastRow="0" w:firstColumn="0" w:lastColumn="0" w:oddVBand="0" w:evenVBand="0" w:oddHBand="0" w:evenHBand="0" w:firstRowFirstColumn="0" w:firstRowLastColumn="0" w:lastRowFirstColumn="0" w:lastRowLastColumn="0"/>
            </w:pPr>
            <w:r>
              <w:t>Note</w:t>
            </w:r>
          </w:p>
        </w:tc>
      </w:tr>
    </w:tbl>
    <w:p w14:paraId="434D3015" w14:textId="77777777" w:rsidR="000439ED" w:rsidRDefault="000439ED" w:rsidP="00E37634"/>
    <w:p w14:paraId="1C517CC7" w14:textId="77777777" w:rsidR="008F0D0B" w:rsidRDefault="008F0D0B" w:rsidP="008F0D0B">
      <w:pPr>
        <w:pStyle w:val="BodyText"/>
      </w:pPr>
    </w:p>
    <w:p w14:paraId="2C288CC7" w14:textId="77777777" w:rsidR="008F0D0B" w:rsidRDefault="008F0D0B" w:rsidP="008F0D0B">
      <w:pPr>
        <w:pStyle w:val="Heading2"/>
      </w:pPr>
      <w:bookmarkStart w:id="196" w:name="_Toc223358295"/>
      <w:bookmarkStart w:id="197" w:name="_Toc232605552"/>
      <w:r>
        <w:lastRenderedPageBreak/>
        <w:t>Methods</w:t>
      </w:r>
      <w:bookmarkEnd w:id="196"/>
      <w:bookmarkEnd w:id="197"/>
    </w:p>
    <w:p w14:paraId="2AAD83A3" w14:textId="77777777" w:rsidR="008F0D0B" w:rsidRPr="00423621" w:rsidRDefault="008F0D0B" w:rsidP="008F0D0B">
      <w:pPr>
        <w:pStyle w:val="Heading3"/>
      </w:pPr>
      <w:bookmarkStart w:id="198" w:name="_Toc223358296"/>
      <w:r w:rsidRPr="00423621">
        <w:t>Calculation of carbon dioxide equivalents of greenhouse gases</w:t>
      </w:r>
      <w:bookmarkEnd w:id="198"/>
    </w:p>
    <w:p w14:paraId="5D9FD9C8" w14:textId="584AD50E" w:rsidR="008F0D0B" w:rsidRPr="009F77A4" w:rsidRDefault="008F0D0B" w:rsidP="00FE6E68">
      <w:pPr>
        <w:pStyle w:val="ListNumber"/>
        <w:numPr>
          <w:ilvl w:val="0"/>
          <w:numId w:val="114"/>
        </w:numPr>
        <w:ind w:right="425"/>
        <w:jc w:val="left"/>
      </w:pPr>
      <w:r w:rsidRPr="00B94F65">
        <w:t xml:space="preserve">The carbon dioxide equivalent (in tonnes) of greenhouse gases to be reduced by undertaking a project is calculated using Equation </w:t>
      </w:r>
      <w:r w:rsidR="00693F84">
        <w:t>10.1</w:t>
      </w:r>
      <w:r w:rsidRPr="00B94F65">
        <w:t xml:space="preserve">, where variables are determined in accordance with section 2, this section and </w:t>
      </w:r>
      <w:r w:rsidRPr="00E37634">
        <w:rPr>
          <w:i/>
        </w:rPr>
        <w:t>Accounting For COVID-19 Under VEU (2021)</w:t>
      </w:r>
      <w:r w:rsidRPr="00B94F65">
        <w:t xml:space="preserve"> where applicable.</w:t>
      </w:r>
    </w:p>
    <w:p w14:paraId="5872B821" w14:textId="77777777" w:rsidR="008F0D0B" w:rsidRDefault="008F0D0B" w:rsidP="008F0D0B">
      <w:pPr>
        <w:pStyle w:val="BodyText"/>
      </w:pPr>
    </w:p>
    <w:p w14:paraId="440EA819" w14:textId="77777777" w:rsidR="008F0D0B" w:rsidRDefault="008F0D0B" w:rsidP="008F0D0B">
      <w:pPr>
        <w:pStyle w:val="Heading3"/>
      </w:pPr>
      <w:bookmarkStart w:id="199" w:name="_Toc223358297"/>
      <w:r>
        <w:t>Carbon dioxide equivalent to be reduced</w:t>
      </w:r>
      <w:bookmarkEnd w:id="199"/>
    </w:p>
    <w:p w14:paraId="0153A652" w14:textId="77777777" w:rsidR="008F0D0B" w:rsidRPr="00D34D72" w:rsidRDefault="008F0D0B" w:rsidP="008F0D0B">
      <w:pPr>
        <w:pStyle w:val="CaptionImageorFigure"/>
      </w:pPr>
      <w:r>
        <w:t>Equation 10.1</w:t>
      </w:r>
    </w:p>
    <w:p w14:paraId="01204619" w14:textId="4C7BC51B" w:rsidR="008F0D0B" w:rsidRPr="00C56BB8" w:rsidRDefault="00001628" w:rsidP="008F0D0B">
      <w:pPr>
        <w:pStyle w:val="BodyText"/>
        <w:ind w:left="567"/>
        <w:rPr>
          <w:rFonts w:cs="Arial"/>
          <w:sz w:val="24"/>
        </w:rPr>
      </w:pPr>
      <m:oMathPara>
        <m:oMathParaPr>
          <m:jc m:val="left"/>
        </m:oMathParaPr>
        <m:oMath>
          <m:r>
            <w:rPr>
              <w:rFonts w:ascii="Cambria Math" w:hAnsi="Cambria Math"/>
              <w:sz w:val="24"/>
            </w:rPr>
            <m:t xml:space="preserve">carbon dioxide equivalent= </m:t>
          </m:r>
          <m:nary>
            <m:naryPr>
              <m:chr m:val="∑"/>
              <m:limLoc m:val="subSup"/>
              <m:supHide m:val="1"/>
              <m:ctrlPr>
                <w:rPr>
                  <w:rFonts w:ascii="Cambria Math" w:hAnsi="Cambria Math" w:cstheme="minorHAnsi"/>
                  <w:i/>
                  <w:sz w:val="24"/>
                  <w:szCs w:val="24"/>
                </w:rPr>
              </m:ctrlPr>
            </m:naryPr>
            <m:sub>
              <m:r>
                <w:rPr>
                  <w:rFonts w:ascii="Cambria Math" w:hAnsi="Cambria Math" w:cstheme="minorHAnsi"/>
                  <w:sz w:val="24"/>
                  <w:szCs w:val="24"/>
                </w:rPr>
                <m:t>j</m:t>
              </m:r>
            </m:sub>
            <m:sup/>
            <m:e>
              <m:r>
                <w:rPr>
                  <w:rFonts w:ascii="Cambria Math" w:hAnsi="Cambria Math" w:cstheme="minorHAnsi"/>
                  <w:sz w:val="24"/>
                  <w:szCs w:val="24"/>
                </w:rPr>
                <m:t>(</m:t>
              </m:r>
              <m:r>
                <w:rPr>
                  <w:rFonts w:ascii="Cambria Math" w:hAnsi="Cambria Math"/>
                  <w:sz w:val="24"/>
                </w:rPr>
                <m:t xml:space="preserve">  </m:t>
              </m:r>
              <m:sSub>
                <m:sSubPr>
                  <m:ctrlPr>
                    <w:rPr>
                      <w:rFonts w:ascii="Cambria Math" w:hAnsi="Cambria Math" w:cstheme="minorHAnsi"/>
                      <w:i/>
                      <w:sz w:val="24"/>
                      <w:szCs w:val="24"/>
                    </w:rPr>
                  </m:ctrlPr>
                </m:sSubPr>
                <m:e>
                  <m:r>
                    <w:rPr>
                      <w:rFonts w:ascii="Cambria Math" w:hAnsi="Cambria Math"/>
                      <w:sz w:val="24"/>
                    </w:rPr>
                    <m:t>avoided emissions</m:t>
                  </m:r>
                </m:e>
                <m:sub>
                  <m:r>
                    <w:rPr>
                      <w:rFonts w:ascii="Cambria Math" w:hAnsi="Cambria Math" w:cstheme="minorHAnsi"/>
                      <w:sz w:val="24"/>
                      <w:szCs w:val="24"/>
                    </w:rPr>
                    <m:t>j</m:t>
                  </m:r>
                </m:sub>
              </m:sSub>
              <m:r>
                <w:rPr>
                  <w:rFonts w:ascii="Cambria Math" w:hAnsi="Cambria Math"/>
                  <w:sz w:val="24"/>
                </w:rPr>
                <m:t xml:space="preserve"> ×</m:t>
              </m:r>
              <m:sSub>
                <m:sSubPr>
                  <m:ctrlPr>
                    <w:rPr>
                      <w:rFonts w:ascii="Cambria Math" w:hAnsi="Cambria Math"/>
                      <w:i/>
                      <w:sz w:val="24"/>
                    </w:rPr>
                  </m:ctrlPr>
                </m:sSubPr>
                <m:e>
                  <m:r>
                    <w:rPr>
                      <w:rFonts w:ascii="Cambria Math" w:hAnsi="Cambria Math"/>
                      <w:sz w:val="24"/>
                    </w:rPr>
                    <m:t>PF</m:t>
                  </m:r>
                </m:e>
                <m:sub>
                  <m:r>
                    <w:rPr>
                      <w:rFonts w:ascii="Cambria Math" w:hAnsi="Cambria Math"/>
                      <w:sz w:val="24"/>
                    </w:rPr>
                    <m:t>j</m:t>
                  </m:r>
                </m:sub>
              </m:sSub>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AF</m:t>
                  </m:r>
                </m:e>
                <m:sub>
                  <m:r>
                    <w:rPr>
                      <w:rFonts w:ascii="Cambria Math" w:hAnsi="Cambria Math" w:cstheme="minorHAnsi"/>
                      <w:sz w:val="24"/>
                      <w:szCs w:val="24"/>
                    </w:rPr>
                    <m:t>j</m:t>
                  </m:r>
                </m:sub>
              </m:sSub>
              <m:r>
                <w:rPr>
                  <w:rFonts w:ascii="Cambria Math" w:hAnsi="Cambria Math" w:cstheme="minorHAnsi"/>
                  <w:sz w:val="24"/>
                  <w:szCs w:val="24"/>
                </w:rPr>
                <m:t>)</m:t>
              </m:r>
            </m:e>
          </m:nary>
          <m:r>
            <m:rPr>
              <m:sty m:val="p"/>
            </m:rPr>
            <w:rPr>
              <w:rFonts w:ascii="Cambria Math" w:hAnsi="Cambria Math"/>
              <w:sz w:val="24"/>
            </w:rPr>
            <m:t xml:space="preserve"> </m:t>
          </m:r>
          <m:r>
            <w:rPr>
              <w:rFonts w:ascii="Cambria Math" w:hAnsi="Cambria Math" w:cstheme="minorHAnsi"/>
              <w:sz w:val="24"/>
              <w:szCs w:val="24"/>
            </w:rPr>
            <m:t>-counted savings</m:t>
          </m:r>
          <m:r>
            <m:rPr>
              <m:sty m:val="p"/>
            </m:rPr>
            <w:rPr>
              <w:rFonts w:ascii="Cambria Math" w:hAnsi="Cambria Math"/>
              <w:sz w:val="24"/>
            </w:rPr>
            <w:br/>
          </m:r>
        </m:oMath>
        <m:oMath>
          <m:r>
            <w:rPr>
              <w:rFonts w:ascii="Cambria Math" w:hAnsi="Cambria Math"/>
              <w:sz w:val="24"/>
            </w:rPr>
            <m:t xml:space="preserve">   </m:t>
          </m:r>
        </m:oMath>
      </m:oMathPara>
    </w:p>
    <w:p w14:paraId="4E2DEA4D" w14:textId="77777777" w:rsidR="008F0D0B" w:rsidRDefault="008F0D0B" w:rsidP="008F0D0B">
      <w:pPr>
        <w:pStyle w:val="BodyText"/>
      </w:pPr>
      <w:r>
        <w:t>where:</w:t>
      </w:r>
    </w:p>
    <w:p w14:paraId="52825A4F" w14:textId="77777777" w:rsidR="008F0D0B" w:rsidRDefault="00001628">
      <w:pPr>
        <w:pStyle w:val="ListNumber2"/>
        <w:numPr>
          <w:ilvl w:val="0"/>
          <w:numId w:val="88"/>
        </w:numPr>
        <w:jc w:val="left"/>
      </w:pPr>
      <m:oMath>
        <m:r>
          <w:rPr>
            <w:rFonts w:ascii="Cambria Math" w:hAnsi="Cambria Math"/>
          </w:rPr>
          <m:t>j</m:t>
        </m:r>
      </m:oMath>
      <w:r w:rsidR="008F0D0B">
        <w:t xml:space="preserve"> is the measurement boundary number in the case that there are multiple measurement boundaries under one project;</w:t>
      </w:r>
    </w:p>
    <w:p w14:paraId="6DCF5B1E" w14:textId="36AF42DD" w:rsidR="008F0D0B" w:rsidRPr="000F2839" w:rsidRDefault="00000000">
      <w:pPr>
        <w:pStyle w:val="ListNumber2"/>
        <w:numPr>
          <w:ilvl w:val="0"/>
          <w:numId w:val="88"/>
        </w:numPr>
        <w:jc w:val="left"/>
      </w:pPr>
      <m:oMath>
        <m:sSub>
          <m:sSubPr>
            <m:ctrlPr>
              <w:rPr>
                <w:rFonts w:ascii="Cambria Math" w:hAnsi="Cambria Math" w:cstheme="minorHAnsi"/>
                <w:i/>
                <w:sz w:val="24"/>
                <w:szCs w:val="24"/>
              </w:rPr>
            </m:ctrlPr>
          </m:sSubPr>
          <m:e>
            <m:r>
              <w:rPr>
                <w:rFonts w:ascii="Cambria Math" w:hAnsi="Cambria Math"/>
                <w:sz w:val="24"/>
              </w:rPr>
              <m:t>avoided emissions</m:t>
            </m:r>
          </m:e>
          <m:sub>
            <m:r>
              <w:rPr>
                <w:rFonts w:ascii="Cambria Math" w:hAnsi="Cambria Math" w:cstheme="minorHAnsi"/>
                <w:sz w:val="24"/>
                <w:szCs w:val="24"/>
              </w:rPr>
              <m:t>j</m:t>
            </m:r>
          </m:sub>
        </m:sSub>
      </m:oMath>
      <w:r w:rsidR="008F0D0B">
        <w:t xml:space="preserve"> is calculated as per </w:t>
      </w:r>
      <w:r w:rsidR="008F0D0B" w:rsidRPr="000F2839">
        <w:t>equation 10.2;</w:t>
      </w:r>
    </w:p>
    <w:p w14:paraId="46E7869C" w14:textId="4213D93B" w:rsidR="008F0D0B" w:rsidRPr="000F2839" w:rsidRDefault="00000000">
      <w:pPr>
        <w:pStyle w:val="ListNumber2"/>
        <w:numPr>
          <w:ilvl w:val="0"/>
          <w:numId w:val="88"/>
        </w:numPr>
        <w:jc w:val="left"/>
      </w:pPr>
      <m:oMath>
        <m:sSub>
          <m:sSubPr>
            <m:ctrlPr>
              <w:rPr>
                <w:rFonts w:ascii="Cambria Math" w:hAnsi="Cambria Math"/>
                <w:i/>
                <w:sz w:val="24"/>
              </w:rPr>
            </m:ctrlPr>
          </m:sSubPr>
          <m:e>
            <m:r>
              <w:rPr>
                <w:rFonts w:ascii="Cambria Math" w:hAnsi="Cambria Math"/>
                <w:sz w:val="24"/>
              </w:rPr>
              <m:t>PF</m:t>
            </m:r>
          </m:e>
          <m:sub>
            <m:r>
              <w:rPr>
                <w:rFonts w:ascii="Cambria Math" w:hAnsi="Cambria Math"/>
                <w:sz w:val="24"/>
              </w:rPr>
              <m:t>j</m:t>
            </m:r>
          </m:sub>
        </m:sSub>
      </m:oMath>
      <w:r w:rsidR="008F0D0B" w:rsidRPr="000F2839">
        <w:rPr>
          <w:iCs/>
        </w:rPr>
        <w:t xml:space="preserve"> is the persistence factor as provided for in Table </w:t>
      </w:r>
      <w:r w:rsidR="008F0D0B" w:rsidRPr="000F2839">
        <w:t>10.</w:t>
      </w:r>
      <w:r w:rsidR="009A2E68" w:rsidRPr="000F2839">
        <w:rPr>
          <w:iCs/>
        </w:rPr>
        <w:t>2</w:t>
      </w:r>
      <w:r w:rsidR="008F0D0B" w:rsidRPr="000F2839">
        <w:rPr>
          <w:iCs/>
        </w:rPr>
        <w:t>;</w:t>
      </w:r>
    </w:p>
    <w:p w14:paraId="3B23DA20" w14:textId="31BAC424" w:rsidR="008F0D0B" w:rsidRPr="000F2839" w:rsidRDefault="00000000">
      <w:pPr>
        <w:pStyle w:val="ListNumber2"/>
        <w:numPr>
          <w:ilvl w:val="0"/>
          <w:numId w:val="88"/>
        </w:numPr>
        <w:jc w:val="left"/>
      </w:pPr>
      <m:oMath>
        <m:sSub>
          <m:sSubPr>
            <m:ctrlPr>
              <w:rPr>
                <w:rFonts w:ascii="Cambria Math" w:hAnsi="Cambria Math" w:cstheme="minorHAnsi"/>
                <w:i/>
                <w:sz w:val="24"/>
                <w:szCs w:val="24"/>
              </w:rPr>
            </m:ctrlPr>
          </m:sSubPr>
          <m:e>
            <m:r>
              <w:rPr>
                <w:rFonts w:ascii="Cambria Math" w:hAnsi="Cambria Math" w:cstheme="minorHAnsi"/>
                <w:sz w:val="24"/>
                <w:szCs w:val="24"/>
              </w:rPr>
              <m:t>AF</m:t>
            </m:r>
          </m:e>
          <m:sub>
            <m:r>
              <w:rPr>
                <w:rFonts w:ascii="Cambria Math" w:hAnsi="Cambria Math" w:cstheme="minorHAnsi"/>
                <w:sz w:val="24"/>
                <w:szCs w:val="24"/>
              </w:rPr>
              <m:t>j</m:t>
            </m:r>
          </m:sub>
        </m:sSub>
      </m:oMath>
      <w:r w:rsidR="008F0D0B" w:rsidRPr="000F2839">
        <w:t xml:space="preserve"> is the accuracy factor </w:t>
      </w:r>
      <w:r w:rsidR="008F0D0B" w:rsidRPr="000F2839">
        <w:rPr>
          <w:iCs/>
        </w:rPr>
        <w:t xml:space="preserve">as provided </w:t>
      </w:r>
      <w:r w:rsidR="008F0D0B" w:rsidRPr="000F2839">
        <w:t xml:space="preserve">for </w:t>
      </w:r>
      <w:r w:rsidR="008F0D0B" w:rsidRPr="000F2839">
        <w:rPr>
          <w:iCs/>
        </w:rPr>
        <w:t xml:space="preserve">in Table </w:t>
      </w:r>
      <w:r w:rsidR="008F0D0B" w:rsidRPr="000F2839">
        <w:t>10.</w:t>
      </w:r>
      <w:r w:rsidR="009A2E68" w:rsidRPr="000F2839">
        <w:t>3</w:t>
      </w:r>
      <w:r w:rsidR="008F0D0B" w:rsidRPr="000F2839">
        <w:t>.</w:t>
      </w:r>
    </w:p>
    <w:p w14:paraId="3DB67715" w14:textId="4B3C5873" w:rsidR="00E57635" w:rsidRDefault="00E57635">
      <w:pPr>
        <w:pStyle w:val="ListNumber2"/>
        <w:numPr>
          <w:ilvl w:val="0"/>
          <w:numId w:val="88"/>
        </w:numPr>
        <w:jc w:val="left"/>
      </w:pPr>
      <w:r w:rsidRPr="00F83712">
        <w:rPr>
          <w:i/>
          <w:iCs/>
        </w:rPr>
        <w:t>counted savings</w:t>
      </w:r>
      <w:r>
        <w:t xml:space="preserve"> is </w:t>
      </w:r>
      <w:r w:rsidRPr="00A21848">
        <w:t>a variable determined in accordance with section</w:t>
      </w:r>
      <w:r>
        <w:t xml:space="preserve"> 2.</w:t>
      </w:r>
    </w:p>
    <w:p w14:paraId="6973D417" w14:textId="77777777" w:rsidR="008F0D0B" w:rsidRDefault="008F0D0B" w:rsidP="008F0D0B">
      <w:pPr>
        <w:pStyle w:val="ListNumber2"/>
        <w:ind w:left="0" w:firstLine="0"/>
        <w:jc w:val="left"/>
      </w:pPr>
    </w:p>
    <w:p w14:paraId="1B9C67B9" w14:textId="5D241D9A" w:rsidR="008F0D0B" w:rsidRDefault="005A1B13" w:rsidP="008F0D0B">
      <w:pPr>
        <w:pStyle w:val="Heading3"/>
      </w:pPr>
      <w:bookmarkStart w:id="200" w:name="_Toc223358298"/>
      <w:r>
        <w:t>Avoided emissions</w:t>
      </w:r>
      <w:r w:rsidR="008F0D0B">
        <w:t xml:space="preserve"> savings</w:t>
      </w:r>
      <w:bookmarkEnd w:id="200"/>
      <w:r w:rsidR="008F0D0B">
        <w:t xml:space="preserve"> </w:t>
      </w:r>
    </w:p>
    <w:p w14:paraId="5A43F73A" w14:textId="77777777" w:rsidR="008F0D0B" w:rsidRDefault="008F0D0B" w:rsidP="008F0D0B">
      <w:pPr>
        <w:pStyle w:val="CaptionImageorFigure"/>
      </w:pPr>
      <w:r>
        <w:rPr>
          <w:rFonts w:eastAsiaTheme="majorEastAsia"/>
        </w:rPr>
        <w:t>Equation 10.</w:t>
      </w:r>
      <w:r>
        <w:t>2</w:t>
      </w:r>
    </w:p>
    <w:p w14:paraId="7C704FCC" w14:textId="77777777" w:rsidR="008F0D0B" w:rsidRPr="003D143A" w:rsidRDefault="00001628" w:rsidP="008F0D0B">
      <w:pPr>
        <w:spacing w:line="360" w:lineRule="auto"/>
        <w:ind w:left="360"/>
        <w:rPr>
          <w:rFonts w:ascii="Times New Roman" w:hAnsi="Times New Roman"/>
          <w:sz w:val="24"/>
          <w:szCs w:val="24"/>
        </w:rPr>
      </w:pPr>
      <m:oMathPara>
        <m:oMath>
          <m:r>
            <w:rPr>
              <w:rFonts w:ascii="Cambria Math" w:hAnsi="Cambria Math"/>
              <w:sz w:val="24"/>
              <w:szCs w:val="24"/>
            </w:rPr>
            <m:t>Avoided emissions=</m:t>
          </m:r>
          <m:nary>
            <m:naryPr>
              <m:chr m:val="∑"/>
              <m:limLoc m:val="subSup"/>
              <m:supHide m:val="1"/>
              <m:ctrlPr>
                <w:rPr>
                  <w:rFonts w:ascii="Cambria Math" w:hAnsi="Cambria Math"/>
                  <w:i/>
                  <w:sz w:val="24"/>
                  <w:szCs w:val="24"/>
                </w:rPr>
              </m:ctrlPr>
            </m:naryPr>
            <m:sub>
              <m:r>
                <w:rPr>
                  <w:rFonts w:ascii="Cambria Math" w:hAnsi="Cambria Math"/>
                  <w:sz w:val="24"/>
                  <w:szCs w:val="24"/>
                </w:rPr>
                <m:t>t</m:t>
              </m:r>
            </m:sub>
            <m:sup/>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B,t</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B</m:t>
                      </m:r>
                    </m:den>
                  </m:f>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EF</m:t>
                      </m:r>
                    </m:e>
                    <m:sub>
                      <m:r>
                        <w:rPr>
                          <w:rFonts w:ascii="Cambria Math" w:hAnsi="Cambria Math"/>
                          <w:sz w:val="24"/>
                          <w:szCs w:val="24"/>
                        </w:rPr>
                        <m:t>gas</m:t>
                      </m:r>
                    </m:sub>
                  </m:sSub>
                </m:e>
              </m:d>
            </m:e>
          </m:nary>
        </m:oMath>
      </m:oMathPara>
    </w:p>
    <w:p w14:paraId="7BB23C3E" w14:textId="77777777" w:rsidR="008F0D0B" w:rsidRPr="003D143A" w:rsidRDefault="008F0D0B" w:rsidP="008F0D0B">
      <w:pPr>
        <w:pStyle w:val="BodyText"/>
      </w:pPr>
      <w:r w:rsidRPr="003D143A">
        <w:t>where:</w:t>
      </w:r>
    </w:p>
    <w:p w14:paraId="7FBE0F87" w14:textId="77777777" w:rsidR="008F0D0B" w:rsidRDefault="00001628">
      <w:pPr>
        <w:pStyle w:val="ListNumber2"/>
        <w:numPr>
          <w:ilvl w:val="0"/>
          <w:numId w:val="97"/>
        </w:numPr>
        <w:jc w:val="left"/>
      </w:pPr>
      <m:oMath>
        <m:r>
          <w:rPr>
            <w:rFonts w:ascii="Cambria Math" w:eastAsiaTheme="minorEastAsia" w:hAnsi="Cambria Math"/>
          </w:rPr>
          <m:t>t</m:t>
        </m:r>
      </m:oMath>
      <w:r w:rsidR="008F0D0B" w:rsidRPr="0008292E">
        <w:t xml:space="preserve"> is an eligible time interval in the </w:t>
      </w:r>
      <w:r w:rsidR="008F0D0B">
        <w:t>operating</w:t>
      </w:r>
      <w:r w:rsidR="008F0D0B" w:rsidRPr="0008292E">
        <w:t xml:space="preserve"> period</w:t>
      </w:r>
      <w:r w:rsidR="008F0D0B">
        <w:t xml:space="preserve"> of that measurement boundary;</w:t>
      </w:r>
    </w:p>
    <w:p w14:paraId="3966BBBC" w14:textId="77777777" w:rsidR="008F0D0B" w:rsidRPr="0053462C" w:rsidRDefault="00000000">
      <w:pPr>
        <w:pStyle w:val="ListNumber2"/>
        <w:numPr>
          <w:ilvl w:val="0"/>
          <w:numId w:val="97"/>
        </w:numPr>
        <w:jc w:val="left"/>
      </w:pPr>
      <m:oMath>
        <m:sSub>
          <m:sSubPr>
            <m:ctrlPr>
              <w:rPr>
                <w:rFonts w:ascii="Cambria Math" w:hAnsi="Cambria Math"/>
                <w:i/>
              </w:rPr>
            </m:ctrlPr>
          </m:sSubPr>
          <m:e>
            <m:r>
              <w:rPr>
                <w:rFonts w:ascii="Cambria Math" w:hAnsi="Cambria Math"/>
              </w:rPr>
              <m:t>E</m:t>
            </m:r>
          </m:e>
          <m:sub>
            <m:r>
              <w:rPr>
                <w:rFonts w:ascii="Cambria Math" w:hAnsi="Cambria Math"/>
              </w:rPr>
              <m:t>B,t</m:t>
            </m:r>
          </m:sub>
        </m:sSub>
      </m:oMath>
      <w:r w:rsidR="008F0D0B" w:rsidRPr="00227AB5">
        <w:rPr>
          <w:rFonts w:eastAsiaTheme="minorEastAsia"/>
        </w:rPr>
        <w:t xml:space="preserve"> is the</w:t>
      </w:r>
      <w:r w:rsidR="008F0D0B">
        <w:rPr>
          <w:rFonts w:eastAsiaTheme="minorEastAsia"/>
        </w:rPr>
        <w:t xml:space="preserve"> heat energy savings measured in GJ</w:t>
      </w:r>
      <w:r w:rsidR="008F0D0B" w:rsidRPr="00227AB5">
        <w:rPr>
          <w:rFonts w:eastAsiaTheme="minorEastAsia"/>
        </w:rPr>
        <w:t xml:space="preserve"> for</w:t>
      </w:r>
      <w:r w:rsidR="008F0D0B">
        <w:rPr>
          <w:rFonts w:eastAsiaTheme="minorEastAsia"/>
        </w:rPr>
        <w:t xml:space="preserve"> time interval</w:t>
      </w:r>
      <w:r w:rsidR="008F0D0B" w:rsidRPr="00227AB5">
        <w:rPr>
          <w:rFonts w:eastAsiaTheme="minorEastAsia"/>
        </w:rPr>
        <w:t xml:space="preserve"> </w:t>
      </w:r>
      <w:r w:rsidR="008F0D0B" w:rsidRPr="00227AB5">
        <w:rPr>
          <w:rFonts w:eastAsiaTheme="minorEastAsia"/>
          <w:i/>
        </w:rPr>
        <w:t>t</w:t>
      </w:r>
      <w:r w:rsidR="008F0D0B">
        <w:rPr>
          <w:rFonts w:eastAsiaTheme="minorEastAsia"/>
          <w:i/>
        </w:rPr>
        <w:t xml:space="preserve"> </w:t>
      </w:r>
      <w:r w:rsidR="008F0D0B">
        <w:rPr>
          <w:rFonts w:eastAsiaTheme="minorEastAsia"/>
        </w:rPr>
        <w:t>at that measurement boundary;</w:t>
      </w:r>
    </w:p>
    <w:p w14:paraId="353CE15B" w14:textId="667FF19B" w:rsidR="008F0D0B" w:rsidRDefault="00001628">
      <w:pPr>
        <w:pStyle w:val="ListNumber2"/>
        <w:numPr>
          <w:ilvl w:val="0"/>
          <w:numId w:val="97"/>
        </w:numPr>
        <w:jc w:val="left"/>
      </w:pPr>
      <m:oMath>
        <m:r>
          <w:rPr>
            <w:rFonts w:ascii="Cambria Math" w:hAnsi="Cambria Math"/>
          </w:rPr>
          <m:t>B</m:t>
        </m:r>
      </m:oMath>
      <w:r w:rsidR="008F0D0B">
        <w:t xml:space="preserve"> is the boiler or furnace efficiency factor, </w:t>
      </w:r>
      <w:r w:rsidR="00F60385">
        <w:t>0.</w:t>
      </w:r>
      <w:r w:rsidR="00CC34B4">
        <w:t>788</w:t>
      </w:r>
      <w:r w:rsidR="00F60385">
        <w:t>;</w:t>
      </w:r>
    </w:p>
    <w:p w14:paraId="7B9E3387" w14:textId="77777777" w:rsidR="008F0D0B" w:rsidRDefault="00000000">
      <w:pPr>
        <w:pStyle w:val="ListNumber2"/>
        <w:numPr>
          <w:ilvl w:val="0"/>
          <w:numId w:val="97"/>
        </w:numPr>
        <w:jc w:val="left"/>
      </w:pPr>
      <m:oMath>
        <m:sSub>
          <m:sSubPr>
            <m:ctrlPr>
              <w:rPr>
                <w:rFonts w:ascii="Cambria Math" w:hAnsi="Cambria Math"/>
                <w:i/>
              </w:rPr>
            </m:ctrlPr>
          </m:sSubPr>
          <m:e>
            <m:r>
              <w:rPr>
                <w:rFonts w:ascii="Cambria Math" w:hAnsi="Cambria Math"/>
              </w:rPr>
              <m:t>EF</m:t>
            </m:r>
          </m:e>
          <m:sub>
            <m:r>
              <w:rPr>
                <w:rFonts w:ascii="Cambria Math" w:hAnsi="Cambria Math"/>
              </w:rPr>
              <m:t>gas</m:t>
            </m:r>
          </m:sub>
        </m:sSub>
      </m:oMath>
      <w:r w:rsidR="008F0D0B" w:rsidRPr="00227AB5">
        <w:rPr>
          <w:rFonts w:eastAsiaTheme="minorEastAsia"/>
        </w:rPr>
        <w:t xml:space="preserve"> is the</w:t>
      </w:r>
      <w:r w:rsidR="008F0D0B">
        <w:rPr>
          <w:rFonts w:eastAsiaTheme="minorEastAsia"/>
        </w:rPr>
        <w:t xml:space="preserve"> gas emissions factor as defined in </w:t>
      </w:r>
      <w:r w:rsidR="008F0D0B" w:rsidRPr="009D1CEF">
        <w:rPr>
          <w:iCs/>
        </w:rPr>
        <w:t>Section 2.1</w:t>
      </w:r>
      <w:r w:rsidR="008F0D0B">
        <w:rPr>
          <w:iCs/>
        </w:rPr>
        <w:t>.</w:t>
      </w:r>
    </w:p>
    <w:p w14:paraId="7F2BA937" w14:textId="77777777" w:rsidR="008F0D0B" w:rsidRDefault="008F0D0B" w:rsidP="008F0D0B">
      <w:pPr>
        <w:pStyle w:val="ListNumber2"/>
        <w:ind w:left="0" w:firstLine="0"/>
        <w:jc w:val="left"/>
      </w:pPr>
    </w:p>
    <w:p w14:paraId="4907A7D4" w14:textId="77777777" w:rsidR="008F0D0B" w:rsidRPr="00973E31" w:rsidRDefault="008F0D0B" w:rsidP="008F0D0B">
      <w:pPr>
        <w:pStyle w:val="CaptionImageorFigure"/>
        <w:rPr>
          <w:b w:val="0"/>
          <w:bCs w:val="0"/>
        </w:rPr>
      </w:pPr>
      <w:r w:rsidRPr="00973E31">
        <w:rPr>
          <w:b w:val="0"/>
          <w:bCs w:val="0"/>
        </w:rPr>
        <w:t>Equation 10.3</w:t>
      </w:r>
    </w:p>
    <w:p w14:paraId="45BE4BCE" w14:textId="144B754C" w:rsidR="008F0D0B" w:rsidRPr="00A67EDB" w:rsidRDefault="00000000" w:rsidP="008F0D0B">
      <w:pPr>
        <w:spacing w:line="360" w:lineRule="auto"/>
        <w:jc w:val="center"/>
        <w:rPr>
          <w:rFonts w:ascii="Times New Roman" w:eastAsiaTheme="minorEastAsia" w:hAnsi="Times New Roman"/>
          <w:sz w:val="24"/>
          <w:szCs w:val="24"/>
        </w:rPr>
      </w:pPr>
      <m:oMathPara>
        <m:oMath>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B,t</m:t>
              </m:r>
            </m:sub>
          </m:sSub>
          <m:r>
            <w:rPr>
              <w:rFonts w:ascii="Cambria Math" w:hAnsi="Cambria Math"/>
              <w:sz w:val="24"/>
              <w:szCs w:val="24"/>
            </w:rPr>
            <m:t>=</m:t>
          </m:r>
          <m:nary>
            <m:naryPr>
              <m:chr m:val="∑"/>
              <m:limLoc m:val="subSup"/>
              <m:supHide m:val="1"/>
              <m:ctrlPr>
                <w:rPr>
                  <w:rFonts w:ascii="Cambria Math" w:hAnsi="Cambria Math"/>
                  <w:i/>
                  <w:sz w:val="24"/>
                  <w:szCs w:val="24"/>
                </w:rPr>
              </m:ctrlPr>
            </m:naryPr>
            <m:sub>
              <m:r>
                <w:rPr>
                  <w:rFonts w:ascii="Cambria Math" w:hAnsi="Cambria Math"/>
                  <w:sz w:val="24"/>
                  <w:szCs w:val="24"/>
                </w:rPr>
                <m:t>t</m:t>
              </m:r>
            </m:sub>
            <m:sup/>
            <m:e>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BM,t</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OM,t</m:t>
                  </m:r>
                </m:sub>
              </m:sSub>
              <m:r>
                <w:rPr>
                  <w:rFonts w:ascii="Cambria Math" w:hAnsi="Cambria Math"/>
                  <w:sz w:val="24"/>
                  <w:szCs w:val="24"/>
                </w:rPr>
                <m:t>) × ERAF</m:t>
              </m:r>
            </m:e>
          </m:nary>
        </m:oMath>
      </m:oMathPara>
    </w:p>
    <w:p w14:paraId="306EE4DF" w14:textId="77777777" w:rsidR="008F0D0B" w:rsidRPr="00A67EDB" w:rsidRDefault="008F0D0B" w:rsidP="008F0D0B">
      <w:pPr>
        <w:pStyle w:val="BodyText"/>
        <w:rPr>
          <w:rFonts w:eastAsiaTheme="minorEastAsia"/>
        </w:rPr>
      </w:pPr>
      <w:r w:rsidRPr="00A67EDB">
        <w:rPr>
          <w:rFonts w:eastAsiaTheme="minorEastAsia"/>
        </w:rPr>
        <w:t>where:</w:t>
      </w:r>
    </w:p>
    <w:p w14:paraId="294EF9FB" w14:textId="77777777" w:rsidR="008F0D0B" w:rsidRPr="00A67EDB" w:rsidRDefault="00001628">
      <w:pPr>
        <w:pStyle w:val="ListNumber2"/>
        <w:numPr>
          <w:ilvl w:val="0"/>
          <w:numId w:val="89"/>
        </w:numPr>
        <w:jc w:val="left"/>
        <w:rPr>
          <w:rFonts w:cstheme="minorHAnsi"/>
        </w:rPr>
      </w:pPr>
      <m:oMath>
        <m:r>
          <w:rPr>
            <w:rFonts w:ascii="Cambria Math" w:hAnsi="Cambria Math" w:cstheme="minorHAnsi"/>
          </w:rPr>
          <m:t>t</m:t>
        </m:r>
      </m:oMath>
      <w:r w:rsidR="008F0D0B" w:rsidRPr="00A67EDB">
        <w:rPr>
          <w:rFonts w:cstheme="minorHAnsi"/>
        </w:rPr>
        <w:t xml:space="preserve"> is </w:t>
      </w:r>
      <w:r w:rsidR="008F0D0B" w:rsidRPr="000F2839">
        <w:rPr>
          <w:rFonts w:cstheme="minorHAnsi"/>
        </w:rPr>
        <w:t>an eligible time interval in the</w:t>
      </w:r>
      <w:r w:rsidR="008F0D0B" w:rsidRPr="00A67EDB">
        <w:rPr>
          <w:rFonts w:cstheme="minorHAnsi"/>
        </w:rPr>
        <w:t xml:space="preserve"> operating period that measurement boundary;</w:t>
      </w:r>
    </w:p>
    <w:bookmarkStart w:id="201" w:name="OLE_LINK10"/>
    <w:p w14:paraId="55D8EA26" w14:textId="4180867B" w:rsidR="008F0D0B" w:rsidRPr="00A67EDB" w:rsidRDefault="00000000">
      <w:pPr>
        <w:pStyle w:val="ListNumber2"/>
        <w:numPr>
          <w:ilvl w:val="0"/>
          <w:numId w:val="89"/>
        </w:numPr>
        <w:jc w:val="left"/>
      </w:pPr>
      <m:oMath>
        <m:sSub>
          <m:sSubPr>
            <m:ctrlPr>
              <w:rPr>
                <w:rFonts w:ascii="Cambria Math" w:hAnsi="Cambria Math"/>
                <w:i/>
              </w:rPr>
            </m:ctrlPr>
          </m:sSubPr>
          <m:e>
            <m:r>
              <w:rPr>
                <w:rFonts w:ascii="Cambria Math" w:hAnsi="Cambria Math"/>
              </w:rPr>
              <m:t>E</m:t>
            </m:r>
          </m:e>
          <m:sub>
            <m:r>
              <w:rPr>
                <w:rFonts w:ascii="Cambria Math" w:hAnsi="Cambria Math"/>
              </w:rPr>
              <m:t>BM,t</m:t>
            </m:r>
          </m:sub>
        </m:sSub>
      </m:oMath>
      <w:bookmarkEnd w:id="201"/>
      <w:r w:rsidR="008F0D0B" w:rsidRPr="00A67EDB">
        <w:t xml:space="preserve"> is the predicted </w:t>
      </w:r>
      <w:r w:rsidR="008F0D0B" w:rsidRPr="00E37634">
        <w:t>baseline</w:t>
      </w:r>
      <w:r w:rsidR="008F0D0B">
        <w:t xml:space="preserve"> </w:t>
      </w:r>
      <w:r w:rsidR="008F0D0B" w:rsidRPr="00E37634">
        <w:t>thermal energy imparted to the working fluid</w:t>
      </w:r>
      <w:r w:rsidR="008F0D0B" w:rsidRPr="00A67EDB">
        <w:t xml:space="preserve"> over interval </w:t>
      </w:r>
      <m:oMath>
        <m:r>
          <w:rPr>
            <w:rFonts w:ascii="Cambria Math" w:hAnsi="Cambria Math" w:cstheme="minorHAnsi"/>
          </w:rPr>
          <m:t>t</m:t>
        </m:r>
      </m:oMath>
      <w:r w:rsidR="008F0D0B" w:rsidRPr="00A67EDB">
        <w:t xml:space="preserve"> of that measurement boundary, based on the baseline model;</w:t>
      </w:r>
    </w:p>
    <w:p w14:paraId="7D9B9715" w14:textId="77777777" w:rsidR="008F0D0B" w:rsidRDefault="00000000">
      <w:pPr>
        <w:pStyle w:val="ListNumber2"/>
        <w:numPr>
          <w:ilvl w:val="0"/>
          <w:numId w:val="89"/>
        </w:numPr>
        <w:jc w:val="left"/>
      </w:pPr>
      <m:oMath>
        <m:sSub>
          <m:sSubPr>
            <m:ctrlPr>
              <w:rPr>
                <w:rFonts w:ascii="Cambria Math" w:hAnsi="Cambria Math"/>
                <w:i/>
              </w:rPr>
            </m:ctrlPr>
          </m:sSubPr>
          <m:e>
            <m:r>
              <w:rPr>
                <w:rFonts w:ascii="Cambria Math" w:hAnsi="Cambria Math"/>
              </w:rPr>
              <m:t>E</m:t>
            </m:r>
          </m:e>
          <m:sub>
            <m:r>
              <w:rPr>
                <w:rFonts w:ascii="Cambria Math" w:hAnsi="Cambria Math"/>
              </w:rPr>
              <m:t>OM,t</m:t>
            </m:r>
          </m:sub>
        </m:sSub>
      </m:oMath>
      <w:r w:rsidR="008F0D0B" w:rsidRPr="00A67EDB">
        <w:t xml:space="preserve"> is the measured </w:t>
      </w:r>
      <w:r w:rsidR="008F0D0B" w:rsidRPr="00E37634">
        <w:t>thermal energy imparted to the working fluid</w:t>
      </w:r>
      <w:r w:rsidR="008F0D0B" w:rsidRPr="00A67EDB">
        <w:t xml:space="preserve"> for interval </w:t>
      </w:r>
      <m:oMath>
        <m:r>
          <w:rPr>
            <w:rFonts w:ascii="Cambria Math" w:hAnsi="Cambria Math" w:cstheme="minorHAnsi"/>
          </w:rPr>
          <m:t>t</m:t>
        </m:r>
      </m:oMath>
      <w:r w:rsidR="008F0D0B" w:rsidRPr="00A67EDB">
        <w:t xml:space="preserve"> in operating period of that measurement boundary.</w:t>
      </w:r>
    </w:p>
    <w:p w14:paraId="54FFF451" w14:textId="0639933C" w:rsidR="008F0D0B" w:rsidRPr="00E37634" w:rsidRDefault="00001628">
      <w:pPr>
        <w:pStyle w:val="ListNumber2"/>
        <w:numPr>
          <w:ilvl w:val="0"/>
          <w:numId w:val="89"/>
        </w:numPr>
        <w:jc w:val="left"/>
      </w:pPr>
      <m:oMath>
        <m:r>
          <w:rPr>
            <w:rFonts w:ascii="Cambria Math" w:hAnsi="Cambria Math"/>
          </w:rPr>
          <w:lastRenderedPageBreak/>
          <m:t>ERAF</m:t>
        </m:r>
      </m:oMath>
      <w:r w:rsidR="008F0D0B" w:rsidRPr="00E37634">
        <w:t xml:space="preserve"> is the Effective Range Adjustment Factor that adjusts for Avoided Energy during Interval t corresponding to Independent Variables values </w:t>
      </w:r>
      <m:oMath>
        <m:acc>
          <m:accPr>
            <m:chr m:val="̃"/>
            <m:ctrlPr>
              <w:rPr>
                <w:rFonts w:ascii="Cambria Math" w:hAnsi="Cambria Math"/>
              </w:rPr>
            </m:ctrlPr>
          </m:accPr>
          <m:e>
            <m:r>
              <w:rPr>
                <w:rFonts w:ascii="Cambria Math" w:eastAsiaTheme="minorEastAsia" w:hAnsi="Cambria Math"/>
              </w:rPr>
              <m:t>x</m:t>
            </m:r>
          </m:e>
        </m:acc>
        <m:d>
          <m:dPr>
            <m:ctrlPr>
              <w:rPr>
                <w:rFonts w:ascii="Cambria Math" w:hAnsi="Cambria Math"/>
              </w:rPr>
            </m:ctrlPr>
          </m:dPr>
          <m:e>
            <m:r>
              <w:rPr>
                <w:rFonts w:ascii="Cambria Math" w:eastAsiaTheme="minorEastAsia" w:hAnsi="Cambria Math"/>
              </w:rPr>
              <m:t>t</m:t>
            </m:r>
          </m:e>
        </m:d>
      </m:oMath>
      <w:r w:rsidR="008F0D0B" w:rsidRPr="00E37634">
        <w:rPr>
          <w:rFonts w:eastAsiaTheme="minorEastAsia"/>
        </w:rPr>
        <w:t xml:space="preserve"> that fall outside the Effective Range of the </w:t>
      </w:r>
      <w:r w:rsidR="00870181">
        <w:rPr>
          <w:rFonts w:eastAsiaTheme="minorEastAsia"/>
        </w:rPr>
        <w:t>operating</w:t>
      </w:r>
      <w:r w:rsidR="008F0D0B" w:rsidRPr="00E37634">
        <w:rPr>
          <w:rFonts w:eastAsiaTheme="minorEastAsia"/>
        </w:rPr>
        <w:t xml:space="preserve"> </w:t>
      </w:r>
      <w:r w:rsidR="00870181">
        <w:rPr>
          <w:rFonts w:eastAsiaTheme="minorEastAsia"/>
        </w:rPr>
        <w:t>p</w:t>
      </w:r>
      <w:r w:rsidR="008F0D0B" w:rsidRPr="00E37634">
        <w:rPr>
          <w:rFonts w:eastAsiaTheme="minorEastAsia"/>
        </w:rPr>
        <w:t xml:space="preserve">eriod </w:t>
      </w:r>
      <w:r w:rsidR="00870181">
        <w:rPr>
          <w:rFonts w:eastAsiaTheme="minorEastAsia"/>
        </w:rPr>
        <w:t>e</w:t>
      </w:r>
      <w:r w:rsidR="008F0D0B" w:rsidRPr="00E37634">
        <w:rPr>
          <w:rFonts w:eastAsiaTheme="minorEastAsia"/>
        </w:rPr>
        <w:t xml:space="preserve">nergy </w:t>
      </w:r>
      <w:r w:rsidR="00870181">
        <w:rPr>
          <w:rFonts w:eastAsiaTheme="minorEastAsia"/>
        </w:rPr>
        <w:t>m</w:t>
      </w:r>
      <w:r w:rsidR="008F0D0B" w:rsidRPr="00E37634">
        <w:rPr>
          <w:rFonts w:eastAsiaTheme="minorEastAsia"/>
        </w:rPr>
        <w:t xml:space="preserve">odel. </w:t>
      </w:r>
    </w:p>
    <w:p w14:paraId="4A4DD308" w14:textId="70100EFA" w:rsidR="001A300A" w:rsidRDefault="00000000">
      <w:pPr>
        <w:pStyle w:val="ListNumber2"/>
        <w:numPr>
          <w:ilvl w:val="0"/>
          <w:numId w:val="89"/>
        </w:numPr>
        <w:jc w:val="left"/>
      </w:pPr>
      <m:oMath>
        <m:sSub>
          <m:sSubPr>
            <m:ctrlPr>
              <w:rPr>
                <w:rFonts w:ascii="Cambria Math" w:hAnsi="Cambria Math"/>
                <w:i/>
              </w:rPr>
            </m:ctrlPr>
          </m:sSubPr>
          <m:e>
            <m:r>
              <w:rPr>
                <w:rFonts w:ascii="Cambria Math" w:hAnsi="Cambria Math"/>
              </w:rPr>
              <m:t>ERAF</m:t>
            </m:r>
          </m:e>
          <m:sub>
            <m:r>
              <w:rPr>
                <w:rFonts w:ascii="Cambria Math" w:hAnsi="Cambria Math"/>
              </w:rPr>
              <m:t>t</m:t>
            </m:r>
          </m:sub>
        </m:sSub>
      </m:oMath>
      <w:r w:rsidR="001A300A">
        <w:t xml:space="preserve"> is the effective range adjustment factor for </w:t>
      </w:r>
      <w:r w:rsidR="001A300A" w:rsidRPr="00B76493">
        <w:rPr>
          <w:i/>
          <w:iCs/>
        </w:rPr>
        <w:t>t</w:t>
      </w:r>
      <w:r w:rsidR="001A300A">
        <w:t xml:space="preserve"> of that measurement boundary</w:t>
      </w:r>
      <w:r w:rsidR="000F2839">
        <w:t>.</w:t>
      </w:r>
    </w:p>
    <w:p w14:paraId="7A4CB2A5" w14:textId="77777777" w:rsidR="008F0D0B" w:rsidRPr="00973E31" w:rsidRDefault="008F0D0B" w:rsidP="008F0D0B">
      <w:pPr>
        <w:pStyle w:val="ListParagraph"/>
        <w:rPr>
          <w:rFonts w:ascii="Times New Roman" w:hAnsi="Times New Roman"/>
          <w:i/>
          <w:iCs/>
          <w:highlight w:val="green"/>
        </w:rPr>
      </w:pPr>
    </w:p>
    <w:p w14:paraId="158DDC0E" w14:textId="77777777" w:rsidR="008F0D0B" w:rsidRDefault="008F0D0B" w:rsidP="008F0D0B">
      <w:pPr>
        <w:pStyle w:val="ListNumber2"/>
        <w:ind w:left="0" w:firstLine="0"/>
        <w:jc w:val="left"/>
      </w:pPr>
    </w:p>
    <w:p w14:paraId="67334616" w14:textId="77777777" w:rsidR="008F0D0B" w:rsidRDefault="008F0D0B" w:rsidP="008F0D0B">
      <w:pPr>
        <w:pStyle w:val="Heading3"/>
      </w:pPr>
      <w:bookmarkStart w:id="202" w:name="_Toc223358299"/>
      <w:r>
        <w:t>Persistence factor</w:t>
      </w:r>
      <w:bookmarkEnd w:id="202"/>
    </w:p>
    <w:p w14:paraId="3514B21A" w14:textId="0C9CA13A" w:rsidR="008F0D0B" w:rsidRPr="001000DA" w:rsidRDefault="008F0D0B" w:rsidP="008F0D0B">
      <w:pPr>
        <w:pStyle w:val="ListNumber2"/>
        <w:keepNext/>
        <w:keepLines/>
        <w:ind w:left="0" w:firstLine="0"/>
        <w:jc w:val="left"/>
      </w:pPr>
      <w:r w:rsidRPr="008729F9">
        <w:t xml:space="preserve">The </w:t>
      </w:r>
      <w:r>
        <w:t>persistence</w:t>
      </w:r>
      <w:r w:rsidRPr="008729F9">
        <w:t xml:space="preserve"> factor for a year i</w:t>
      </w:r>
      <w:r>
        <w:t xml:space="preserve">s assigned on a per measurement boundary basis and is </w:t>
      </w:r>
      <w:r w:rsidRPr="008729F9">
        <w:t xml:space="preserve">determined using Table </w:t>
      </w:r>
      <w:r>
        <w:t>10.</w:t>
      </w:r>
      <w:r w:rsidR="009A2E68">
        <w:t>2</w:t>
      </w:r>
      <w:r>
        <w:t>.</w:t>
      </w:r>
    </w:p>
    <w:p w14:paraId="76016FCD" w14:textId="0AB10262" w:rsidR="008F0D0B" w:rsidRPr="00781DB4" w:rsidRDefault="008F0D0B" w:rsidP="008F0D0B">
      <w:pPr>
        <w:pStyle w:val="Caption"/>
      </w:pPr>
      <w:r w:rsidRPr="00781DB4">
        <w:t xml:space="preserve">Table </w:t>
      </w:r>
      <w:r>
        <w:t>10.</w:t>
      </w:r>
      <w:r w:rsidR="009A2E68">
        <w:t>2</w:t>
      </w:r>
    </w:p>
    <w:tbl>
      <w:tblPr>
        <w:tblStyle w:val="TableGrid"/>
        <w:tblW w:w="0" w:type="auto"/>
        <w:tblLayout w:type="fixed"/>
        <w:tblLook w:val="04A0" w:firstRow="1" w:lastRow="0" w:firstColumn="1" w:lastColumn="0" w:noHBand="0" w:noVBand="1"/>
      </w:tblPr>
      <w:tblGrid>
        <w:gridCol w:w="2772"/>
        <w:gridCol w:w="1827"/>
      </w:tblGrid>
      <w:tr w:rsidR="008F0D0B" w14:paraId="1092738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2" w:type="dxa"/>
            <w:shd w:val="clear" w:color="auto" w:fill="201547"/>
          </w:tcPr>
          <w:p w14:paraId="302AFBF1" w14:textId="77777777" w:rsidR="008F0D0B" w:rsidRDefault="008F0D0B">
            <w:pPr>
              <w:pStyle w:val="BodyText"/>
            </w:pPr>
            <w:r>
              <w:t>Technology</w:t>
            </w:r>
          </w:p>
        </w:tc>
        <w:tc>
          <w:tcPr>
            <w:tcW w:w="1827" w:type="dxa"/>
            <w:shd w:val="clear" w:color="auto" w:fill="201547"/>
          </w:tcPr>
          <w:p w14:paraId="7C1018C0" w14:textId="77777777" w:rsidR="008F0D0B" w:rsidRDefault="008F0D0B">
            <w:pPr>
              <w:pStyle w:val="BodyText"/>
              <w:jc w:val="center"/>
              <w:cnfStyle w:val="100000000000" w:firstRow="1" w:lastRow="0" w:firstColumn="0" w:lastColumn="0" w:oddVBand="0" w:evenVBand="0" w:oddHBand="0" w:evenHBand="0" w:firstRowFirstColumn="0" w:firstRowLastColumn="0" w:lastRowFirstColumn="0" w:lastRowLastColumn="0"/>
            </w:pPr>
            <w:r>
              <w:t>Persistence factor</w:t>
            </w:r>
          </w:p>
        </w:tc>
      </w:tr>
      <w:tr w:rsidR="008F0D0B" w14:paraId="111CC52F" w14:textId="77777777">
        <w:tc>
          <w:tcPr>
            <w:cnfStyle w:val="001000000000" w:firstRow="0" w:lastRow="0" w:firstColumn="1" w:lastColumn="0" w:oddVBand="0" w:evenVBand="0" w:oddHBand="0" w:evenHBand="0" w:firstRowFirstColumn="0" w:firstRowLastColumn="0" w:lastRowFirstColumn="0" w:lastRowLastColumn="0"/>
            <w:tcW w:w="2772" w:type="dxa"/>
          </w:tcPr>
          <w:p w14:paraId="5D673D4A" w14:textId="77777777" w:rsidR="008F0D0B" w:rsidRPr="00431B82" w:rsidRDefault="008F0D0B">
            <w:pPr>
              <w:pStyle w:val="BodyText"/>
              <w:jc w:val="left"/>
            </w:pPr>
            <w:r w:rsidRPr="00431B82">
              <w:t>Pipe insulation</w:t>
            </w:r>
          </w:p>
        </w:tc>
        <w:tc>
          <w:tcPr>
            <w:tcW w:w="1827" w:type="dxa"/>
          </w:tcPr>
          <w:p w14:paraId="5CA716A6" w14:textId="77777777" w:rsidR="008F0D0B" w:rsidRDefault="008F0D0B">
            <w:pPr>
              <w:pStyle w:val="BodyText"/>
              <w:jc w:val="center"/>
              <w:cnfStyle w:val="000000000000" w:firstRow="0" w:lastRow="0" w:firstColumn="0" w:lastColumn="0" w:oddVBand="0" w:evenVBand="0" w:oddHBand="0" w:evenHBand="0" w:firstRowFirstColumn="0" w:firstRowLastColumn="0" w:lastRowFirstColumn="0" w:lastRowLastColumn="0"/>
            </w:pPr>
            <w:r>
              <w:t>10</w:t>
            </w:r>
          </w:p>
        </w:tc>
      </w:tr>
      <w:tr w:rsidR="008F0D0B" w14:paraId="5BF73F9A" w14:textId="77777777">
        <w:tc>
          <w:tcPr>
            <w:cnfStyle w:val="001000000000" w:firstRow="0" w:lastRow="0" w:firstColumn="1" w:lastColumn="0" w:oddVBand="0" w:evenVBand="0" w:oddHBand="0" w:evenHBand="0" w:firstRowFirstColumn="0" w:firstRowLastColumn="0" w:lastRowFirstColumn="0" w:lastRowLastColumn="0"/>
            <w:tcW w:w="2772" w:type="dxa"/>
          </w:tcPr>
          <w:p w14:paraId="17C55E9D" w14:textId="77777777" w:rsidR="008F0D0B" w:rsidRPr="00431B82" w:rsidRDefault="008F0D0B">
            <w:pPr>
              <w:pStyle w:val="BodyText"/>
              <w:jc w:val="left"/>
            </w:pPr>
            <w:r w:rsidRPr="00431B82">
              <w:t>Condensate return</w:t>
            </w:r>
          </w:p>
        </w:tc>
        <w:tc>
          <w:tcPr>
            <w:tcW w:w="1827" w:type="dxa"/>
          </w:tcPr>
          <w:p w14:paraId="09CB6BE7" w14:textId="77777777" w:rsidR="008F0D0B" w:rsidRDefault="008F0D0B">
            <w:pPr>
              <w:pStyle w:val="BodyText"/>
              <w:jc w:val="center"/>
              <w:cnfStyle w:val="000000000000" w:firstRow="0" w:lastRow="0" w:firstColumn="0" w:lastColumn="0" w:oddVBand="0" w:evenVBand="0" w:oddHBand="0" w:evenHBand="0" w:firstRowFirstColumn="0" w:firstRowLastColumn="0" w:lastRowFirstColumn="0" w:lastRowLastColumn="0"/>
            </w:pPr>
            <w:r>
              <w:t>9</w:t>
            </w:r>
          </w:p>
        </w:tc>
      </w:tr>
      <w:tr w:rsidR="008F0D0B" w14:paraId="7C92AEBB" w14:textId="77777777">
        <w:tc>
          <w:tcPr>
            <w:cnfStyle w:val="001000000000" w:firstRow="0" w:lastRow="0" w:firstColumn="1" w:lastColumn="0" w:oddVBand="0" w:evenVBand="0" w:oddHBand="0" w:evenHBand="0" w:firstRowFirstColumn="0" w:firstRowLastColumn="0" w:lastRowFirstColumn="0" w:lastRowLastColumn="0"/>
            <w:tcW w:w="2772" w:type="dxa"/>
          </w:tcPr>
          <w:p w14:paraId="374FEA1C" w14:textId="77777777" w:rsidR="008F0D0B" w:rsidRDefault="008F0D0B">
            <w:pPr>
              <w:pStyle w:val="BodyText"/>
              <w:jc w:val="left"/>
            </w:pPr>
            <w:r>
              <w:t>Other</w:t>
            </w:r>
          </w:p>
        </w:tc>
        <w:tc>
          <w:tcPr>
            <w:tcW w:w="1827" w:type="dxa"/>
          </w:tcPr>
          <w:p w14:paraId="0FD514FC" w14:textId="77777777" w:rsidR="008F0D0B" w:rsidRDefault="008F0D0B">
            <w:pPr>
              <w:pStyle w:val="BodyText"/>
              <w:jc w:val="center"/>
              <w:cnfStyle w:val="000000000000" w:firstRow="0" w:lastRow="0" w:firstColumn="0" w:lastColumn="0" w:oddVBand="0" w:evenVBand="0" w:oddHBand="0" w:evenHBand="0" w:firstRowFirstColumn="0" w:firstRowLastColumn="0" w:lastRowFirstColumn="0" w:lastRowLastColumn="0"/>
            </w:pPr>
            <w:r>
              <w:t>7</w:t>
            </w:r>
          </w:p>
        </w:tc>
      </w:tr>
    </w:tbl>
    <w:p w14:paraId="6EA14402" w14:textId="77777777" w:rsidR="008F0D0B" w:rsidRDefault="008F0D0B" w:rsidP="008F0D0B">
      <w:pPr>
        <w:pStyle w:val="Heading3"/>
      </w:pPr>
      <w:bookmarkStart w:id="203" w:name="_Toc223358300"/>
      <w:r>
        <w:t>Accuracy factor</w:t>
      </w:r>
      <w:bookmarkEnd w:id="203"/>
      <w:r>
        <w:t xml:space="preserve"> </w:t>
      </w:r>
    </w:p>
    <w:p w14:paraId="3BBB050D" w14:textId="5564B65A" w:rsidR="008F0D0B" w:rsidRPr="00A43EC4" w:rsidRDefault="008F0D0B" w:rsidP="008F0D0B">
      <w:pPr>
        <w:pStyle w:val="BodyText"/>
      </w:pPr>
      <w:r>
        <w:t>For the purpose of this</w:t>
      </w:r>
      <w:r w:rsidRPr="00C84691">
        <w:t xml:space="preserve"> </w:t>
      </w:r>
      <w:r>
        <w:t>specified measurement method, the accuracy factor is the relevant value in the right-hand side column in Table 10.</w:t>
      </w:r>
      <w:r w:rsidR="005A7E86">
        <w:t>3</w:t>
      </w:r>
      <w:r>
        <w:t xml:space="preserve"> below.</w:t>
      </w:r>
    </w:p>
    <w:p w14:paraId="10BD952C" w14:textId="348B85CF" w:rsidR="008F0D0B" w:rsidRPr="00B0391F" w:rsidRDefault="008F0D0B" w:rsidP="008F0D0B">
      <w:pPr>
        <w:pStyle w:val="Caption"/>
      </w:pPr>
      <w:r w:rsidRPr="00B0391F">
        <w:t xml:space="preserve">Table </w:t>
      </w:r>
      <w:r>
        <w:t>10.</w:t>
      </w:r>
      <w:r w:rsidR="009A2E68">
        <w:t>3</w:t>
      </w:r>
    </w:p>
    <w:tbl>
      <w:tblPr>
        <w:tblStyle w:val="TableGrid"/>
        <w:tblW w:w="0" w:type="auto"/>
        <w:tblLayout w:type="fixed"/>
        <w:tblLook w:val="04A0" w:firstRow="1" w:lastRow="0" w:firstColumn="1" w:lastColumn="0" w:noHBand="0" w:noVBand="1"/>
      </w:tblPr>
      <w:tblGrid>
        <w:gridCol w:w="4253"/>
        <w:gridCol w:w="2693"/>
        <w:gridCol w:w="2693"/>
      </w:tblGrid>
      <w:tr w:rsidR="008F0D0B" w14:paraId="2928A7EF" w14:textId="77777777" w:rsidTr="006A69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shd w:val="clear" w:color="auto" w:fill="201547"/>
          </w:tcPr>
          <w:p w14:paraId="54107D78" w14:textId="77777777" w:rsidR="008F0D0B" w:rsidRDefault="008F0D0B">
            <w:pPr>
              <w:pStyle w:val="BodyText"/>
            </w:pPr>
            <w:r>
              <w:t>Length of operating period</w:t>
            </w:r>
          </w:p>
        </w:tc>
        <w:tc>
          <w:tcPr>
            <w:tcW w:w="2693" w:type="dxa"/>
            <w:shd w:val="clear" w:color="auto" w:fill="201547"/>
          </w:tcPr>
          <w:p w14:paraId="17AA3F2F" w14:textId="77777777" w:rsidR="008F0D0B" w:rsidRDefault="008F0D0B">
            <w:pPr>
              <w:pStyle w:val="BodyText"/>
              <w:jc w:val="center"/>
              <w:cnfStyle w:val="100000000000" w:firstRow="1" w:lastRow="0" w:firstColumn="0" w:lastColumn="0" w:oddVBand="0" w:evenVBand="0" w:oddHBand="0" w:evenHBand="0" w:firstRowFirstColumn="0" w:firstRowLastColumn="0" w:lastRowFirstColumn="0" w:lastRowLastColumn="0"/>
            </w:pPr>
            <w:r>
              <w:t>Accuracy factor when the baseline model is a regression model</w:t>
            </w:r>
          </w:p>
        </w:tc>
        <w:tc>
          <w:tcPr>
            <w:tcW w:w="2693" w:type="dxa"/>
            <w:shd w:val="clear" w:color="auto" w:fill="201547"/>
          </w:tcPr>
          <w:p w14:paraId="7946B8B3" w14:textId="77777777" w:rsidR="008F0D0B" w:rsidRPr="00431B82" w:rsidRDefault="008F0D0B">
            <w:pPr>
              <w:pStyle w:val="BodyText"/>
              <w:jc w:val="center"/>
              <w:cnfStyle w:val="100000000000" w:firstRow="1" w:lastRow="0" w:firstColumn="0" w:lastColumn="0" w:oddVBand="0" w:evenVBand="0" w:oddHBand="0" w:evenHBand="0" w:firstRowFirstColumn="0" w:firstRowLastColumn="0" w:lastRowFirstColumn="0" w:lastRowLastColumn="0"/>
            </w:pPr>
            <w:r w:rsidRPr="00431B82">
              <w:t>Accuracy factor when the baseline model is an estimate of the mean</w:t>
            </w:r>
          </w:p>
        </w:tc>
      </w:tr>
      <w:tr w:rsidR="008F0D0B" w14:paraId="03F422D6" w14:textId="77777777" w:rsidTr="006A694E">
        <w:tc>
          <w:tcPr>
            <w:cnfStyle w:val="001000000000" w:firstRow="0" w:lastRow="0" w:firstColumn="1" w:lastColumn="0" w:oddVBand="0" w:evenVBand="0" w:oddHBand="0" w:evenHBand="0" w:firstRowFirstColumn="0" w:firstRowLastColumn="0" w:lastRowFirstColumn="0" w:lastRowLastColumn="0"/>
            <w:tcW w:w="4253" w:type="dxa"/>
          </w:tcPr>
          <w:p w14:paraId="17BF4DE0" w14:textId="77777777" w:rsidR="008F0D0B" w:rsidRDefault="008F0D0B">
            <w:pPr>
              <w:pStyle w:val="BodyText"/>
            </w:pPr>
            <w:r>
              <w:t>Between 6 and 12 months, including the peak, shoulder and off season</w:t>
            </w:r>
          </w:p>
        </w:tc>
        <w:tc>
          <w:tcPr>
            <w:tcW w:w="2693" w:type="dxa"/>
          </w:tcPr>
          <w:p w14:paraId="211B39E2" w14:textId="1E384DBC" w:rsidR="008F0D0B" w:rsidRDefault="008F0D0B">
            <w:pPr>
              <w:pStyle w:val="BodyText"/>
              <w:jc w:val="center"/>
              <w:cnfStyle w:val="000000000000" w:firstRow="0" w:lastRow="0" w:firstColumn="0" w:lastColumn="0" w:oddVBand="0" w:evenVBand="0" w:oddHBand="0" w:evenHBand="0" w:firstRowFirstColumn="0" w:firstRowLastColumn="0" w:lastRowFirstColumn="0" w:lastRowLastColumn="0"/>
            </w:pPr>
            <w:r>
              <w:t>0.</w:t>
            </w:r>
            <w:r w:rsidR="00C779E5">
              <w:t>8</w:t>
            </w:r>
          </w:p>
        </w:tc>
        <w:tc>
          <w:tcPr>
            <w:tcW w:w="2693" w:type="dxa"/>
          </w:tcPr>
          <w:p w14:paraId="2C884CB9" w14:textId="77777777" w:rsidR="008F0D0B" w:rsidRPr="00431B82" w:rsidRDefault="008F0D0B">
            <w:pPr>
              <w:pStyle w:val="BodyText"/>
              <w:jc w:val="center"/>
              <w:cnfStyle w:val="000000000000" w:firstRow="0" w:lastRow="0" w:firstColumn="0" w:lastColumn="0" w:oddVBand="0" w:evenVBand="0" w:oddHBand="0" w:evenHBand="0" w:firstRowFirstColumn="0" w:firstRowLastColumn="0" w:lastRowFirstColumn="0" w:lastRowLastColumn="0"/>
            </w:pPr>
            <w:r w:rsidRPr="00431B82">
              <w:t>0.63</w:t>
            </w:r>
          </w:p>
        </w:tc>
      </w:tr>
      <w:tr w:rsidR="008F0D0B" w14:paraId="68B36A59" w14:textId="77777777" w:rsidTr="006A694E">
        <w:tc>
          <w:tcPr>
            <w:cnfStyle w:val="001000000000" w:firstRow="0" w:lastRow="0" w:firstColumn="1" w:lastColumn="0" w:oddVBand="0" w:evenVBand="0" w:oddHBand="0" w:evenHBand="0" w:firstRowFirstColumn="0" w:firstRowLastColumn="0" w:lastRowFirstColumn="0" w:lastRowLastColumn="0"/>
            <w:tcW w:w="4253" w:type="dxa"/>
          </w:tcPr>
          <w:p w14:paraId="47E9261C" w14:textId="77777777" w:rsidR="008F0D0B" w:rsidRDefault="008F0D0B">
            <w:pPr>
              <w:pStyle w:val="BodyText"/>
            </w:pPr>
            <w:r>
              <w:t>Equal to or greater than 12 months</w:t>
            </w:r>
          </w:p>
        </w:tc>
        <w:tc>
          <w:tcPr>
            <w:tcW w:w="2693" w:type="dxa"/>
          </w:tcPr>
          <w:p w14:paraId="5667ED1E" w14:textId="77777777" w:rsidR="008F0D0B" w:rsidRDefault="008F0D0B">
            <w:pPr>
              <w:pStyle w:val="BodyText"/>
              <w:jc w:val="center"/>
              <w:cnfStyle w:val="000000000000" w:firstRow="0" w:lastRow="0" w:firstColumn="0" w:lastColumn="0" w:oddVBand="0" w:evenVBand="0" w:oddHBand="0" w:evenHBand="0" w:firstRowFirstColumn="0" w:firstRowLastColumn="0" w:lastRowFirstColumn="0" w:lastRowLastColumn="0"/>
            </w:pPr>
            <w:r>
              <w:t>0.8</w:t>
            </w:r>
          </w:p>
        </w:tc>
        <w:tc>
          <w:tcPr>
            <w:tcW w:w="2693" w:type="dxa"/>
          </w:tcPr>
          <w:p w14:paraId="6C0075C8" w14:textId="77777777" w:rsidR="008F0D0B" w:rsidRPr="00431B82" w:rsidRDefault="008F0D0B">
            <w:pPr>
              <w:pStyle w:val="BodyText"/>
              <w:jc w:val="center"/>
              <w:cnfStyle w:val="000000000000" w:firstRow="0" w:lastRow="0" w:firstColumn="0" w:lastColumn="0" w:oddVBand="0" w:evenVBand="0" w:oddHBand="0" w:evenHBand="0" w:firstRowFirstColumn="0" w:firstRowLastColumn="0" w:lastRowFirstColumn="0" w:lastRowLastColumn="0"/>
            </w:pPr>
            <w:r w:rsidRPr="00431B82">
              <w:t>0.72</w:t>
            </w:r>
          </w:p>
        </w:tc>
      </w:tr>
    </w:tbl>
    <w:p w14:paraId="4603B95D" w14:textId="77777777" w:rsidR="008F0D0B" w:rsidRDefault="008F0D0B" w:rsidP="008F0D0B">
      <w:pPr>
        <w:pStyle w:val="BodyText"/>
      </w:pPr>
    </w:p>
    <w:p w14:paraId="17EB073E" w14:textId="77777777" w:rsidR="008F0D0B" w:rsidRDefault="008F0D0B" w:rsidP="008F0D0B">
      <w:pPr>
        <w:pStyle w:val="Heading3"/>
      </w:pPr>
      <w:bookmarkStart w:id="204" w:name="_Toc223358301"/>
      <w:r>
        <w:t>Interactive energy savings</w:t>
      </w:r>
      <w:bookmarkEnd w:id="204"/>
    </w:p>
    <w:p w14:paraId="2E81A2ED" w14:textId="77777777" w:rsidR="008F0D0B" w:rsidRDefault="008F0D0B" w:rsidP="008F0D0B">
      <w:pPr>
        <w:pStyle w:val="BodyText"/>
      </w:pPr>
      <w:r>
        <w:t>Interactive energy savings are limited to 10% for this specified measurement method.</w:t>
      </w:r>
    </w:p>
    <w:p w14:paraId="51E14EC2" w14:textId="77777777" w:rsidR="008F0D0B" w:rsidRDefault="008F0D0B" w:rsidP="008F0D0B">
      <w:pPr>
        <w:pStyle w:val="BodyText"/>
      </w:pPr>
    </w:p>
    <w:p w14:paraId="4B973D5F" w14:textId="77777777" w:rsidR="008F0D0B" w:rsidRDefault="008F0D0B" w:rsidP="008F0D0B">
      <w:r>
        <w:t xml:space="preserve"> </w:t>
      </w:r>
    </w:p>
    <w:p w14:paraId="041A37A3" w14:textId="77777777" w:rsidR="008F0D0B" w:rsidRDefault="008F0D0B" w:rsidP="008F0D0B"/>
    <w:p w14:paraId="7CD51EAF" w14:textId="77777777" w:rsidR="008F0D0B" w:rsidRDefault="008F0D0B" w:rsidP="008F0D0B"/>
    <w:p w14:paraId="4245AD76" w14:textId="77777777" w:rsidR="004A0913" w:rsidRDefault="004A0913">
      <w:pPr>
        <w:rPr>
          <w:rFonts w:asciiTheme="majorHAnsi" w:eastAsiaTheme="majorEastAsia" w:hAnsiTheme="majorHAnsi" w:cstheme="majorBidi"/>
          <w:bCs/>
          <w:color w:val="201547" w:themeColor="text2"/>
          <w:spacing w:val="-4"/>
          <w:sz w:val="40"/>
          <w:szCs w:val="40"/>
        </w:rPr>
      </w:pPr>
      <w:bookmarkStart w:id="205" w:name="_Toc232605553"/>
      <w:r>
        <w:br w:type="page"/>
      </w:r>
    </w:p>
    <w:p w14:paraId="170721CD" w14:textId="3D03FF45" w:rsidR="008F0D0B" w:rsidRDefault="00016D1E" w:rsidP="006A694E">
      <w:pPr>
        <w:pStyle w:val="Heading1"/>
        <w:ind w:left="709" w:hanging="715"/>
      </w:pPr>
      <w:bookmarkStart w:id="206" w:name="_Toc239413194"/>
      <w:r>
        <w:lastRenderedPageBreak/>
        <w:t>Gas Efficiency Improvement (Heat Recovery and Loss Reduction)</w:t>
      </w:r>
      <w:bookmarkEnd w:id="205"/>
      <w:r w:rsidR="004315C7">
        <w:t xml:space="preserve"> direct measurement</w:t>
      </w:r>
      <w:bookmarkEnd w:id="206"/>
    </w:p>
    <w:p w14:paraId="07A883A0" w14:textId="77777777" w:rsidR="008F0D0B" w:rsidRDefault="008F0D0B" w:rsidP="008F0D0B">
      <w:pPr>
        <w:pStyle w:val="Heading2"/>
      </w:pPr>
      <w:bookmarkStart w:id="207" w:name="_Toc232605554"/>
      <w:r>
        <w:t>Information to be provided</w:t>
      </w:r>
      <w:bookmarkEnd w:id="207"/>
    </w:p>
    <w:p w14:paraId="66CE55E8" w14:textId="77777777" w:rsidR="008F0D0B" w:rsidRDefault="008F0D0B" w:rsidP="008F0D0B">
      <w:pPr>
        <w:pStyle w:val="Heading3"/>
      </w:pPr>
      <w:r>
        <w:t>Information to be provided in an application for scoping approval</w:t>
      </w:r>
    </w:p>
    <w:p w14:paraId="14C29BBF" w14:textId="77777777" w:rsidR="008F0D0B" w:rsidRDefault="008F0D0B" w:rsidP="00CD0BC8">
      <w:pPr>
        <w:pStyle w:val="ListParagraph"/>
        <w:numPr>
          <w:ilvl w:val="0"/>
          <w:numId w:val="112"/>
        </w:numPr>
        <w:jc w:val="both"/>
      </w:pPr>
      <w:r>
        <w:t xml:space="preserve">A declaration that the project is eligible to use the indirect measurement of gas to heat efficiency improvement </w:t>
      </w:r>
      <w:r w:rsidRPr="00C4074E">
        <w:t>specified measurement method</w:t>
      </w:r>
      <w:r>
        <w:t>, and meets the following criteria:</w:t>
      </w:r>
    </w:p>
    <w:p w14:paraId="08DDA889" w14:textId="27D24174" w:rsidR="008F0D0B" w:rsidRDefault="008F0D0B" w:rsidP="00CD0BC8">
      <w:pPr>
        <w:pStyle w:val="BodyText"/>
        <w:numPr>
          <w:ilvl w:val="1"/>
          <w:numId w:val="112"/>
        </w:numPr>
      </w:pPr>
      <w:r>
        <w:t>involves decreasing the amount of gas required to deliver the same amount of heat;</w:t>
      </w:r>
    </w:p>
    <w:p w14:paraId="3A974173" w14:textId="77777777" w:rsidR="008F0D0B" w:rsidRDefault="008F0D0B" w:rsidP="00CD0BC8">
      <w:pPr>
        <w:pStyle w:val="BodyText"/>
        <w:numPr>
          <w:ilvl w:val="1"/>
          <w:numId w:val="112"/>
        </w:numPr>
      </w:pPr>
      <w:r>
        <w:t xml:space="preserve">uses data sources that indirectly enable the amount of energy that is saved to be determined, including: </w:t>
      </w:r>
    </w:p>
    <w:p w14:paraId="57B69CA9" w14:textId="77777777" w:rsidR="008F0D0B" w:rsidRDefault="008F0D0B" w:rsidP="00CD0BC8">
      <w:pPr>
        <w:pStyle w:val="BodyText"/>
        <w:numPr>
          <w:ilvl w:val="2"/>
          <w:numId w:val="112"/>
        </w:numPr>
      </w:pPr>
      <w:r>
        <w:t>measurements of heat recovery;</w:t>
      </w:r>
    </w:p>
    <w:p w14:paraId="13A4EEF7" w14:textId="77777777" w:rsidR="008F0D0B" w:rsidRDefault="008F0D0B" w:rsidP="00CD0BC8">
      <w:pPr>
        <w:pStyle w:val="BodyText"/>
        <w:numPr>
          <w:ilvl w:val="2"/>
          <w:numId w:val="112"/>
        </w:numPr>
      </w:pPr>
      <w:r>
        <w:t xml:space="preserve">measurements that enable the estimation of reduced losses. </w:t>
      </w:r>
    </w:p>
    <w:p w14:paraId="39703EF7" w14:textId="77777777" w:rsidR="008F0D0B" w:rsidRPr="00B94F65" w:rsidRDefault="008F0D0B" w:rsidP="008F0D0B">
      <w:pPr>
        <w:pStyle w:val="BodyText"/>
      </w:pPr>
    </w:p>
    <w:p w14:paraId="222C5D47" w14:textId="77777777" w:rsidR="008F0D0B" w:rsidRDefault="008F0D0B" w:rsidP="008F0D0B">
      <w:pPr>
        <w:pStyle w:val="Heading2"/>
      </w:pPr>
      <w:bookmarkStart w:id="208" w:name="_Toc232605555"/>
      <w:r>
        <w:t>Methods</w:t>
      </w:r>
      <w:bookmarkEnd w:id="208"/>
    </w:p>
    <w:p w14:paraId="1B033494" w14:textId="77777777" w:rsidR="008F0D0B" w:rsidRPr="00423621" w:rsidRDefault="008F0D0B" w:rsidP="008F0D0B">
      <w:pPr>
        <w:pStyle w:val="Heading3"/>
      </w:pPr>
      <w:r w:rsidRPr="00423621">
        <w:t>Calculation of carbon dioxide equivalents of greenhouse gases</w:t>
      </w:r>
    </w:p>
    <w:p w14:paraId="6504C5B0" w14:textId="0B0E5271" w:rsidR="008F0D0B" w:rsidRPr="009F77A4" w:rsidRDefault="008F0D0B" w:rsidP="00CD0BC8">
      <w:pPr>
        <w:pStyle w:val="ListNumber"/>
        <w:numPr>
          <w:ilvl w:val="0"/>
          <w:numId w:val="113"/>
        </w:numPr>
        <w:jc w:val="left"/>
      </w:pPr>
      <w:r w:rsidRPr="00B94F65">
        <w:t>The carbon dioxide equivalent (in tonnes) of greenhouse gases to be reduced by undertaking a project is calculated using Equation 1</w:t>
      </w:r>
      <w:r w:rsidR="0067359D">
        <w:t>1.1</w:t>
      </w:r>
      <w:r w:rsidRPr="00B94F65">
        <w:t xml:space="preserve">, where variables are determined in accordance with section 2, this section and </w:t>
      </w:r>
      <w:r w:rsidRPr="00E37634">
        <w:rPr>
          <w:i/>
        </w:rPr>
        <w:t>Accounting For COVID-19 Under VEU (2021)</w:t>
      </w:r>
      <w:r w:rsidRPr="00B94F65">
        <w:t xml:space="preserve"> where applicable.</w:t>
      </w:r>
    </w:p>
    <w:p w14:paraId="0320EC6C" w14:textId="77777777" w:rsidR="008F0D0B" w:rsidRDefault="008F0D0B" w:rsidP="008F0D0B">
      <w:pPr>
        <w:pStyle w:val="BodyText"/>
      </w:pPr>
    </w:p>
    <w:p w14:paraId="211AABE6" w14:textId="77777777" w:rsidR="008F0D0B" w:rsidRDefault="008F0D0B" w:rsidP="008F0D0B">
      <w:pPr>
        <w:pStyle w:val="Heading3"/>
      </w:pPr>
      <w:r>
        <w:t>Carbon dioxide equivalent to be reduced</w:t>
      </w:r>
    </w:p>
    <w:p w14:paraId="17416708" w14:textId="60B8163A" w:rsidR="008F0D0B" w:rsidRPr="00D34D72" w:rsidRDefault="008F0D0B" w:rsidP="008F0D0B">
      <w:pPr>
        <w:pStyle w:val="CaptionImageorFigure"/>
      </w:pPr>
      <w:r>
        <w:t>Equation 11.1</w:t>
      </w:r>
      <w:r w:rsidR="0075326F">
        <w:t xml:space="preserve"> </w:t>
      </w:r>
      <w:r w:rsidR="0075326F" w:rsidRPr="0075326F">
        <w:t>Carbon dioxide equivalent to be reduced</w:t>
      </w:r>
    </w:p>
    <w:p w14:paraId="431A6B88" w14:textId="74397641" w:rsidR="008F0D0B" w:rsidRPr="00C56BB8" w:rsidRDefault="00005C17" w:rsidP="008F0D0B">
      <w:pPr>
        <w:pStyle w:val="BodyText"/>
        <w:ind w:left="567"/>
        <w:rPr>
          <w:rFonts w:cs="Arial"/>
          <w:sz w:val="24"/>
        </w:rPr>
      </w:pPr>
      <m:oMathPara>
        <m:oMathParaPr>
          <m:jc m:val="left"/>
        </m:oMathParaPr>
        <m:oMath>
          <m:r>
            <w:rPr>
              <w:rFonts w:ascii="Cambria Math" w:hAnsi="Cambria Math"/>
              <w:sz w:val="24"/>
            </w:rPr>
            <m:t xml:space="preserve">carbon dioxide equivalent= </m:t>
          </m:r>
          <m:nary>
            <m:naryPr>
              <m:chr m:val="∑"/>
              <m:limLoc m:val="subSup"/>
              <m:supHide m:val="1"/>
              <m:ctrlPr>
                <w:rPr>
                  <w:rFonts w:ascii="Cambria Math" w:hAnsi="Cambria Math" w:cstheme="minorHAnsi"/>
                  <w:i/>
                  <w:sz w:val="24"/>
                  <w:szCs w:val="24"/>
                </w:rPr>
              </m:ctrlPr>
            </m:naryPr>
            <m:sub>
              <m:r>
                <w:rPr>
                  <w:rFonts w:ascii="Cambria Math" w:hAnsi="Cambria Math" w:cstheme="minorHAnsi"/>
                  <w:sz w:val="24"/>
                  <w:szCs w:val="24"/>
                </w:rPr>
                <m:t>j</m:t>
              </m:r>
            </m:sub>
            <m:sup/>
            <m:e>
              <m:r>
                <w:rPr>
                  <w:rFonts w:ascii="Cambria Math" w:hAnsi="Cambria Math" w:cstheme="minorHAnsi"/>
                  <w:sz w:val="24"/>
                  <w:szCs w:val="24"/>
                </w:rPr>
                <m:t>(</m:t>
              </m:r>
              <m:r>
                <w:rPr>
                  <w:rFonts w:ascii="Cambria Math" w:hAnsi="Cambria Math"/>
                  <w:sz w:val="24"/>
                </w:rPr>
                <m:t xml:space="preserve">  </m:t>
              </m:r>
              <m:sSub>
                <m:sSubPr>
                  <m:ctrlPr>
                    <w:rPr>
                      <w:rFonts w:ascii="Cambria Math" w:hAnsi="Cambria Math" w:cstheme="minorHAnsi"/>
                      <w:i/>
                      <w:sz w:val="24"/>
                      <w:szCs w:val="24"/>
                    </w:rPr>
                  </m:ctrlPr>
                </m:sSubPr>
                <m:e>
                  <m:r>
                    <w:rPr>
                      <w:rFonts w:ascii="Cambria Math" w:hAnsi="Cambria Math"/>
                      <w:sz w:val="24"/>
                    </w:rPr>
                    <m:t>avoided emissions</m:t>
                  </m:r>
                </m:e>
                <m:sub>
                  <m:r>
                    <w:rPr>
                      <w:rFonts w:ascii="Cambria Math" w:hAnsi="Cambria Math" w:cstheme="minorHAnsi"/>
                      <w:sz w:val="24"/>
                      <w:szCs w:val="24"/>
                    </w:rPr>
                    <m:t>j</m:t>
                  </m:r>
                </m:sub>
              </m:sSub>
              <m:r>
                <w:rPr>
                  <w:rFonts w:ascii="Cambria Math" w:hAnsi="Cambria Math"/>
                  <w:sz w:val="24"/>
                </w:rPr>
                <m:t xml:space="preserve"> ×</m:t>
              </m:r>
              <m:sSub>
                <m:sSubPr>
                  <m:ctrlPr>
                    <w:rPr>
                      <w:rFonts w:ascii="Cambria Math" w:hAnsi="Cambria Math"/>
                      <w:i/>
                      <w:sz w:val="24"/>
                    </w:rPr>
                  </m:ctrlPr>
                </m:sSubPr>
                <m:e>
                  <m:r>
                    <w:rPr>
                      <w:rFonts w:ascii="Cambria Math" w:hAnsi="Cambria Math"/>
                      <w:sz w:val="24"/>
                    </w:rPr>
                    <m:t>PF</m:t>
                  </m:r>
                </m:e>
                <m:sub>
                  <m:r>
                    <w:rPr>
                      <w:rFonts w:ascii="Cambria Math" w:hAnsi="Cambria Math"/>
                      <w:sz w:val="24"/>
                    </w:rPr>
                    <m:t>j</m:t>
                  </m:r>
                </m:sub>
              </m:sSub>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AF</m:t>
                  </m:r>
                </m:e>
                <m:sub>
                  <m:r>
                    <w:rPr>
                      <w:rFonts w:ascii="Cambria Math" w:hAnsi="Cambria Math" w:cstheme="minorHAnsi"/>
                      <w:sz w:val="24"/>
                      <w:szCs w:val="24"/>
                    </w:rPr>
                    <m:t>j</m:t>
                  </m:r>
                </m:sub>
              </m:sSub>
              <m:r>
                <w:rPr>
                  <w:rFonts w:ascii="Cambria Math" w:hAnsi="Cambria Math" w:cstheme="minorHAnsi"/>
                  <w:sz w:val="24"/>
                  <w:szCs w:val="24"/>
                </w:rPr>
                <m:t>)-counted savings</m:t>
              </m:r>
            </m:e>
          </m:nary>
          <m:r>
            <m:rPr>
              <m:sty m:val="p"/>
            </m:rPr>
            <w:rPr>
              <w:rFonts w:ascii="Cambria Math" w:hAnsi="Cambria Math"/>
              <w:sz w:val="24"/>
            </w:rPr>
            <w:br/>
          </m:r>
        </m:oMath>
        <m:oMath>
          <m:r>
            <w:rPr>
              <w:rFonts w:ascii="Cambria Math" w:hAnsi="Cambria Math"/>
              <w:sz w:val="24"/>
            </w:rPr>
            <m:t xml:space="preserve">   </m:t>
          </m:r>
        </m:oMath>
      </m:oMathPara>
    </w:p>
    <w:p w14:paraId="679C2123" w14:textId="77777777" w:rsidR="008F0D0B" w:rsidRDefault="008F0D0B" w:rsidP="008F0D0B">
      <w:pPr>
        <w:pStyle w:val="BodyText"/>
      </w:pPr>
      <w:r>
        <w:t>where:</w:t>
      </w:r>
    </w:p>
    <w:p w14:paraId="6BB028A9" w14:textId="77777777" w:rsidR="008F0D0B" w:rsidRDefault="00001628">
      <w:pPr>
        <w:pStyle w:val="ListNumber2"/>
        <w:numPr>
          <w:ilvl w:val="0"/>
          <w:numId w:val="100"/>
        </w:numPr>
        <w:jc w:val="left"/>
      </w:pPr>
      <m:oMath>
        <m:r>
          <w:rPr>
            <w:rFonts w:ascii="Cambria Math" w:hAnsi="Cambria Math"/>
          </w:rPr>
          <m:t>j</m:t>
        </m:r>
      </m:oMath>
      <w:r w:rsidR="008F0D0B">
        <w:t xml:space="preserve"> is the measurement boundary number in the case that there are multiple measurement boundaries under one project;</w:t>
      </w:r>
    </w:p>
    <w:p w14:paraId="6014B947" w14:textId="5C31D97D" w:rsidR="008F0D0B" w:rsidRDefault="00000000">
      <w:pPr>
        <w:pStyle w:val="ListNumber2"/>
        <w:numPr>
          <w:ilvl w:val="0"/>
          <w:numId w:val="100"/>
        </w:numPr>
        <w:jc w:val="left"/>
      </w:pPr>
      <m:oMath>
        <m:sSub>
          <m:sSubPr>
            <m:ctrlPr>
              <w:rPr>
                <w:rFonts w:ascii="Cambria Math" w:hAnsi="Cambria Math" w:cstheme="minorHAnsi"/>
                <w:i/>
                <w:sz w:val="24"/>
                <w:szCs w:val="24"/>
              </w:rPr>
            </m:ctrlPr>
          </m:sSubPr>
          <m:e>
            <m:r>
              <w:rPr>
                <w:rFonts w:ascii="Cambria Math" w:hAnsi="Cambria Math"/>
                <w:sz w:val="24"/>
              </w:rPr>
              <m:t>avoided emissions</m:t>
            </m:r>
          </m:e>
          <m:sub>
            <m:r>
              <w:rPr>
                <w:rFonts w:ascii="Cambria Math" w:hAnsi="Cambria Math" w:cstheme="minorHAnsi"/>
                <w:sz w:val="24"/>
                <w:szCs w:val="24"/>
              </w:rPr>
              <m:t>j</m:t>
            </m:r>
          </m:sub>
        </m:sSub>
      </m:oMath>
      <w:r w:rsidR="008F0D0B">
        <w:t xml:space="preserve"> is calculated as per equa</w:t>
      </w:r>
      <w:r w:rsidR="008F0D0B" w:rsidRPr="004857BB">
        <w:t>tio</w:t>
      </w:r>
      <w:r w:rsidR="008F0D0B" w:rsidRPr="00530B0B">
        <w:t>n 11.2;</w:t>
      </w:r>
    </w:p>
    <w:p w14:paraId="1614C990" w14:textId="0D11CA62" w:rsidR="008F0D0B" w:rsidRPr="00530B0B" w:rsidRDefault="00000000">
      <w:pPr>
        <w:pStyle w:val="ListNumber2"/>
        <w:numPr>
          <w:ilvl w:val="0"/>
          <w:numId w:val="100"/>
        </w:numPr>
        <w:jc w:val="left"/>
      </w:pPr>
      <m:oMath>
        <m:sSub>
          <m:sSubPr>
            <m:ctrlPr>
              <w:rPr>
                <w:rFonts w:ascii="Cambria Math" w:hAnsi="Cambria Math"/>
                <w:i/>
                <w:sz w:val="24"/>
              </w:rPr>
            </m:ctrlPr>
          </m:sSubPr>
          <m:e>
            <m:r>
              <w:rPr>
                <w:rFonts w:ascii="Cambria Math" w:hAnsi="Cambria Math"/>
                <w:sz w:val="24"/>
              </w:rPr>
              <m:t>PF</m:t>
            </m:r>
          </m:e>
          <m:sub>
            <m:r>
              <w:rPr>
                <w:rFonts w:ascii="Cambria Math" w:hAnsi="Cambria Math"/>
                <w:sz w:val="24"/>
              </w:rPr>
              <m:t>j</m:t>
            </m:r>
          </m:sub>
        </m:sSub>
      </m:oMath>
      <w:r w:rsidR="008F0D0B">
        <w:rPr>
          <w:iCs/>
        </w:rPr>
        <w:t xml:space="preserve"> is the persistence factor as provided for in </w:t>
      </w:r>
      <w:r w:rsidR="008F0D0B" w:rsidRPr="00530B0B">
        <w:rPr>
          <w:iCs/>
        </w:rPr>
        <w:t xml:space="preserve">Table </w:t>
      </w:r>
      <w:r w:rsidR="008F0D0B" w:rsidRPr="00530B0B">
        <w:t>11.</w:t>
      </w:r>
      <w:r w:rsidR="008F0D0B" w:rsidRPr="00530B0B">
        <w:rPr>
          <w:iCs/>
        </w:rPr>
        <w:t xml:space="preserve">1; </w:t>
      </w:r>
    </w:p>
    <w:p w14:paraId="36855AF3" w14:textId="4F4DFEF2" w:rsidR="008F0D0B" w:rsidRPr="00530B0B" w:rsidRDefault="00000000">
      <w:pPr>
        <w:pStyle w:val="ListNumber2"/>
        <w:numPr>
          <w:ilvl w:val="0"/>
          <w:numId w:val="100"/>
        </w:numPr>
        <w:jc w:val="left"/>
      </w:pPr>
      <m:oMath>
        <m:sSub>
          <m:sSubPr>
            <m:ctrlPr>
              <w:rPr>
                <w:rFonts w:ascii="Cambria Math" w:hAnsi="Cambria Math" w:cstheme="minorHAnsi"/>
                <w:i/>
                <w:sz w:val="24"/>
                <w:szCs w:val="24"/>
              </w:rPr>
            </m:ctrlPr>
          </m:sSubPr>
          <m:e>
            <m:r>
              <w:rPr>
                <w:rFonts w:ascii="Cambria Math" w:hAnsi="Cambria Math" w:cstheme="minorHAnsi"/>
                <w:sz w:val="24"/>
                <w:szCs w:val="24"/>
              </w:rPr>
              <m:t>AF</m:t>
            </m:r>
          </m:e>
          <m:sub>
            <m:r>
              <w:rPr>
                <w:rFonts w:ascii="Cambria Math" w:hAnsi="Cambria Math" w:cstheme="minorHAnsi"/>
                <w:sz w:val="24"/>
                <w:szCs w:val="24"/>
              </w:rPr>
              <m:t>j</m:t>
            </m:r>
          </m:sub>
        </m:sSub>
      </m:oMath>
      <w:r w:rsidR="008F0D0B" w:rsidRPr="00530B0B">
        <w:t xml:space="preserve"> is the accuracy factor </w:t>
      </w:r>
      <w:r w:rsidR="008F0D0B" w:rsidRPr="00530B0B">
        <w:rPr>
          <w:iCs/>
        </w:rPr>
        <w:t xml:space="preserve">as provided </w:t>
      </w:r>
      <w:r w:rsidR="008F0D0B" w:rsidRPr="00530B0B">
        <w:t xml:space="preserve">for </w:t>
      </w:r>
      <w:r w:rsidR="008F0D0B" w:rsidRPr="00530B0B">
        <w:rPr>
          <w:iCs/>
        </w:rPr>
        <w:t xml:space="preserve">in Table </w:t>
      </w:r>
      <w:r w:rsidR="008F0D0B" w:rsidRPr="00530B0B">
        <w:t>11.2.</w:t>
      </w:r>
    </w:p>
    <w:p w14:paraId="37B65F14" w14:textId="150FD641" w:rsidR="008229F7" w:rsidRDefault="008229F7">
      <w:pPr>
        <w:pStyle w:val="ListNumber2"/>
        <w:numPr>
          <w:ilvl w:val="0"/>
          <w:numId w:val="100"/>
        </w:numPr>
        <w:jc w:val="left"/>
      </w:pPr>
      <w:r w:rsidRPr="00F83712">
        <w:rPr>
          <w:i/>
          <w:iCs/>
        </w:rPr>
        <w:t>counted savings</w:t>
      </w:r>
      <w:r>
        <w:t xml:space="preserve"> is </w:t>
      </w:r>
      <w:r w:rsidRPr="00A21848">
        <w:t>a variable determined in accordance with section</w:t>
      </w:r>
      <w:r>
        <w:t xml:space="preserve"> 2.</w:t>
      </w:r>
    </w:p>
    <w:p w14:paraId="34FEFA9D" w14:textId="77777777" w:rsidR="008F0D0B" w:rsidRDefault="008F0D0B" w:rsidP="008F0D0B">
      <w:pPr>
        <w:pStyle w:val="ListNumber2"/>
        <w:ind w:left="0" w:firstLine="0"/>
        <w:jc w:val="left"/>
      </w:pPr>
    </w:p>
    <w:p w14:paraId="34E126D0" w14:textId="77777777" w:rsidR="008F0D0B" w:rsidRDefault="008F0D0B" w:rsidP="00E11856">
      <w:pPr>
        <w:pStyle w:val="Heading3"/>
      </w:pPr>
      <w:r>
        <w:lastRenderedPageBreak/>
        <w:t xml:space="preserve">Direct measurement savings </w:t>
      </w:r>
    </w:p>
    <w:p w14:paraId="3C9AC1DE" w14:textId="4A1C3F48" w:rsidR="008F0D0B" w:rsidRDefault="008F0D0B" w:rsidP="00E11856">
      <w:pPr>
        <w:pStyle w:val="CaptionImageorFigure"/>
        <w:keepLines/>
      </w:pPr>
      <w:r>
        <w:rPr>
          <w:rFonts w:eastAsiaTheme="majorEastAsia"/>
        </w:rPr>
        <w:t>Equation 11.</w:t>
      </w:r>
      <w:r>
        <w:t>2</w:t>
      </w:r>
      <w:r w:rsidR="0075326F">
        <w:t xml:space="preserve"> Avoided emissions</w:t>
      </w:r>
    </w:p>
    <w:p w14:paraId="180C465B" w14:textId="6B1EDC28" w:rsidR="008F0D0B" w:rsidRPr="003D143A" w:rsidRDefault="00001628" w:rsidP="00E11856">
      <w:pPr>
        <w:keepNext/>
        <w:keepLines/>
        <w:spacing w:line="360" w:lineRule="auto"/>
        <w:ind w:left="360"/>
        <w:rPr>
          <w:rFonts w:ascii="Times New Roman" w:hAnsi="Times New Roman"/>
          <w:sz w:val="24"/>
          <w:szCs w:val="24"/>
        </w:rPr>
      </w:pPr>
      <m:oMathPara>
        <m:oMath>
          <m:r>
            <w:rPr>
              <w:rFonts w:ascii="Cambria Math" w:hAnsi="Cambria Math"/>
              <w:sz w:val="24"/>
              <w:szCs w:val="24"/>
            </w:rPr>
            <m:t>Avoided emissions=</m:t>
          </m:r>
          <m:nary>
            <m:naryPr>
              <m:chr m:val="∑"/>
              <m:limLoc m:val="subSup"/>
              <m:supHide m:val="1"/>
              <m:ctrlPr>
                <w:rPr>
                  <w:rFonts w:ascii="Cambria Math" w:hAnsi="Cambria Math"/>
                  <w:i/>
                  <w:sz w:val="24"/>
                  <w:szCs w:val="24"/>
                </w:rPr>
              </m:ctrlPr>
            </m:naryPr>
            <m:sub>
              <m:r>
                <w:rPr>
                  <w:rFonts w:ascii="Cambria Math" w:hAnsi="Cambria Math"/>
                  <w:sz w:val="24"/>
                  <w:szCs w:val="24"/>
                </w:rPr>
                <m:t>t</m:t>
              </m:r>
            </m:sub>
            <m:sup/>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B,t</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B</m:t>
                      </m:r>
                    </m:den>
                  </m:f>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EF</m:t>
                      </m:r>
                    </m:e>
                    <m:sub>
                      <m:r>
                        <w:rPr>
                          <w:rFonts w:ascii="Cambria Math" w:hAnsi="Cambria Math"/>
                          <w:sz w:val="24"/>
                          <w:szCs w:val="24"/>
                        </w:rPr>
                        <m:t>gas</m:t>
                      </m:r>
                    </m:sub>
                  </m:sSub>
                </m:e>
              </m:d>
            </m:e>
          </m:nary>
        </m:oMath>
      </m:oMathPara>
    </w:p>
    <w:p w14:paraId="29F3C955" w14:textId="77777777" w:rsidR="008F0D0B" w:rsidRPr="003D143A" w:rsidRDefault="008F0D0B" w:rsidP="00E11856">
      <w:pPr>
        <w:pStyle w:val="BodyText"/>
        <w:keepNext/>
        <w:keepLines/>
      </w:pPr>
      <w:r w:rsidRPr="003D143A">
        <w:t>where:</w:t>
      </w:r>
    </w:p>
    <w:p w14:paraId="087F852B" w14:textId="176D418E" w:rsidR="008F0D0B" w:rsidRDefault="00001628" w:rsidP="00E11856">
      <w:pPr>
        <w:pStyle w:val="ListNumber2"/>
        <w:keepNext/>
        <w:keepLines/>
        <w:numPr>
          <w:ilvl w:val="1"/>
          <w:numId w:val="113"/>
        </w:numPr>
        <w:jc w:val="left"/>
      </w:pPr>
      <m:oMath>
        <m:r>
          <w:rPr>
            <w:rFonts w:ascii="Cambria Math" w:eastAsiaTheme="minorEastAsia" w:hAnsi="Cambria Math"/>
          </w:rPr>
          <m:t>t</m:t>
        </m:r>
      </m:oMath>
      <w:r w:rsidR="008F0D0B" w:rsidRPr="0008292E">
        <w:t xml:space="preserve"> is an eligible time interval in the </w:t>
      </w:r>
      <w:r w:rsidR="008F0D0B">
        <w:t>operating</w:t>
      </w:r>
      <w:r w:rsidR="008F0D0B" w:rsidRPr="0008292E">
        <w:t xml:space="preserve"> period</w:t>
      </w:r>
      <w:r w:rsidR="008F0D0B">
        <w:t xml:space="preserve"> of that measurement boundary;</w:t>
      </w:r>
    </w:p>
    <w:p w14:paraId="1F247A72" w14:textId="270C9C5D" w:rsidR="008F0D0B" w:rsidRPr="0053462C" w:rsidRDefault="00000000" w:rsidP="00E11856">
      <w:pPr>
        <w:pStyle w:val="ListNumber2"/>
        <w:keepNext/>
        <w:keepLines/>
        <w:numPr>
          <w:ilvl w:val="1"/>
          <w:numId w:val="113"/>
        </w:numPr>
        <w:jc w:val="left"/>
      </w:pPr>
      <m:oMath>
        <m:sSub>
          <m:sSubPr>
            <m:ctrlPr>
              <w:rPr>
                <w:rFonts w:ascii="Cambria Math" w:hAnsi="Cambria Math"/>
                <w:i/>
              </w:rPr>
            </m:ctrlPr>
          </m:sSubPr>
          <m:e>
            <m:r>
              <w:rPr>
                <w:rFonts w:ascii="Cambria Math" w:hAnsi="Cambria Math"/>
              </w:rPr>
              <m:t>E</m:t>
            </m:r>
          </m:e>
          <m:sub>
            <m:r>
              <w:rPr>
                <w:rFonts w:ascii="Cambria Math" w:hAnsi="Cambria Math"/>
              </w:rPr>
              <m:t>B,t</m:t>
            </m:r>
          </m:sub>
        </m:sSub>
      </m:oMath>
      <w:r w:rsidR="008F0D0B" w:rsidRPr="00227AB5">
        <w:rPr>
          <w:rFonts w:eastAsiaTheme="minorEastAsia"/>
        </w:rPr>
        <w:t xml:space="preserve"> is the</w:t>
      </w:r>
      <w:r w:rsidR="008F0D0B">
        <w:rPr>
          <w:rFonts w:eastAsiaTheme="minorEastAsia"/>
        </w:rPr>
        <w:t xml:space="preserve"> heat energy savings measured in GJ</w:t>
      </w:r>
      <w:r w:rsidR="008F0D0B" w:rsidRPr="00227AB5">
        <w:rPr>
          <w:rFonts w:eastAsiaTheme="minorEastAsia"/>
        </w:rPr>
        <w:t xml:space="preserve"> for</w:t>
      </w:r>
      <w:r w:rsidR="008F0D0B">
        <w:rPr>
          <w:rFonts w:eastAsiaTheme="minorEastAsia"/>
        </w:rPr>
        <w:t xml:space="preserve"> time interval</w:t>
      </w:r>
      <w:r w:rsidR="008F0D0B" w:rsidRPr="00227AB5">
        <w:rPr>
          <w:rFonts w:eastAsiaTheme="minorEastAsia"/>
        </w:rPr>
        <w:t xml:space="preserve"> </w:t>
      </w:r>
      <w:r w:rsidR="008F0D0B" w:rsidRPr="00227AB5">
        <w:rPr>
          <w:rFonts w:eastAsiaTheme="minorEastAsia"/>
          <w:i/>
        </w:rPr>
        <w:t>t</w:t>
      </w:r>
      <w:r w:rsidR="008F0D0B">
        <w:rPr>
          <w:rFonts w:eastAsiaTheme="minorEastAsia"/>
          <w:i/>
        </w:rPr>
        <w:t xml:space="preserve"> </w:t>
      </w:r>
      <w:r w:rsidR="008F0D0B">
        <w:rPr>
          <w:rFonts w:eastAsiaTheme="minorEastAsia"/>
        </w:rPr>
        <w:t>at that measurement boundary;</w:t>
      </w:r>
    </w:p>
    <w:p w14:paraId="557A2741" w14:textId="6F00F346" w:rsidR="008F0D0B" w:rsidRDefault="00001628" w:rsidP="00E11856">
      <w:pPr>
        <w:pStyle w:val="ListNumber2"/>
        <w:keepNext/>
        <w:keepLines/>
        <w:numPr>
          <w:ilvl w:val="1"/>
          <w:numId w:val="113"/>
        </w:numPr>
        <w:jc w:val="left"/>
      </w:pPr>
      <m:oMath>
        <m:r>
          <w:rPr>
            <w:rFonts w:ascii="Cambria Math" w:hAnsi="Cambria Math"/>
          </w:rPr>
          <m:t>B</m:t>
        </m:r>
      </m:oMath>
      <w:r w:rsidR="008F0D0B">
        <w:t xml:space="preserve"> is the boiler or furnace efficiency factor, set at 0.</w:t>
      </w:r>
      <w:r w:rsidR="009A0632">
        <w:t>788</w:t>
      </w:r>
    </w:p>
    <w:p w14:paraId="4A40B929" w14:textId="3025B308" w:rsidR="0049312F" w:rsidRDefault="00000000" w:rsidP="00E11856">
      <w:pPr>
        <w:pStyle w:val="ListNumber2"/>
        <w:keepNext/>
        <w:keepLines/>
        <w:numPr>
          <w:ilvl w:val="1"/>
          <w:numId w:val="113"/>
        </w:numPr>
        <w:jc w:val="left"/>
        <w:rPr>
          <w:iCs/>
        </w:rPr>
      </w:pPr>
      <m:oMath>
        <m:sSub>
          <m:sSubPr>
            <m:ctrlPr>
              <w:rPr>
                <w:rFonts w:ascii="Cambria Math" w:hAnsi="Cambria Math"/>
                <w:i/>
              </w:rPr>
            </m:ctrlPr>
          </m:sSubPr>
          <m:e>
            <m:r>
              <w:rPr>
                <w:rFonts w:ascii="Cambria Math" w:hAnsi="Cambria Math"/>
              </w:rPr>
              <m:t>EF</m:t>
            </m:r>
          </m:e>
          <m:sub>
            <m:r>
              <w:rPr>
                <w:rFonts w:ascii="Cambria Math" w:hAnsi="Cambria Math"/>
              </w:rPr>
              <m:t>gas</m:t>
            </m:r>
          </m:sub>
        </m:sSub>
      </m:oMath>
      <w:r w:rsidR="008F0D0B" w:rsidRPr="00227AB5">
        <w:rPr>
          <w:rFonts w:eastAsiaTheme="minorEastAsia"/>
        </w:rPr>
        <w:t xml:space="preserve"> is the</w:t>
      </w:r>
      <w:r w:rsidR="008F0D0B">
        <w:rPr>
          <w:rFonts w:eastAsiaTheme="minorEastAsia"/>
        </w:rPr>
        <w:t xml:space="preserve"> gas emissions factor as defined in </w:t>
      </w:r>
      <w:r w:rsidR="008F0D0B" w:rsidRPr="009D1CEF">
        <w:rPr>
          <w:iCs/>
        </w:rPr>
        <w:t>Section 2.1</w:t>
      </w:r>
      <w:r w:rsidR="0049312F">
        <w:rPr>
          <w:iCs/>
        </w:rPr>
        <w:t>.</w:t>
      </w:r>
    </w:p>
    <w:p w14:paraId="300C3DDA" w14:textId="77777777" w:rsidR="008F0D0B" w:rsidRDefault="008F0D0B" w:rsidP="008F0D0B">
      <w:pPr>
        <w:pStyle w:val="ListNumber2"/>
        <w:ind w:left="0" w:firstLine="0"/>
        <w:jc w:val="left"/>
      </w:pPr>
    </w:p>
    <w:p w14:paraId="60AD9382" w14:textId="4F37AAF2" w:rsidR="008F0D0B" w:rsidRPr="00DB400C" w:rsidRDefault="008F0D0B" w:rsidP="008F0D0B">
      <w:pPr>
        <w:pStyle w:val="CaptionImageorFigure"/>
      </w:pPr>
      <w:r>
        <w:t>Equation 11.3</w:t>
      </w:r>
      <w:r w:rsidR="0075326F">
        <w:t xml:space="preserve"> Heat energy savings</w:t>
      </w:r>
    </w:p>
    <w:p w14:paraId="7E00CEB8" w14:textId="046D85CD" w:rsidR="008F0D0B" w:rsidRPr="007C3C92" w:rsidRDefault="00000000" w:rsidP="008F0D0B">
      <w:pPr>
        <w:spacing w:line="360" w:lineRule="auto"/>
        <w:jc w:val="center"/>
        <w:rPr>
          <w:rFonts w:ascii="Times New Roman" w:eastAsiaTheme="minorEastAsia" w:hAnsi="Times New Roman"/>
          <w:sz w:val="24"/>
          <w:szCs w:val="24"/>
        </w:rPr>
      </w:pPr>
      <m:oMathPara>
        <m:oMath>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B,t</m:t>
              </m:r>
            </m:sub>
          </m:sSub>
          <m:r>
            <w:rPr>
              <w:rFonts w:ascii="Cambria Math" w:hAnsi="Cambria Math"/>
              <w:sz w:val="24"/>
              <w:szCs w:val="24"/>
            </w:rPr>
            <m:t>=</m:t>
          </m:r>
          <m:nary>
            <m:naryPr>
              <m:chr m:val="∑"/>
              <m:limLoc m:val="subSup"/>
              <m:supHide m:val="1"/>
              <m:ctrlPr>
                <w:rPr>
                  <w:rFonts w:ascii="Cambria Math" w:hAnsi="Cambria Math"/>
                  <w:i/>
                  <w:sz w:val="24"/>
                  <w:szCs w:val="24"/>
                </w:rPr>
              </m:ctrlPr>
            </m:naryPr>
            <m:sub>
              <m:r>
                <w:rPr>
                  <w:rFonts w:ascii="Cambria Math" w:hAnsi="Cambria Math"/>
                  <w:sz w:val="24"/>
                  <w:szCs w:val="24"/>
                </w:rPr>
                <m:t>t</m:t>
              </m:r>
            </m:sub>
            <m:sup/>
            <m:e>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R,t</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BD,t</m:t>
                  </m:r>
                </m:sub>
              </m:sSub>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L,t</m:t>
                  </m:r>
                </m:sub>
              </m:sSub>
              <m:r>
                <w:rPr>
                  <w:rFonts w:ascii="Cambria Math" w:hAnsi="Cambria Math"/>
                  <w:sz w:val="24"/>
                  <w:szCs w:val="24"/>
                </w:rPr>
                <m:t>)</m:t>
              </m:r>
            </m:e>
          </m:nary>
        </m:oMath>
      </m:oMathPara>
    </w:p>
    <w:p w14:paraId="000769A6" w14:textId="77777777" w:rsidR="008F0D0B" w:rsidRPr="003D143A" w:rsidRDefault="008F0D0B" w:rsidP="008F0D0B">
      <w:pPr>
        <w:pStyle w:val="BodyText"/>
        <w:rPr>
          <w:rFonts w:eastAsiaTheme="minorEastAsia"/>
        </w:rPr>
      </w:pPr>
      <w:r w:rsidRPr="003D143A">
        <w:rPr>
          <w:rFonts w:eastAsiaTheme="minorEastAsia"/>
        </w:rPr>
        <w:t>where:</w:t>
      </w:r>
    </w:p>
    <w:p w14:paraId="376CC213" w14:textId="77777777" w:rsidR="008F0D0B" w:rsidRPr="00F867C7" w:rsidRDefault="00001628">
      <w:pPr>
        <w:pStyle w:val="ListNumber2"/>
        <w:numPr>
          <w:ilvl w:val="0"/>
          <w:numId w:val="101"/>
        </w:numPr>
        <w:jc w:val="left"/>
        <w:rPr>
          <w:rFonts w:cstheme="minorHAnsi"/>
        </w:rPr>
      </w:pPr>
      <m:oMath>
        <m:r>
          <w:rPr>
            <w:rFonts w:ascii="Cambria Math" w:hAnsi="Cambria Math" w:cstheme="minorHAnsi"/>
          </w:rPr>
          <m:t>t</m:t>
        </m:r>
      </m:oMath>
      <w:r w:rsidR="008F0D0B" w:rsidRPr="009F77A4">
        <w:rPr>
          <w:rFonts w:cstheme="minorHAnsi"/>
        </w:rPr>
        <w:t xml:space="preserve"> is an eligible time </w:t>
      </w:r>
      <w:r w:rsidR="008F0D0B" w:rsidRPr="00F867C7">
        <w:rPr>
          <w:rFonts w:cstheme="minorHAnsi"/>
        </w:rPr>
        <w:t>interval in the operating period of that measurement boundary;</w:t>
      </w:r>
    </w:p>
    <w:p w14:paraId="625E124B" w14:textId="5BD574B5" w:rsidR="008F0D0B" w:rsidRPr="00F867C7" w:rsidRDefault="00000000">
      <w:pPr>
        <w:pStyle w:val="ListNumber2"/>
        <w:numPr>
          <w:ilvl w:val="0"/>
          <w:numId w:val="101"/>
        </w:numPr>
        <w:jc w:val="left"/>
      </w:pPr>
      <m:oMath>
        <m:sSub>
          <m:sSubPr>
            <m:ctrlPr>
              <w:rPr>
                <w:rFonts w:ascii="Cambria Math" w:hAnsi="Cambria Math"/>
                <w:i/>
              </w:rPr>
            </m:ctrlPr>
          </m:sSubPr>
          <m:e>
            <m:r>
              <w:rPr>
                <w:rFonts w:ascii="Cambria Math" w:hAnsi="Cambria Math"/>
              </w:rPr>
              <m:t>E</m:t>
            </m:r>
          </m:e>
          <m:sub>
            <m:r>
              <w:rPr>
                <w:rFonts w:ascii="Cambria Math" w:hAnsi="Cambria Math"/>
              </w:rPr>
              <m:t>R,t</m:t>
            </m:r>
          </m:sub>
        </m:sSub>
      </m:oMath>
      <w:r w:rsidR="008F0D0B" w:rsidRPr="00F867C7">
        <w:t xml:space="preserve"> is the heat recovered from flue gases over interval </w:t>
      </w:r>
      <m:oMath>
        <m:r>
          <w:rPr>
            <w:rFonts w:ascii="Cambria Math" w:hAnsi="Cambria Math" w:cstheme="minorHAnsi"/>
          </w:rPr>
          <m:t>t</m:t>
        </m:r>
      </m:oMath>
      <w:r w:rsidR="008F0D0B" w:rsidRPr="00F867C7">
        <w:t xml:space="preserve"> of that measurement boundary</w:t>
      </w:r>
      <w:r w:rsidR="00AA715D" w:rsidRPr="00F867C7">
        <w:t xml:space="preserve"> that must be measured by a thermal meter that measures thermal energy by integrating thermal power over time that account for changes in the thermal load</w:t>
      </w:r>
      <w:r w:rsidR="008F0D0B" w:rsidRPr="00F867C7">
        <w:t>;</w:t>
      </w:r>
    </w:p>
    <w:p w14:paraId="4DF0A1FC" w14:textId="7DBED2D4" w:rsidR="008F0D0B" w:rsidRPr="00F867C7" w:rsidRDefault="00000000">
      <w:pPr>
        <w:pStyle w:val="ListNumber2"/>
        <w:numPr>
          <w:ilvl w:val="0"/>
          <w:numId w:val="101"/>
        </w:numPr>
        <w:jc w:val="left"/>
      </w:pPr>
      <m:oMath>
        <m:sSub>
          <m:sSubPr>
            <m:ctrlPr>
              <w:rPr>
                <w:rFonts w:ascii="Cambria Math" w:hAnsi="Cambria Math"/>
                <w:i/>
              </w:rPr>
            </m:ctrlPr>
          </m:sSubPr>
          <m:e>
            <m:r>
              <w:rPr>
                <w:rFonts w:ascii="Cambria Math" w:hAnsi="Cambria Math"/>
              </w:rPr>
              <m:t>E</m:t>
            </m:r>
          </m:e>
          <m:sub>
            <m:r>
              <w:rPr>
                <w:rFonts w:ascii="Cambria Math" w:hAnsi="Cambria Math"/>
              </w:rPr>
              <m:t>BD,t</m:t>
            </m:r>
          </m:sub>
        </m:sSub>
      </m:oMath>
      <w:r w:rsidR="008F0D0B" w:rsidRPr="00F867C7">
        <w:t xml:space="preserve"> is the heat recovered from continuous blowdown over interval </w:t>
      </w:r>
      <m:oMath>
        <m:r>
          <w:rPr>
            <w:rFonts w:ascii="Cambria Math" w:hAnsi="Cambria Math" w:cstheme="minorHAnsi"/>
          </w:rPr>
          <m:t>t</m:t>
        </m:r>
      </m:oMath>
      <w:r w:rsidR="008F0D0B" w:rsidRPr="00F867C7">
        <w:t xml:space="preserve"> of that measurement boundary</w:t>
      </w:r>
      <w:r w:rsidR="00BF05CC" w:rsidRPr="00F867C7">
        <w:t xml:space="preserve"> that must be measured by a thermal meter that measures thermal energy by integrating thermal power over time that account for changes in the thermal load</w:t>
      </w:r>
      <w:r w:rsidR="004F0740" w:rsidRPr="00F867C7">
        <w:t>;</w:t>
      </w:r>
    </w:p>
    <w:p w14:paraId="2383191D" w14:textId="1F5BEE3F" w:rsidR="008F0D0B" w:rsidRDefault="00000000" w:rsidP="00A54494">
      <w:pPr>
        <w:pStyle w:val="ListNumber2"/>
        <w:numPr>
          <w:ilvl w:val="0"/>
          <w:numId w:val="101"/>
        </w:numPr>
        <w:jc w:val="left"/>
      </w:pPr>
      <m:oMath>
        <m:sSub>
          <m:sSubPr>
            <m:ctrlPr>
              <w:rPr>
                <w:rFonts w:ascii="Cambria Math" w:hAnsi="Cambria Math"/>
                <w:i/>
              </w:rPr>
            </m:ctrlPr>
          </m:sSubPr>
          <m:e>
            <m:r>
              <w:rPr>
                <w:rFonts w:ascii="Cambria Math" w:hAnsi="Cambria Math"/>
              </w:rPr>
              <m:t>E</m:t>
            </m:r>
          </m:e>
          <m:sub>
            <m:r>
              <w:rPr>
                <w:rFonts w:ascii="Cambria Math" w:hAnsi="Cambria Math"/>
              </w:rPr>
              <m:t>L,t</m:t>
            </m:r>
          </m:sub>
        </m:sSub>
      </m:oMath>
      <w:r w:rsidR="008F0D0B" w:rsidRPr="00F867C7">
        <w:t xml:space="preserve"> is the reduction in energy losses from bottom blowdown</w:t>
      </w:r>
      <w:r w:rsidR="008F0D0B">
        <w:t xml:space="preserve"> in a steam boiler over interval </w:t>
      </w:r>
      <w:r w:rsidR="008F0D0B" w:rsidRPr="00C06FD1">
        <w:rPr>
          <w:i/>
          <w:iCs/>
        </w:rPr>
        <w:t>t</w:t>
      </w:r>
      <w:r w:rsidR="00A54494">
        <w:t>. T</w:t>
      </w:r>
      <w:r w:rsidR="00E70E47">
        <w:t>he s</w:t>
      </w:r>
      <w:r w:rsidR="008F0D0B">
        <w:t xml:space="preserve">avings from a reduction in energy losses from blow down are eligible using this method if </w:t>
      </w:r>
    </w:p>
    <w:p w14:paraId="77673BD5" w14:textId="77777777" w:rsidR="008F0D0B" w:rsidRDefault="008F0D0B">
      <w:pPr>
        <w:pStyle w:val="ListNumber2"/>
        <w:numPr>
          <w:ilvl w:val="0"/>
          <w:numId w:val="98"/>
        </w:numPr>
        <w:jc w:val="left"/>
      </w:pPr>
      <w:r>
        <w:t>there are no measures to reduce steam or condensate leakage, apart from improving blow down control.</w:t>
      </w:r>
    </w:p>
    <w:p w14:paraId="4E6F5376" w14:textId="77777777" w:rsidR="008F0D0B" w:rsidRDefault="008F0D0B">
      <w:pPr>
        <w:pStyle w:val="ListNumber2"/>
        <w:numPr>
          <w:ilvl w:val="0"/>
          <w:numId w:val="98"/>
        </w:numPr>
        <w:jc w:val="left"/>
      </w:pPr>
      <w:r>
        <w:t>Prior to the upgrade blowdown was undertaken manually or on a timed basis.</w:t>
      </w:r>
    </w:p>
    <w:p w14:paraId="494B68D5" w14:textId="77777777" w:rsidR="008F0D0B" w:rsidRDefault="008F0D0B" w:rsidP="008F0D0B">
      <w:pPr>
        <w:pStyle w:val="ListNumber2"/>
        <w:ind w:left="0" w:firstLine="0"/>
        <w:jc w:val="left"/>
      </w:pPr>
    </w:p>
    <w:p w14:paraId="6D01A21F" w14:textId="0286A823" w:rsidR="008F0D0B" w:rsidRPr="00DB400C" w:rsidRDefault="008F0D0B" w:rsidP="008F0D0B">
      <w:pPr>
        <w:pStyle w:val="CaptionImageorFigure"/>
      </w:pPr>
      <w:bookmarkStart w:id="209" w:name="OLE_LINK8"/>
      <w:r>
        <w:t xml:space="preserve">Equation 11.4 </w:t>
      </w:r>
      <w:r w:rsidR="00DE6BFB">
        <w:t xml:space="preserve">Thermal power </w:t>
      </w:r>
    </w:p>
    <w:p w14:paraId="4ADF0636" w14:textId="0F074197" w:rsidR="008F0D0B" w:rsidRPr="009D2A4B" w:rsidRDefault="00001628" w:rsidP="008F0D0B">
      <w:pPr>
        <w:pStyle w:val="ListNumber2"/>
        <w:ind w:left="0" w:firstLine="0"/>
        <w:jc w:val="left"/>
      </w:pPr>
      <m:oMathPara>
        <m:oMath>
          <m:r>
            <w:rPr>
              <w:rFonts w:ascii="Cambria Math" w:hAnsi="Cambria Math"/>
            </w:rPr>
            <m:t xml:space="preserve">P=m ̇   </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p</m:t>
              </m:r>
            </m:sub>
          </m:sSub>
          <m:r>
            <w:rPr>
              <w:rFonts w:ascii="Cambria Math" w:hAnsi="Cambria Math"/>
            </w:rPr>
            <m:t xml:space="preserve">  ΔT</m:t>
          </m:r>
        </m:oMath>
      </m:oMathPara>
    </w:p>
    <w:p w14:paraId="789676D6" w14:textId="77777777" w:rsidR="008F0D0B" w:rsidRPr="00E37634" w:rsidRDefault="008F0D0B" w:rsidP="008F0D0B">
      <w:pPr>
        <w:pStyle w:val="ListNumber2"/>
        <w:ind w:left="0" w:firstLine="0"/>
        <w:jc w:val="left"/>
      </w:pPr>
      <w:r w:rsidRPr="00E37634">
        <w:t>Where:</w:t>
      </w:r>
    </w:p>
    <w:p w14:paraId="3F59E561" w14:textId="77777777" w:rsidR="008F0D0B" w:rsidRPr="00E37634" w:rsidRDefault="008F0D0B">
      <w:pPr>
        <w:pStyle w:val="ListNumber2"/>
        <w:numPr>
          <w:ilvl w:val="0"/>
          <w:numId w:val="102"/>
        </w:numPr>
        <w:jc w:val="left"/>
      </w:pPr>
      <w:r w:rsidRPr="00B71D68">
        <w:rPr>
          <w:i/>
          <w:iCs/>
        </w:rPr>
        <w:t>P</w:t>
      </w:r>
      <w:r w:rsidRPr="00E37634">
        <w:t xml:space="preserve"> is the thermal power output of the boiler or furnace measured in kW.</w:t>
      </w:r>
    </w:p>
    <w:p w14:paraId="76C19AF8" w14:textId="35F29B83" w:rsidR="008F0D0B" w:rsidRPr="00E37634" w:rsidRDefault="00000000">
      <w:pPr>
        <w:pStyle w:val="ListNumber2"/>
        <w:numPr>
          <w:ilvl w:val="0"/>
          <w:numId w:val="102"/>
        </w:numPr>
        <w:jc w:val="left"/>
      </w:pPr>
      <m:oMath>
        <m:acc>
          <m:accPr>
            <m:chr m:val="̇"/>
            <m:ctrlPr>
              <w:rPr>
                <w:rFonts w:ascii="Cambria Math" w:hAnsi="Cambria Math"/>
              </w:rPr>
            </m:ctrlPr>
          </m:accPr>
          <m:e>
            <m:r>
              <m:rPr>
                <m:sty m:val="p"/>
              </m:rPr>
              <w:rPr>
                <w:rFonts w:ascii="Cambria Math" w:hAnsi="Cambria Math"/>
              </w:rPr>
              <m:t>m</m:t>
            </m:r>
          </m:e>
        </m:acc>
      </m:oMath>
      <w:r w:rsidR="008F0D0B" w:rsidRPr="00E37634">
        <w:t xml:space="preserve">  is the mass flow rate of the water entering the heat exchanger, in kg/s. It may be acceptable to assume the density is constant and measure volumetric flow rate to be constant.</w:t>
      </w:r>
    </w:p>
    <w:p w14:paraId="7C630909" w14:textId="61CE2C41" w:rsidR="008F0D0B" w:rsidRPr="00E37634" w:rsidRDefault="00000000">
      <w:pPr>
        <w:pStyle w:val="ListNumber2"/>
        <w:numPr>
          <w:ilvl w:val="0"/>
          <w:numId w:val="102"/>
        </w:numPr>
        <w:jc w:val="left"/>
      </w:pP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p</m:t>
            </m:r>
          </m:sub>
        </m:sSub>
      </m:oMath>
      <w:r w:rsidR="008F0D0B" w:rsidRPr="00E37634">
        <w:t xml:space="preserve"> is the specific heat of water in kJ/kg/K, at the average temperature of water in the heat exchanger </w:t>
      </w:r>
    </w:p>
    <w:p w14:paraId="7E5EA2AA" w14:textId="77777777" w:rsidR="008F0D0B" w:rsidRPr="00E37634" w:rsidRDefault="008F0D0B">
      <w:pPr>
        <w:pStyle w:val="ListNumber2"/>
        <w:numPr>
          <w:ilvl w:val="0"/>
          <w:numId w:val="102"/>
        </w:numPr>
        <w:jc w:val="left"/>
      </w:pPr>
      <w:r w:rsidRPr="00FE7300">
        <w:rPr>
          <w:i/>
          <w:iCs/>
        </w:rPr>
        <w:t>ΔT</w:t>
      </w:r>
      <w:r w:rsidRPr="00E37634">
        <w:t xml:space="preserve"> is the temperature rise of the water across the heat exchanger.</w:t>
      </w:r>
    </w:p>
    <w:bookmarkEnd w:id="209"/>
    <w:p w14:paraId="1496FD6F" w14:textId="77777777" w:rsidR="008F0D0B" w:rsidRDefault="008F0D0B" w:rsidP="008F0D0B">
      <w:pPr>
        <w:pStyle w:val="ListNumber2"/>
        <w:ind w:left="0" w:firstLine="0"/>
      </w:pPr>
    </w:p>
    <w:p w14:paraId="4E437ACB" w14:textId="77777777" w:rsidR="008F0D0B" w:rsidRDefault="008F0D0B" w:rsidP="008F0D0B">
      <w:pPr>
        <w:pStyle w:val="Heading3"/>
      </w:pPr>
      <w:r>
        <w:lastRenderedPageBreak/>
        <w:t>Persistence factor</w:t>
      </w:r>
    </w:p>
    <w:p w14:paraId="0DCAA167" w14:textId="0744436D" w:rsidR="008F0D0B" w:rsidRPr="001000DA" w:rsidRDefault="008F0D0B" w:rsidP="008F0D0B">
      <w:pPr>
        <w:pStyle w:val="ListNumber2"/>
        <w:keepNext/>
        <w:keepLines/>
        <w:ind w:left="0" w:firstLine="0"/>
        <w:jc w:val="left"/>
      </w:pPr>
      <w:r w:rsidRPr="008729F9">
        <w:t xml:space="preserve">The </w:t>
      </w:r>
      <w:r>
        <w:t>persistence</w:t>
      </w:r>
      <w:r w:rsidRPr="008729F9">
        <w:t xml:space="preserve"> factor for a year i</w:t>
      </w:r>
      <w:r>
        <w:t xml:space="preserve">s assigned on a per measurement boundary basis and is </w:t>
      </w:r>
      <w:r w:rsidRPr="008729F9">
        <w:t xml:space="preserve">determined using Table </w:t>
      </w:r>
      <w:r>
        <w:t>1</w:t>
      </w:r>
      <w:r w:rsidR="00530B0B">
        <w:t>1</w:t>
      </w:r>
      <w:r>
        <w:t>.1.</w:t>
      </w:r>
    </w:p>
    <w:p w14:paraId="319EB639" w14:textId="59F91679" w:rsidR="008F0D0B" w:rsidRPr="00781DB4" w:rsidRDefault="008F0D0B" w:rsidP="008F0D0B">
      <w:pPr>
        <w:pStyle w:val="Caption"/>
      </w:pPr>
      <w:r w:rsidRPr="00781DB4">
        <w:t xml:space="preserve">Table </w:t>
      </w:r>
      <w:r>
        <w:t>1</w:t>
      </w:r>
      <w:r w:rsidR="00530B0B">
        <w:t>1</w:t>
      </w:r>
      <w:r>
        <w:t>.1</w:t>
      </w:r>
    </w:p>
    <w:tbl>
      <w:tblPr>
        <w:tblStyle w:val="TableGrid"/>
        <w:tblW w:w="0" w:type="auto"/>
        <w:tblLayout w:type="fixed"/>
        <w:tblLook w:val="04A0" w:firstRow="1" w:lastRow="0" w:firstColumn="1" w:lastColumn="0" w:noHBand="0" w:noVBand="1"/>
      </w:tblPr>
      <w:tblGrid>
        <w:gridCol w:w="2772"/>
        <w:gridCol w:w="1827"/>
      </w:tblGrid>
      <w:tr w:rsidR="008F0D0B" w14:paraId="17C59F8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2" w:type="dxa"/>
            <w:shd w:val="clear" w:color="auto" w:fill="201547"/>
          </w:tcPr>
          <w:p w14:paraId="30C17F53" w14:textId="77777777" w:rsidR="008F0D0B" w:rsidRDefault="008F0D0B">
            <w:pPr>
              <w:pStyle w:val="BodyText"/>
            </w:pPr>
            <w:r>
              <w:t>Technology</w:t>
            </w:r>
          </w:p>
        </w:tc>
        <w:tc>
          <w:tcPr>
            <w:tcW w:w="1827" w:type="dxa"/>
            <w:shd w:val="clear" w:color="auto" w:fill="201547"/>
          </w:tcPr>
          <w:p w14:paraId="0A3E6C19" w14:textId="77777777" w:rsidR="008F0D0B" w:rsidRDefault="008F0D0B">
            <w:pPr>
              <w:pStyle w:val="BodyText"/>
              <w:jc w:val="center"/>
              <w:cnfStyle w:val="100000000000" w:firstRow="1" w:lastRow="0" w:firstColumn="0" w:lastColumn="0" w:oddVBand="0" w:evenVBand="0" w:oddHBand="0" w:evenHBand="0" w:firstRowFirstColumn="0" w:firstRowLastColumn="0" w:lastRowFirstColumn="0" w:lastRowLastColumn="0"/>
            </w:pPr>
            <w:r>
              <w:t>Persistence factor</w:t>
            </w:r>
          </w:p>
        </w:tc>
      </w:tr>
      <w:tr w:rsidR="008F0D0B" w14:paraId="3A5B63A3" w14:textId="77777777">
        <w:tc>
          <w:tcPr>
            <w:cnfStyle w:val="001000000000" w:firstRow="0" w:lastRow="0" w:firstColumn="1" w:lastColumn="0" w:oddVBand="0" w:evenVBand="0" w:oddHBand="0" w:evenHBand="0" w:firstRowFirstColumn="0" w:firstRowLastColumn="0" w:lastRowFirstColumn="0" w:lastRowLastColumn="0"/>
            <w:tcW w:w="2772" w:type="dxa"/>
          </w:tcPr>
          <w:p w14:paraId="1384AF9E" w14:textId="77777777" w:rsidR="008F0D0B" w:rsidRDefault="008F0D0B">
            <w:pPr>
              <w:pStyle w:val="BodyText"/>
              <w:jc w:val="left"/>
            </w:pPr>
            <w:r>
              <w:t>Economiser retrofit</w:t>
            </w:r>
          </w:p>
        </w:tc>
        <w:tc>
          <w:tcPr>
            <w:tcW w:w="1827" w:type="dxa"/>
          </w:tcPr>
          <w:p w14:paraId="64520A20" w14:textId="77777777" w:rsidR="008F0D0B" w:rsidRDefault="008F0D0B">
            <w:pPr>
              <w:pStyle w:val="BodyText"/>
              <w:jc w:val="center"/>
              <w:cnfStyle w:val="000000000000" w:firstRow="0" w:lastRow="0" w:firstColumn="0" w:lastColumn="0" w:oddVBand="0" w:evenVBand="0" w:oddHBand="0" w:evenHBand="0" w:firstRowFirstColumn="0" w:firstRowLastColumn="0" w:lastRowFirstColumn="0" w:lastRowLastColumn="0"/>
            </w:pPr>
            <w:r>
              <w:t>9</w:t>
            </w:r>
          </w:p>
        </w:tc>
      </w:tr>
      <w:tr w:rsidR="008F0D0B" w14:paraId="1CF5652B" w14:textId="77777777">
        <w:tc>
          <w:tcPr>
            <w:cnfStyle w:val="001000000000" w:firstRow="0" w:lastRow="0" w:firstColumn="1" w:lastColumn="0" w:oddVBand="0" w:evenVBand="0" w:oddHBand="0" w:evenHBand="0" w:firstRowFirstColumn="0" w:firstRowLastColumn="0" w:lastRowFirstColumn="0" w:lastRowLastColumn="0"/>
            <w:tcW w:w="2772" w:type="dxa"/>
          </w:tcPr>
          <w:p w14:paraId="5F0A4146" w14:textId="77777777" w:rsidR="008F0D0B" w:rsidRDefault="008F0D0B">
            <w:pPr>
              <w:pStyle w:val="BodyText"/>
              <w:jc w:val="left"/>
            </w:pPr>
            <w:r>
              <w:t>Continuous blowdown heat recovery</w:t>
            </w:r>
          </w:p>
        </w:tc>
        <w:tc>
          <w:tcPr>
            <w:tcW w:w="1827" w:type="dxa"/>
          </w:tcPr>
          <w:p w14:paraId="27770B33" w14:textId="77777777" w:rsidR="008F0D0B" w:rsidRDefault="008F0D0B">
            <w:pPr>
              <w:pStyle w:val="BodyText"/>
              <w:jc w:val="center"/>
              <w:cnfStyle w:val="000000000000" w:firstRow="0" w:lastRow="0" w:firstColumn="0" w:lastColumn="0" w:oddVBand="0" w:evenVBand="0" w:oddHBand="0" w:evenHBand="0" w:firstRowFirstColumn="0" w:firstRowLastColumn="0" w:lastRowFirstColumn="0" w:lastRowLastColumn="0"/>
            </w:pPr>
            <w:r>
              <w:t>9</w:t>
            </w:r>
          </w:p>
        </w:tc>
      </w:tr>
      <w:tr w:rsidR="008F0D0B" w14:paraId="441AECF1" w14:textId="77777777">
        <w:tc>
          <w:tcPr>
            <w:cnfStyle w:val="001000000000" w:firstRow="0" w:lastRow="0" w:firstColumn="1" w:lastColumn="0" w:oddVBand="0" w:evenVBand="0" w:oddHBand="0" w:evenHBand="0" w:firstRowFirstColumn="0" w:firstRowLastColumn="0" w:lastRowFirstColumn="0" w:lastRowLastColumn="0"/>
            <w:tcW w:w="2772" w:type="dxa"/>
          </w:tcPr>
          <w:p w14:paraId="0D36DA99" w14:textId="77777777" w:rsidR="008F0D0B" w:rsidRDefault="008F0D0B">
            <w:pPr>
              <w:pStyle w:val="BodyText"/>
              <w:jc w:val="left"/>
            </w:pPr>
            <w:r>
              <w:t>Automatic blowdown control</w:t>
            </w:r>
          </w:p>
        </w:tc>
        <w:tc>
          <w:tcPr>
            <w:tcW w:w="1827" w:type="dxa"/>
          </w:tcPr>
          <w:p w14:paraId="0C6CC6FF" w14:textId="77777777" w:rsidR="008F0D0B" w:rsidRDefault="008F0D0B">
            <w:pPr>
              <w:pStyle w:val="BodyText"/>
              <w:jc w:val="center"/>
              <w:cnfStyle w:val="000000000000" w:firstRow="0" w:lastRow="0" w:firstColumn="0" w:lastColumn="0" w:oddVBand="0" w:evenVBand="0" w:oddHBand="0" w:evenHBand="0" w:firstRowFirstColumn="0" w:firstRowLastColumn="0" w:lastRowFirstColumn="0" w:lastRowLastColumn="0"/>
            </w:pPr>
            <w:r w:rsidRPr="00E70E47">
              <w:t>9</w:t>
            </w:r>
          </w:p>
        </w:tc>
      </w:tr>
      <w:tr w:rsidR="008F0D0B" w14:paraId="34503489" w14:textId="77777777">
        <w:tc>
          <w:tcPr>
            <w:cnfStyle w:val="001000000000" w:firstRow="0" w:lastRow="0" w:firstColumn="1" w:lastColumn="0" w:oddVBand="0" w:evenVBand="0" w:oddHBand="0" w:evenHBand="0" w:firstRowFirstColumn="0" w:firstRowLastColumn="0" w:lastRowFirstColumn="0" w:lastRowLastColumn="0"/>
            <w:tcW w:w="2772" w:type="dxa"/>
          </w:tcPr>
          <w:p w14:paraId="5800BE41" w14:textId="77777777" w:rsidR="008F0D0B" w:rsidRDefault="008F0D0B">
            <w:pPr>
              <w:pStyle w:val="BodyText"/>
              <w:jc w:val="left"/>
            </w:pPr>
          </w:p>
        </w:tc>
        <w:tc>
          <w:tcPr>
            <w:tcW w:w="1827" w:type="dxa"/>
          </w:tcPr>
          <w:p w14:paraId="2F8FA240" w14:textId="77777777" w:rsidR="008F0D0B" w:rsidRDefault="008F0D0B">
            <w:pPr>
              <w:pStyle w:val="BodyText"/>
              <w:jc w:val="center"/>
              <w:cnfStyle w:val="000000000000" w:firstRow="0" w:lastRow="0" w:firstColumn="0" w:lastColumn="0" w:oddVBand="0" w:evenVBand="0" w:oddHBand="0" w:evenHBand="0" w:firstRowFirstColumn="0" w:firstRowLastColumn="0" w:lastRowFirstColumn="0" w:lastRowLastColumn="0"/>
            </w:pPr>
          </w:p>
        </w:tc>
      </w:tr>
    </w:tbl>
    <w:p w14:paraId="03FC49F5" w14:textId="77777777" w:rsidR="008F0D0B" w:rsidRDefault="008F0D0B" w:rsidP="008F0D0B">
      <w:pPr>
        <w:pStyle w:val="Heading3"/>
      </w:pPr>
      <w:r>
        <w:t xml:space="preserve">Accuracy factor </w:t>
      </w:r>
    </w:p>
    <w:p w14:paraId="00ADFBD9" w14:textId="3E2BCF34" w:rsidR="008F0D0B" w:rsidRPr="00A43EC4" w:rsidRDefault="008F0D0B" w:rsidP="008F0D0B">
      <w:pPr>
        <w:pStyle w:val="BodyText"/>
      </w:pPr>
      <w:r>
        <w:t>For the purpose of this</w:t>
      </w:r>
      <w:r w:rsidRPr="00C84691">
        <w:t xml:space="preserve"> </w:t>
      </w:r>
      <w:r>
        <w:t>specified measurement method, the accuracy factor is the relevant value in the right-hand side column in Table 1</w:t>
      </w:r>
      <w:r w:rsidR="00530B0B">
        <w:t>1</w:t>
      </w:r>
      <w:r>
        <w:t>.2 below.</w:t>
      </w:r>
    </w:p>
    <w:p w14:paraId="2DA35E05" w14:textId="01C12152" w:rsidR="008F0D0B" w:rsidRPr="00B0391F" w:rsidRDefault="008F0D0B" w:rsidP="008F0D0B">
      <w:pPr>
        <w:pStyle w:val="Caption"/>
      </w:pPr>
      <w:r w:rsidRPr="00B0391F">
        <w:t xml:space="preserve">Table </w:t>
      </w:r>
      <w:r>
        <w:t>1</w:t>
      </w:r>
      <w:r w:rsidR="00530B0B">
        <w:t>1</w:t>
      </w:r>
      <w:r>
        <w:t>.2</w:t>
      </w:r>
    </w:p>
    <w:tbl>
      <w:tblPr>
        <w:tblStyle w:val="TableGrid"/>
        <w:tblW w:w="0" w:type="auto"/>
        <w:tblLayout w:type="fixed"/>
        <w:tblLook w:val="04A0" w:firstRow="1" w:lastRow="0" w:firstColumn="1" w:lastColumn="0" w:noHBand="0" w:noVBand="1"/>
      </w:tblPr>
      <w:tblGrid>
        <w:gridCol w:w="6520"/>
        <w:gridCol w:w="1605"/>
      </w:tblGrid>
      <w:tr w:rsidR="008F0D0B" w14:paraId="25F35B4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0" w:type="dxa"/>
            <w:shd w:val="clear" w:color="auto" w:fill="201547"/>
          </w:tcPr>
          <w:p w14:paraId="6F5AA368" w14:textId="77777777" w:rsidR="008F0D0B" w:rsidRDefault="008F0D0B">
            <w:pPr>
              <w:pStyle w:val="BodyText"/>
            </w:pPr>
            <w:r>
              <w:t>Length of operating period</w:t>
            </w:r>
          </w:p>
        </w:tc>
        <w:tc>
          <w:tcPr>
            <w:tcW w:w="1605" w:type="dxa"/>
            <w:shd w:val="clear" w:color="auto" w:fill="201547"/>
          </w:tcPr>
          <w:p w14:paraId="033BBDF7" w14:textId="77777777" w:rsidR="008F0D0B" w:rsidRDefault="008F0D0B">
            <w:pPr>
              <w:pStyle w:val="BodyText"/>
              <w:jc w:val="center"/>
              <w:cnfStyle w:val="100000000000" w:firstRow="1" w:lastRow="0" w:firstColumn="0" w:lastColumn="0" w:oddVBand="0" w:evenVBand="0" w:oddHBand="0" w:evenHBand="0" w:firstRowFirstColumn="0" w:firstRowLastColumn="0" w:lastRowFirstColumn="0" w:lastRowLastColumn="0"/>
            </w:pPr>
            <w:r>
              <w:t>Accuracy factor</w:t>
            </w:r>
          </w:p>
        </w:tc>
      </w:tr>
      <w:tr w:rsidR="008F0D0B" w14:paraId="288C4F8D" w14:textId="77777777">
        <w:tc>
          <w:tcPr>
            <w:cnfStyle w:val="001000000000" w:firstRow="0" w:lastRow="0" w:firstColumn="1" w:lastColumn="0" w:oddVBand="0" w:evenVBand="0" w:oddHBand="0" w:evenHBand="0" w:firstRowFirstColumn="0" w:firstRowLastColumn="0" w:lastRowFirstColumn="0" w:lastRowLastColumn="0"/>
            <w:tcW w:w="6520" w:type="dxa"/>
          </w:tcPr>
          <w:p w14:paraId="0400EB78" w14:textId="77777777" w:rsidR="008F0D0B" w:rsidRDefault="008F0D0B">
            <w:pPr>
              <w:pStyle w:val="BodyText"/>
            </w:pPr>
            <w:r>
              <w:t>Between 6 and 12 months, including the peak, shoulder and off season</w:t>
            </w:r>
          </w:p>
        </w:tc>
        <w:tc>
          <w:tcPr>
            <w:tcW w:w="1605" w:type="dxa"/>
          </w:tcPr>
          <w:p w14:paraId="325601B5" w14:textId="5715CE45" w:rsidR="008F0D0B" w:rsidRDefault="008F0D0B">
            <w:pPr>
              <w:pStyle w:val="BodyText"/>
              <w:jc w:val="center"/>
              <w:cnfStyle w:val="000000000000" w:firstRow="0" w:lastRow="0" w:firstColumn="0" w:lastColumn="0" w:oddVBand="0" w:evenVBand="0" w:oddHBand="0" w:evenHBand="0" w:firstRowFirstColumn="0" w:firstRowLastColumn="0" w:lastRowFirstColumn="0" w:lastRowLastColumn="0"/>
            </w:pPr>
            <w:r>
              <w:t>0.</w:t>
            </w:r>
            <w:r w:rsidR="00D476F4">
              <w:t>8</w:t>
            </w:r>
          </w:p>
        </w:tc>
      </w:tr>
      <w:tr w:rsidR="008F0D0B" w14:paraId="0DD43983" w14:textId="77777777">
        <w:tc>
          <w:tcPr>
            <w:cnfStyle w:val="001000000000" w:firstRow="0" w:lastRow="0" w:firstColumn="1" w:lastColumn="0" w:oddVBand="0" w:evenVBand="0" w:oddHBand="0" w:evenHBand="0" w:firstRowFirstColumn="0" w:firstRowLastColumn="0" w:lastRowFirstColumn="0" w:lastRowLastColumn="0"/>
            <w:tcW w:w="6520" w:type="dxa"/>
          </w:tcPr>
          <w:p w14:paraId="29D4A30D" w14:textId="77777777" w:rsidR="008F0D0B" w:rsidRDefault="008F0D0B">
            <w:pPr>
              <w:pStyle w:val="BodyText"/>
            </w:pPr>
            <w:r>
              <w:t>Equal to or greater than 12 months</w:t>
            </w:r>
          </w:p>
        </w:tc>
        <w:tc>
          <w:tcPr>
            <w:tcW w:w="1605" w:type="dxa"/>
          </w:tcPr>
          <w:p w14:paraId="5D7FE07E" w14:textId="77777777" w:rsidR="008F0D0B" w:rsidRDefault="008F0D0B">
            <w:pPr>
              <w:pStyle w:val="BodyText"/>
              <w:jc w:val="center"/>
              <w:cnfStyle w:val="000000000000" w:firstRow="0" w:lastRow="0" w:firstColumn="0" w:lastColumn="0" w:oddVBand="0" w:evenVBand="0" w:oddHBand="0" w:evenHBand="0" w:firstRowFirstColumn="0" w:firstRowLastColumn="0" w:lastRowFirstColumn="0" w:lastRowLastColumn="0"/>
            </w:pPr>
            <w:r>
              <w:t>0.8</w:t>
            </w:r>
          </w:p>
        </w:tc>
      </w:tr>
    </w:tbl>
    <w:p w14:paraId="21AF141C" w14:textId="77777777" w:rsidR="008F0D0B" w:rsidRDefault="008F0D0B" w:rsidP="008F0D0B">
      <w:pPr>
        <w:pStyle w:val="BodyText"/>
      </w:pPr>
    </w:p>
    <w:p w14:paraId="54A32E84" w14:textId="77777777" w:rsidR="008F0D0B" w:rsidRDefault="008F0D0B" w:rsidP="008F0D0B">
      <w:pPr>
        <w:pStyle w:val="Heading3"/>
      </w:pPr>
      <w:r>
        <w:t>Interactive energy savings</w:t>
      </w:r>
    </w:p>
    <w:p w14:paraId="133C6E93" w14:textId="77777777" w:rsidR="008F0D0B" w:rsidRDefault="008F0D0B" w:rsidP="008F0D0B">
      <w:pPr>
        <w:pStyle w:val="BodyText"/>
      </w:pPr>
      <w:r>
        <w:t>Interactive energy savings are limited to 10% for this specified measurement method.</w:t>
      </w:r>
    </w:p>
    <w:p w14:paraId="25E1C835" w14:textId="77777777" w:rsidR="008F0D0B" w:rsidRDefault="008F0D0B" w:rsidP="008F0D0B">
      <w:pPr>
        <w:rPr>
          <w:rFonts w:asciiTheme="majorHAnsi" w:eastAsiaTheme="majorEastAsia" w:hAnsiTheme="majorHAnsi" w:cstheme="majorBidi"/>
          <w:color w:val="201547" w:themeColor="text2"/>
          <w:spacing w:val="-4"/>
          <w:sz w:val="40"/>
          <w:szCs w:val="40"/>
        </w:rPr>
      </w:pPr>
      <w:r>
        <w:br w:type="page"/>
      </w:r>
    </w:p>
    <w:p w14:paraId="55787E8C" w14:textId="3BF8AF6B" w:rsidR="00747A21" w:rsidRDefault="00604605" w:rsidP="00713AC6">
      <w:pPr>
        <w:pStyle w:val="Heading1"/>
        <w:ind w:left="851" w:hanging="851"/>
      </w:pPr>
      <w:bookmarkStart w:id="210" w:name="_Toc232600265"/>
      <w:bookmarkStart w:id="211" w:name="_Toc232600701"/>
      <w:bookmarkStart w:id="212" w:name="_Toc232600936"/>
      <w:bookmarkStart w:id="213" w:name="_Toc232602356"/>
      <w:bookmarkStart w:id="214" w:name="_Toc232605556"/>
      <w:bookmarkStart w:id="215" w:name="_Toc232605676"/>
      <w:bookmarkStart w:id="216" w:name="_Toc232600266"/>
      <w:bookmarkStart w:id="217" w:name="_Toc232600702"/>
      <w:bookmarkStart w:id="218" w:name="_Toc232600937"/>
      <w:bookmarkStart w:id="219" w:name="_Toc232602357"/>
      <w:bookmarkStart w:id="220" w:name="_Toc232605557"/>
      <w:bookmarkStart w:id="221" w:name="_Toc232605677"/>
      <w:bookmarkStart w:id="222" w:name="_Toc232600267"/>
      <w:bookmarkStart w:id="223" w:name="_Toc232600703"/>
      <w:bookmarkStart w:id="224" w:name="_Toc232600938"/>
      <w:bookmarkStart w:id="225" w:name="_Toc232602358"/>
      <w:bookmarkStart w:id="226" w:name="_Toc232605558"/>
      <w:bookmarkStart w:id="227" w:name="_Toc232605678"/>
      <w:bookmarkStart w:id="228" w:name="_Toc232600268"/>
      <w:bookmarkStart w:id="229" w:name="_Toc232600704"/>
      <w:bookmarkStart w:id="230" w:name="_Toc232600939"/>
      <w:bookmarkStart w:id="231" w:name="_Toc232602359"/>
      <w:bookmarkStart w:id="232" w:name="_Toc232605559"/>
      <w:bookmarkStart w:id="233" w:name="_Toc232605679"/>
      <w:bookmarkStart w:id="234" w:name="_Toc232600269"/>
      <w:bookmarkStart w:id="235" w:name="_Toc232600705"/>
      <w:bookmarkStart w:id="236" w:name="_Toc232600940"/>
      <w:bookmarkStart w:id="237" w:name="_Toc232602360"/>
      <w:bookmarkStart w:id="238" w:name="_Toc232605560"/>
      <w:bookmarkStart w:id="239" w:name="_Toc232605680"/>
      <w:bookmarkStart w:id="240" w:name="_Toc232600270"/>
      <w:bookmarkStart w:id="241" w:name="_Toc232600706"/>
      <w:bookmarkStart w:id="242" w:name="_Toc232600941"/>
      <w:bookmarkStart w:id="243" w:name="_Toc232602361"/>
      <w:bookmarkStart w:id="244" w:name="_Toc232605561"/>
      <w:bookmarkStart w:id="245" w:name="_Toc232605681"/>
      <w:bookmarkStart w:id="246" w:name="_Toc232600271"/>
      <w:bookmarkStart w:id="247" w:name="_Toc232600707"/>
      <w:bookmarkStart w:id="248" w:name="_Toc232600942"/>
      <w:bookmarkStart w:id="249" w:name="_Toc232602362"/>
      <w:bookmarkStart w:id="250" w:name="_Toc232605562"/>
      <w:bookmarkStart w:id="251" w:name="_Toc232605682"/>
      <w:bookmarkStart w:id="252" w:name="_Toc232600272"/>
      <w:bookmarkStart w:id="253" w:name="_Toc232600708"/>
      <w:bookmarkStart w:id="254" w:name="_Toc232600943"/>
      <w:bookmarkStart w:id="255" w:name="_Toc232602363"/>
      <w:bookmarkStart w:id="256" w:name="_Toc232605563"/>
      <w:bookmarkStart w:id="257" w:name="_Toc232605683"/>
      <w:bookmarkStart w:id="258" w:name="_Toc232600273"/>
      <w:bookmarkStart w:id="259" w:name="_Toc232600709"/>
      <w:bookmarkStart w:id="260" w:name="_Toc232600944"/>
      <w:bookmarkStart w:id="261" w:name="_Toc232602364"/>
      <w:bookmarkStart w:id="262" w:name="_Toc232605564"/>
      <w:bookmarkStart w:id="263" w:name="_Toc232605684"/>
      <w:bookmarkStart w:id="264" w:name="_Toc232600274"/>
      <w:bookmarkStart w:id="265" w:name="_Toc232600710"/>
      <w:bookmarkStart w:id="266" w:name="_Toc232600945"/>
      <w:bookmarkStart w:id="267" w:name="_Toc232602365"/>
      <w:bookmarkStart w:id="268" w:name="_Toc232605565"/>
      <w:bookmarkStart w:id="269" w:name="_Toc232605685"/>
      <w:bookmarkStart w:id="270" w:name="_Toc232600275"/>
      <w:bookmarkStart w:id="271" w:name="_Toc232600711"/>
      <w:bookmarkStart w:id="272" w:name="_Toc232600946"/>
      <w:bookmarkStart w:id="273" w:name="_Toc232602366"/>
      <w:bookmarkStart w:id="274" w:name="_Toc232605566"/>
      <w:bookmarkStart w:id="275" w:name="_Toc232605686"/>
      <w:bookmarkStart w:id="276" w:name="_Toc232600276"/>
      <w:bookmarkStart w:id="277" w:name="_Toc232600712"/>
      <w:bookmarkStart w:id="278" w:name="_Toc232600947"/>
      <w:bookmarkStart w:id="279" w:name="_Toc232602367"/>
      <w:bookmarkStart w:id="280" w:name="_Toc232605567"/>
      <w:bookmarkStart w:id="281" w:name="_Toc232605687"/>
      <w:bookmarkStart w:id="282" w:name="_Toc232600277"/>
      <w:bookmarkStart w:id="283" w:name="_Toc232600713"/>
      <w:bookmarkStart w:id="284" w:name="_Toc232600948"/>
      <w:bookmarkStart w:id="285" w:name="_Toc232602368"/>
      <w:bookmarkStart w:id="286" w:name="_Toc232605568"/>
      <w:bookmarkStart w:id="287" w:name="_Toc232605688"/>
      <w:bookmarkStart w:id="288" w:name="_Toc232600278"/>
      <w:bookmarkStart w:id="289" w:name="_Toc232600714"/>
      <w:bookmarkStart w:id="290" w:name="_Toc232600949"/>
      <w:bookmarkStart w:id="291" w:name="_Toc232602369"/>
      <w:bookmarkStart w:id="292" w:name="_Toc232605569"/>
      <w:bookmarkStart w:id="293" w:name="_Toc232605689"/>
      <w:bookmarkStart w:id="294" w:name="_Toc232600279"/>
      <w:bookmarkStart w:id="295" w:name="_Toc232600715"/>
      <w:bookmarkStart w:id="296" w:name="_Toc232600950"/>
      <w:bookmarkStart w:id="297" w:name="_Toc232602370"/>
      <w:bookmarkStart w:id="298" w:name="_Toc232605570"/>
      <w:bookmarkStart w:id="299" w:name="_Toc232605690"/>
      <w:bookmarkStart w:id="300" w:name="_Toc232600280"/>
      <w:bookmarkStart w:id="301" w:name="_Toc232600716"/>
      <w:bookmarkStart w:id="302" w:name="_Toc232600951"/>
      <w:bookmarkStart w:id="303" w:name="_Toc232602371"/>
      <w:bookmarkStart w:id="304" w:name="_Toc232605571"/>
      <w:bookmarkStart w:id="305" w:name="_Toc232605691"/>
      <w:bookmarkStart w:id="306" w:name="_Toc232600281"/>
      <w:bookmarkStart w:id="307" w:name="_Toc232600717"/>
      <w:bookmarkStart w:id="308" w:name="_Toc232600952"/>
      <w:bookmarkStart w:id="309" w:name="_Toc232602372"/>
      <w:bookmarkStart w:id="310" w:name="_Toc232605572"/>
      <w:bookmarkStart w:id="311" w:name="_Toc232605692"/>
      <w:bookmarkStart w:id="312" w:name="_Toc232600282"/>
      <w:bookmarkStart w:id="313" w:name="_Toc232600718"/>
      <w:bookmarkStart w:id="314" w:name="_Toc232600953"/>
      <w:bookmarkStart w:id="315" w:name="_Toc232602373"/>
      <w:bookmarkStart w:id="316" w:name="_Toc232605573"/>
      <w:bookmarkStart w:id="317" w:name="_Toc232605693"/>
      <w:bookmarkStart w:id="318" w:name="_Toc232600283"/>
      <w:bookmarkStart w:id="319" w:name="_Toc232600719"/>
      <w:bookmarkStart w:id="320" w:name="_Toc232600954"/>
      <w:bookmarkStart w:id="321" w:name="_Toc232602374"/>
      <w:bookmarkStart w:id="322" w:name="_Toc232605574"/>
      <w:bookmarkStart w:id="323" w:name="_Toc232605694"/>
      <w:bookmarkStart w:id="324" w:name="_Toc232600284"/>
      <w:bookmarkStart w:id="325" w:name="_Toc232600720"/>
      <w:bookmarkStart w:id="326" w:name="_Toc232600955"/>
      <w:bookmarkStart w:id="327" w:name="_Toc232602375"/>
      <w:bookmarkStart w:id="328" w:name="_Toc232605575"/>
      <w:bookmarkStart w:id="329" w:name="_Toc232605695"/>
      <w:bookmarkStart w:id="330" w:name="_Toc232600285"/>
      <w:bookmarkStart w:id="331" w:name="_Toc232600721"/>
      <w:bookmarkStart w:id="332" w:name="_Toc232600956"/>
      <w:bookmarkStart w:id="333" w:name="_Toc232602376"/>
      <w:bookmarkStart w:id="334" w:name="_Toc232605576"/>
      <w:bookmarkStart w:id="335" w:name="_Toc232605696"/>
      <w:bookmarkStart w:id="336" w:name="_Toc232600286"/>
      <w:bookmarkStart w:id="337" w:name="_Toc232600722"/>
      <w:bookmarkStart w:id="338" w:name="_Toc232600957"/>
      <w:bookmarkStart w:id="339" w:name="_Toc232602377"/>
      <w:bookmarkStart w:id="340" w:name="_Toc232605577"/>
      <w:bookmarkStart w:id="341" w:name="_Toc232605697"/>
      <w:bookmarkStart w:id="342" w:name="_Toc232600287"/>
      <w:bookmarkStart w:id="343" w:name="_Toc232600723"/>
      <w:bookmarkStart w:id="344" w:name="_Toc232600958"/>
      <w:bookmarkStart w:id="345" w:name="_Toc232602378"/>
      <w:bookmarkStart w:id="346" w:name="_Toc232605578"/>
      <w:bookmarkStart w:id="347" w:name="_Toc232605698"/>
      <w:bookmarkStart w:id="348" w:name="_Toc232600288"/>
      <w:bookmarkStart w:id="349" w:name="_Toc232600724"/>
      <w:bookmarkStart w:id="350" w:name="_Toc232600959"/>
      <w:bookmarkStart w:id="351" w:name="_Toc232602379"/>
      <w:bookmarkStart w:id="352" w:name="_Toc232605579"/>
      <w:bookmarkStart w:id="353" w:name="_Toc232605699"/>
      <w:bookmarkStart w:id="354" w:name="_Toc232600289"/>
      <w:bookmarkStart w:id="355" w:name="_Toc232600725"/>
      <w:bookmarkStart w:id="356" w:name="_Toc232600960"/>
      <w:bookmarkStart w:id="357" w:name="_Toc232602380"/>
      <w:bookmarkStart w:id="358" w:name="_Toc232605580"/>
      <w:bookmarkStart w:id="359" w:name="_Toc232605700"/>
      <w:bookmarkStart w:id="360" w:name="_Toc232600290"/>
      <w:bookmarkStart w:id="361" w:name="_Toc232600726"/>
      <w:bookmarkStart w:id="362" w:name="_Toc232600961"/>
      <w:bookmarkStart w:id="363" w:name="_Toc232602381"/>
      <w:bookmarkStart w:id="364" w:name="_Toc232605581"/>
      <w:bookmarkStart w:id="365" w:name="_Toc232605701"/>
      <w:bookmarkStart w:id="366" w:name="_Toc232600291"/>
      <w:bookmarkStart w:id="367" w:name="_Toc232600727"/>
      <w:bookmarkStart w:id="368" w:name="_Toc232600962"/>
      <w:bookmarkStart w:id="369" w:name="_Toc232602382"/>
      <w:bookmarkStart w:id="370" w:name="_Toc232605582"/>
      <w:bookmarkStart w:id="371" w:name="_Toc232605702"/>
      <w:bookmarkStart w:id="372" w:name="_Toc232600292"/>
      <w:bookmarkStart w:id="373" w:name="_Toc232600728"/>
      <w:bookmarkStart w:id="374" w:name="_Toc232600963"/>
      <w:bookmarkStart w:id="375" w:name="_Toc232602383"/>
      <w:bookmarkStart w:id="376" w:name="_Toc232605583"/>
      <w:bookmarkStart w:id="377" w:name="_Toc232605703"/>
      <w:bookmarkStart w:id="378" w:name="_Toc232600293"/>
      <w:bookmarkStart w:id="379" w:name="_Toc232600729"/>
      <w:bookmarkStart w:id="380" w:name="_Toc232600964"/>
      <w:bookmarkStart w:id="381" w:name="_Toc232602384"/>
      <w:bookmarkStart w:id="382" w:name="_Toc232605584"/>
      <w:bookmarkStart w:id="383" w:name="_Toc232605704"/>
      <w:bookmarkStart w:id="384" w:name="_Toc232600294"/>
      <w:bookmarkStart w:id="385" w:name="_Toc232600730"/>
      <w:bookmarkStart w:id="386" w:name="_Toc232600965"/>
      <w:bookmarkStart w:id="387" w:name="_Toc232602385"/>
      <w:bookmarkStart w:id="388" w:name="_Toc232605585"/>
      <w:bookmarkStart w:id="389" w:name="_Toc232605705"/>
      <w:bookmarkStart w:id="390" w:name="_Toc232600295"/>
      <w:bookmarkStart w:id="391" w:name="_Toc232600731"/>
      <w:bookmarkStart w:id="392" w:name="_Toc232600966"/>
      <w:bookmarkStart w:id="393" w:name="_Toc232602386"/>
      <w:bookmarkStart w:id="394" w:name="_Toc232605586"/>
      <w:bookmarkStart w:id="395" w:name="_Toc232605706"/>
      <w:bookmarkStart w:id="396" w:name="_Toc232600296"/>
      <w:bookmarkStart w:id="397" w:name="_Toc232600732"/>
      <w:bookmarkStart w:id="398" w:name="_Toc232600967"/>
      <w:bookmarkStart w:id="399" w:name="_Toc232602387"/>
      <w:bookmarkStart w:id="400" w:name="_Toc232605587"/>
      <w:bookmarkStart w:id="401" w:name="_Toc232605707"/>
      <w:bookmarkStart w:id="402" w:name="_Toc232600297"/>
      <w:bookmarkStart w:id="403" w:name="_Toc232600733"/>
      <w:bookmarkStart w:id="404" w:name="_Toc232600968"/>
      <w:bookmarkStart w:id="405" w:name="_Toc232602388"/>
      <w:bookmarkStart w:id="406" w:name="_Toc232605588"/>
      <w:bookmarkStart w:id="407" w:name="_Toc232605708"/>
      <w:bookmarkStart w:id="408" w:name="_Toc232600298"/>
      <w:bookmarkStart w:id="409" w:name="_Toc232600734"/>
      <w:bookmarkStart w:id="410" w:name="_Toc232600969"/>
      <w:bookmarkStart w:id="411" w:name="_Toc232602389"/>
      <w:bookmarkStart w:id="412" w:name="_Toc232605589"/>
      <w:bookmarkStart w:id="413" w:name="_Toc232605709"/>
      <w:bookmarkStart w:id="414" w:name="_Toc232600299"/>
      <w:bookmarkStart w:id="415" w:name="_Toc232600735"/>
      <w:bookmarkStart w:id="416" w:name="_Toc232600970"/>
      <w:bookmarkStart w:id="417" w:name="_Toc232602390"/>
      <w:bookmarkStart w:id="418" w:name="_Toc232605590"/>
      <w:bookmarkStart w:id="419" w:name="_Toc232605710"/>
      <w:bookmarkStart w:id="420" w:name="_Toc232600300"/>
      <w:bookmarkStart w:id="421" w:name="_Toc232600736"/>
      <w:bookmarkStart w:id="422" w:name="_Toc232600971"/>
      <w:bookmarkStart w:id="423" w:name="_Toc232602391"/>
      <w:bookmarkStart w:id="424" w:name="_Toc232605591"/>
      <w:bookmarkStart w:id="425" w:name="_Toc232605711"/>
      <w:bookmarkStart w:id="426" w:name="_Toc232600301"/>
      <w:bookmarkStart w:id="427" w:name="_Toc232600737"/>
      <w:bookmarkStart w:id="428" w:name="_Toc232600972"/>
      <w:bookmarkStart w:id="429" w:name="_Toc232602392"/>
      <w:bookmarkStart w:id="430" w:name="_Toc232605592"/>
      <w:bookmarkStart w:id="431" w:name="_Toc232605712"/>
      <w:bookmarkStart w:id="432" w:name="_Toc232600302"/>
      <w:bookmarkStart w:id="433" w:name="_Toc232600738"/>
      <w:bookmarkStart w:id="434" w:name="_Toc232600973"/>
      <w:bookmarkStart w:id="435" w:name="_Toc232602393"/>
      <w:bookmarkStart w:id="436" w:name="_Toc232605593"/>
      <w:bookmarkStart w:id="437" w:name="_Toc232605713"/>
      <w:bookmarkStart w:id="438" w:name="_Toc232600303"/>
      <w:bookmarkStart w:id="439" w:name="_Toc232600739"/>
      <w:bookmarkStart w:id="440" w:name="_Toc232600974"/>
      <w:bookmarkStart w:id="441" w:name="_Toc232602394"/>
      <w:bookmarkStart w:id="442" w:name="_Toc232605594"/>
      <w:bookmarkStart w:id="443" w:name="_Toc232605714"/>
      <w:bookmarkStart w:id="444" w:name="_Toc232600304"/>
      <w:bookmarkStart w:id="445" w:name="_Toc232600740"/>
      <w:bookmarkStart w:id="446" w:name="_Toc232600975"/>
      <w:bookmarkStart w:id="447" w:name="_Toc232602395"/>
      <w:bookmarkStart w:id="448" w:name="_Toc232605595"/>
      <w:bookmarkStart w:id="449" w:name="_Toc232605715"/>
      <w:bookmarkStart w:id="450" w:name="_Toc232600305"/>
      <w:bookmarkStart w:id="451" w:name="_Toc232600741"/>
      <w:bookmarkStart w:id="452" w:name="_Toc232600976"/>
      <w:bookmarkStart w:id="453" w:name="_Toc232602396"/>
      <w:bookmarkStart w:id="454" w:name="_Toc232605596"/>
      <w:bookmarkStart w:id="455" w:name="_Toc232605716"/>
      <w:bookmarkStart w:id="456" w:name="_Toc232600306"/>
      <w:bookmarkStart w:id="457" w:name="_Toc232600742"/>
      <w:bookmarkStart w:id="458" w:name="_Toc232600977"/>
      <w:bookmarkStart w:id="459" w:name="_Toc232602397"/>
      <w:bookmarkStart w:id="460" w:name="_Toc232605597"/>
      <w:bookmarkStart w:id="461" w:name="_Toc232605717"/>
      <w:bookmarkStart w:id="462" w:name="_Toc232600307"/>
      <w:bookmarkStart w:id="463" w:name="_Toc232600743"/>
      <w:bookmarkStart w:id="464" w:name="_Toc232600978"/>
      <w:bookmarkStart w:id="465" w:name="_Toc232602398"/>
      <w:bookmarkStart w:id="466" w:name="_Toc232605598"/>
      <w:bookmarkStart w:id="467" w:name="_Toc232605718"/>
      <w:bookmarkStart w:id="468" w:name="_Toc232600308"/>
      <w:bookmarkStart w:id="469" w:name="_Toc232600744"/>
      <w:bookmarkStart w:id="470" w:name="_Toc232600979"/>
      <w:bookmarkStart w:id="471" w:name="_Toc232602399"/>
      <w:bookmarkStart w:id="472" w:name="_Toc232605599"/>
      <w:bookmarkStart w:id="473" w:name="_Toc232605719"/>
      <w:bookmarkStart w:id="474" w:name="_Toc232600309"/>
      <w:bookmarkStart w:id="475" w:name="_Toc232600745"/>
      <w:bookmarkStart w:id="476" w:name="_Toc232600980"/>
      <w:bookmarkStart w:id="477" w:name="_Toc232602400"/>
      <w:bookmarkStart w:id="478" w:name="_Toc232605600"/>
      <w:bookmarkStart w:id="479" w:name="_Toc232605720"/>
      <w:bookmarkStart w:id="480" w:name="_Toc232600310"/>
      <w:bookmarkStart w:id="481" w:name="_Toc232600746"/>
      <w:bookmarkStart w:id="482" w:name="_Toc232600981"/>
      <w:bookmarkStart w:id="483" w:name="_Toc232602401"/>
      <w:bookmarkStart w:id="484" w:name="_Toc232605601"/>
      <w:bookmarkStart w:id="485" w:name="_Toc232605721"/>
      <w:bookmarkStart w:id="486" w:name="_Toc232600335"/>
      <w:bookmarkStart w:id="487" w:name="_Toc232600771"/>
      <w:bookmarkStart w:id="488" w:name="_Toc232601006"/>
      <w:bookmarkStart w:id="489" w:name="_Toc232602426"/>
      <w:bookmarkStart w:id="490" w:name="_Toc232605626"/>
      <w:bookmarkStart w:id="491" w:name="_Toc232605746"/>
      <w:bookmarkStart w:id="492" w:name="_Toc232600338"/>
      <w:bookmarkStart w:id="493" w:name="_Toc232600774"/>
      <w:bookmarkStart w:id="494" w:name="_Toc232601009"/>
      <w:bookmarkStart w:id="495" w:name="_Toc232602429"/>
      <w:bookmarkStart w:id="496" w:name="_Toc232605629"/>
      <w:bookmarkStart w:id="497" w:name="_Toc232605749"/>
      <w:bookmarkStart w:id="498" w:name="_Toc232600339"/>
      <w:bookmarkStart w:id="499" w:name="_Toc232600775"/>
      <w:bookmarkStart w:id="500" w:name="_Toc232601010"/>
      <w:bookmarkStart w:id="501" w:name="_Toc232602430"/>
      <w:bookmarkStart w:id="502" w:name="_Toc232605630"/>
      <w:bookmarkStart w:id="503" w:name="_Toc232605750"/>
      <w:bookmarkStart w:id="504" w:name="_Toc232600340"/>
      <w:bookmarkStart w:id="505" w:name="_Toc232600776"/>
      <w:bookmarkStart w:id="506" w:name="_Toc232601011"/>
      <w:bookmarkStart w:id="507" w:name="_Toc232602431"/>
      <w:bookmarkStart w:id="508" w:name="_Toc232605631"/>
      <w:bookmarkStart w:id="509" w:name="_Toc232605751"/>
      <w:bookmarkStart w:id="510" w:name="_Toc232600350"/>
      <w:bookmarkStart w:id="511" w:name="_Toc232600786"/>
      <w:bookmarkStart w:id="512" w:name="_Toc232601021"/>
      <w:bookmarkStart w:id="513" w:name="_Toc232602441"/>
      <w:bookmarkStart w:id="514" w:name="_Toc232605641"/>
      <w:bookmarkStart w:id="515" w:name="_Toc232605761"/>
      <w:bookmarkStart w:id="516" w:name="_Toc232600351"/>
      <w:bookmarkStart w:id="517" w:name="_Toc232600787"/>
      <w:bookmarkStart w:id="518" w:name="_Toc232601022"/>
      <w:bookmarkStart w:id="519" w:name="_Toc232602442"/>
      <w:bookmarkStart w:id="520" w:name="_Toc232605642"/>
      <w:bookmarkStart w:id="521" w:name="_Toc232605762"/>
      <w:bookmarkStart w:id="522" w:name="_Toc232600352"/>
      <w:bookmarkStart w:id="523" w:name="_Toc232600788"/>
      <w:bookmarkStart w:id="524" w:name="_Toc232601023"/>
      <w:bookmarkStart w:id="525" w:name="_Toc232602443"/>
      <w:bookmarkStart w:id="526" w:name="_Toc232605643"/>
      <w:bookmarkStart w:id="527" w:name="_Toc232605763"/>
      <w:bookmarkStart w:id="528" w:name="_Toc232600353"/>
      <w:bookmarkStart w:id="529" w:name="_Toc232600789"/>
      <w:bookmarkStart w:id="530" w:name="_Toc232601024"/>
      <w:bookmarkStart w:id="531" w:name="_Toc232602444"/>
      <w:bookmarkStart w:id="532" w:name="_Toc232605644"/>
      <w:bookmarkStart w:id="533" w:name="_Toc232605764"/>
      <w:bookmarkStart w:id="534" w:name="_Toc232600354"/>
      <w:bookmarkStart w:id="535" w:name="_Toc232600790"/>
      <w:bookmarkStart w:id="536" w:name="_Toc232601025"/>
      <w:bookmarkStart w:id="537" w:name="_Toc232602445"/>
      <w:bookmarkStart w:id="538" w:name="_Toc232605645"/>
      <w:bookmarkStart w:id="539" w:name="_Toc232605765"/>
      <w:bookmarkStart w:id="540" w:name="_Toc232600355"/>
      <w:bookmarkStart w:id="541" w:name="_Toc232600791"/>
      <w:bookmarkStart w:id="542" w:name="_Toc232601026"/>
      <w:bookmarkStart w:id="543" w:name="_Toc232602446"/>
      <w:bookmarkStart w:id="544" w:name="_Toc232605646"/>
      <w:bookmarkStart w:id="545" w:name="_Toc232605766"/>
      <w:bookmarkStart w:id="546" w:name="_Toc232605647"/>
      <w:bookmarkStart w:id="547" w:name="_Toc239413195"/>
      <w:bookmarkEnd w:id="61"/>
      <w:bookmarkEnd w:id="185"/>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r>
        <w:lastRenderedPageBreak/>
        <w:t xml:space="preserve">Behind the meter biogas </w:t>
      </w:r>
      <w:bookmarkEnd w:id="546"/>
      <w:r w:rsidR="004315C7">
        <w:t>direct measurement</w:t>
      </w:r>
      <w:bookmarkEnd w:id="547"/>
    </w:p>
    <w:p w14:paraId="022F84C4" w14:textId="77777777" w:rsidR="00D427B4" w:rsidRDefault="00D427B4" w:rsidP="00B302B1">
      <w:pPr>
        <w:pStyle w:val="Heading3"/>
      </w:pPr>
      <w:r>
        <w:t>Information to be provided in an application for scoping approval</w:t>
      </w:r>
    </w:p>
    <w:p w14:paraId="4E0AD1D0" w14:textId="375CC85E" w:rsidR="00646A75" w:rsidRDefault="00EC7DDD" w:rsidP="00F22600">
      <w:pPr>
        <w:pStyle w:val="ListParagraph"/>
        <w:numPr>
          <w:ilvl w:val="0"/>
          <w:numId w:val="92"/>
        </w:numPr>
        <w:jc w:val="both"/>
      </w:pPr>
      <w:r>
        <w:t>The measurement approach should not count methane that is captured and flared</w:t>
      </w:r>
      <w:r w:rsidR="00F22600">
        <w:t>.</w:t>
      </w:r>
    </w:p>
    <w:p w14:paraId="623B97B3" w14:textId="77777777" w:rsidR="00F22600" w:rsidRPr="005E10B6" w:rsidRDefault="00F22600" w:rsidP="00F22600">
      <w:pPr>
        <w:pStyle w:val="ListParagraph"/>
        <w:numPr>
          <w:ilvl w:val="0"/>
          <w:numId w:val="92"/>
        </w:numPr>
        <w:ind w:right="851"/>
        <w:jc w:val="both"/>
      </w:pPr>
      <w:r w:rsidRPr="005E10B6">
        <w:t xml:space="preserve">For a project using the </w:t>
      </w:r>
      <w:proofErr w:type="spellStart"/>
      <w:r w:rsidRPr="005E10B6">
        <w:t>GreenPower</w:t>
      </w:r>
      <w:proofErr w:type="spellEnd"/>
      <w:r w:rsidRPr="005E10B6">
        <w:t xml:space="preserve"> Renewable Gas Guarantee of Origin (RGGO) scheme certification:</w:t>
      </w:r>
    </w:p>
    <w:p w14:paraId="2337A9BC" w14:textId="77777777" w:rsidR="00F22600" w:rsidRPr="005E10B6" w:rsidRDefault="00F22600" w:rsidP="00F22600">
      <w:pPr>
        <w:pStyle w:val="ListParagraph"/>
        <w:numPr>
          <w:ilvl w:val="1"/>
          <w:numId w:val="92"/>
        </w:numPr>
        <w:ind w:right="851"/>
        <w:jc w:val="both"/>
      </w:pPr>
      <w:r w:rsidRPr="005E10B6">
        <w:t xml:space="preserve">A declaration that the upgrade is certified by </w:t>
      </w:r>
      <w:proofErr w:type="spellStart"/>
      <w:r w:rsidRPr="005E10B6">
        <w:t>GreenPower</w:t>
      </w:r>
      <w:proofErr w:type="spellEnd"/>
      <w:r w:rsidRPr="005E10B6">
        <w:t xml:space="preserve"> under the Renewable Gas Guarantee of Origin (RGGO) and is eligible to use the BTM biogas specified measurement method; and</w:t>
      </w:r>
    </w:p>
    <w:p w14:paraId="297766DE" w14:textId="77777777" w:rsidR="00F22600" w:rsidRPr="005E10B6" w:rsidRDefault="00F22600" w:rsidP="00F22600">
      <w:pPr>
        <w:pStyle w:val="BodyText"/>
        <w:numPr>
          <w:ilvl w:val="1"/>
          <w:numId w:val="92"/>
        </w:numPr>
        <w:ind w:right="851"/>
      </w:pPr>
      <w:r w:rsidRPr="005E10B6">
        <w:t>A document which specifies the following:</w:t>
      </w:r>
    </w:p>
    <w:p w14:paraId="64B216C2" w14:textId="77777777" w:rsidR="00F22600" w:rsidRPr="005E10B6" w:rsidRDefault="00F22600" w:rsidP="00F22600">
      <w:pPr>
        <w:pStyle w:val="BodyText"/>
        <w:numPr>
          <w:ilvl w:val="2"/>
          <w:numId w:val="92"/>
        </w:numPr>
        <w:ind w:right="851"/>
      </w:pPr>
      <w:r w:rsidRPr="005E10B6">
        <w:t>That the project involves installing equipment for the production or supply of biogas at the premises and not blended into the gas network</w:t>
      </w:r>
      <w:r>
        <w:t xml:space="preserve"> </w:t>
      </w:r>
      <w:r w:rsidRPr="005E10B6">
        <w:t>and</w:t>
      </w:r>
    </w:p>
    <w:p w14:paraId="1F1FEE97" w14:textId="77777777" w:rsidR="00F22600" w:rsidRPr="005E10B6" w:rsidRDefault="00F22600" w:rsidP="00F22600">
      <w:pPr>
        <w:pStyle w:val="BodyText"/>
        <w:numPr>
          <w:ilvl w:val="2"/>
          <w:numId w:val="92"/>
        </w:numPr>
        <w:ind w:right="851"/>
      </w:pPr>
      <w:r w:rsidRPr="005E10B6">
        <w:t>That the project will be eligible for RGGOs; and</w:t>
      </w:r>
    </w:p>
    <w:p w14:paraId="2710CFBA" w14:textId="77777777" w:rsidR="00F22600" w:rsidRPr="005E10B6" w:rsidRDefault="00F22600" w:rsidP="00F22600">
      <w:pPr>
        <w:pStyle w:val="BodyText"/>
        <w:numPr>
          <w:ilvl w:val="2"/>
          <w:numId w:val="92"/>
        </w:numPr>
        <w:ind w:right="851"/>
      </w:pPr>
      <w:r w:rsidRPr="005E10B6">
        <w:t>The project will not create ACCUs or use the RGGOs to reduce safeguard emissions.</w:t>
      </w:r>
    </w:p>
    <w:p w14:paraId="4AFDE73D" w14:textId="77777777" w:rsidR="00F22600" w:rsidRPr="005E10B6" w:rsidRDefault="00F22600" w:rsidP="00F22600">
      <w:pPr>
        <w:pStyle w:val="BodyText"/>
        <w:ind w:left="1440" w:right="851"/>
      </w:pPr>
      <w:r w:rsidRPr="005E10B6">
        <w:t xml:space="preserve">Note: the RGGOs can be sold into the voluntary market and not to safeguard entities subject to a mandatory emissions reduction requirement. </w:t>
      </w:r>
    </w:p>
    <w:p w14:paraId="099CF2BE" w14:textId="77777777" w:rsidR="00F22600" w:rsidRPr="005E10B6" w:rsidRDefault="00F22600" w:rsidP="00F22600">
      <w:pPr>
        <w:pStyle w:val="BodyText"/>
        <w:numPr>
          <w:ilvl w:val="0"/>
          <w:numId w:val="92"/>
        </w:numPr>
        <w:ind w:right="851"/>
      </w:pPr>
      <w:r w:rsidRPr="005E10B6">
        <w:t xml:space="preserve">For a biogas project which is not using the </w:t>
      </w:r>
      <w:proofErr w:type="spellStart"/>
      <w:r w:rsidRPr="005E10B6">
        <w:t>GreenPower</w:t>
      </w:r>
      <w:proofErr w:type="spellEnd"/>
      <w:r w:rsidRPr="005E10B6">
        <w:t xml:space="preserve"> certification, a declaration of the following:</w:t>
      </w:r>
    </w:p>
    <w:p w14:paraId="651925DC" w14:textId="77777777" w:rsidR="00F22600" w:rsidRDefault="00F22600" w:rsidP="00F22600">
      <w:pPr>
        <w:pStyle w:val="BodyText"/>
        <w:numPr>
          <w:ilvl w:val="1"/>
          <w:numId w:val="92"/>
        </w:numPr>
        <w:ind w:right="851"/>
      </w:pPr>
      <w:r w:rsidRPr="005E10B6">
        <w:t xml:space="preserve">that the upgrade is eligible to use the BTM biogas specified measurement </w:t>
      </w:r>
      <w:r>
        <w:t>method</w:t>
      </w:r>
    </w:p>
    <w:p w14:paraId="10CE43AA" w14:textId="77777777" w:rsidR="00F22600" w:rsidRPr="009E1EB7" w:rsidRDefault="00F22600" w:rsidP="00F22600">
      <w:pPr>
        <w:pStyle w:val="BodyText"/>
        <w:numPr>
          <w:ilvl w:val="1"/>
          <w:numId w:val="92"/>
        </w:numPr>
        <w:ind w:right="851"/>
      </w:pPr>
      <w:r>
        <w:t xml:space="preserve">the NGER scheme method for measuring gaseous fuels (as per Division 2.3.6 of the NGER scheme </w:t>
      </w:r>
      <w:r w:rsidRPr="009E1EB7">
        <w:t>measurement determination) which will be used for the project, and</w:t>
      </w:r>
    </w:p>
    <w:p w14:paraId="200F51FD" w14:textId="1E667C50" w:rsidR="00F22600" w:rsidRDefault="00F22600" w:rsidP="00F22600">
      <w:pPr>
        <w:pStyle w:val="BodyText"/>
        <w:numPr>
          <w:ilvl w:val="1"/>
          <w:numId w:val="92"/>
        </w:numPr>
        <w:ind w:right="851"/>
      </w:pPr>
      <w:r w:rsidRPr="009E1EB7">
        <w:t>that the project involves installing equipment for the production or supply of biogas at the premises and not blended into the gas network.</w:t>
      </w:r>
    </w:p>
    <w:p w14:paraId="1856FC06" w14:textId="77777777" w:rsidR="00732D07" w:rsidRDefault="00732D07" w:rsidP="00732D07">
      <w:pPr>
        <w:pStyle w:val="BodyText"/>
      </w:pPr>
    </w:p>
    <w:p w14:paraId="23F0AAF2" w14:textId="77777777" w:rsidR="005E4B7A" w:rsidRDefault="005E4B7A" w:rsidP="00B302B1">
      <w:pPr>
        <w:pStyle w:val="Heading3"/>
      </w:pPr>
      <w:r>
        <w:t>Carbon dioxide equivalent savings</w:t>
      </w:r>
    </w:p>
    <w:p w14:paraId="7CE1792B" w14:textId="0750929F" w:rsidR="005E4B7A" w:rsidRDefault="005E4B7A" w:rsidP="00D778BC">
      <w:pPr>
        <w:pStyle w:val="ListNumber"/>
        <w:numPr>
          <w:ilvl w:val="0"/>
          <w:numId w:val="0"/>
        </w:numPr>
        <w:jc w:val="left"/>
      </w:pPr>
      <w:r w:rsidRPr="009F77A4">
        <w:t xml:space="preserve">The carbon dioxide equivalent (in tonnes) of greenhouse gases to be reduced by undertaking a project is calculated using Equation </w:t>
      </w:r>
      <w:r w:rsidR="009A7291">
        <w:t>12</w:t>
      </w:r>
      <w:r>
        <w:t>.</w:t>
      </w:r>
      <w:r w:rsidRPr="009F77A4">
        <w:t xml:space="preserve">1, where variables are determined in </w:t>
      </w:r>
      <w:r w:rsidRPr="00657E8D">
        <w:t>accordance with section 2</w:t>
      </w:r>
      <w:r>
        <w:t xml:space="preserve"> and this section</w:t>
      </w:r>
      <w:r w:rsidRPr="009F77A4">
        <w:t>.</w:t>
      </w:r>
    </w:p>
    <w:p w14:paraId="70F26014" w14:textId="431EFC9D" w:rsidR="005E4B7A" w:rsidRPr="0075542E" w:rsidRDefault="005E4B7A" w:rsidP="005E4B7A">
      <w:pPr>
        <w:pStyle w:val="CaptionImageorFigure"/>
      </w:pPr>
      <w:r>
        <w:t>Equation 1</w:t>
      </w:r>
      <w:r w:rsidR="009A7291">
        <w:t>2</w:t>
      </w:r>
      <w:r>
        <w:t>.1</w:t>
      </w:r>
    </w:p>
    <w:p w14:paraId="1D5CCA0A" w14:textId="77777777" w:rsidR="005E4B7A" w:rsidRDefault="005E4B7A" w:rsidP="005E4B7A">
      <w:pPr>
        <w:pStyle w:val="BodyText"/>
      </w:pPr>
      <m:oMathPara>
        <m:oMath>
          <m:r>
            <w:rPr>
              <w:rFonts w:ascii="Cambria Math" w:hAnsi="Cambria Math"/>
            </w:rPr>
            <m:t xml:space="preserve">carbon dioxide equivalent= </m:t>
          </m:r>
          <m:nary>
            <m:naryPr>
              <m:chr m:val="∑"/>
              <m:limLoc m:val="subSup"/>
              <m:supHide m:val="1"/>
              <m:ctrlPr>
                <w:rPr>
                  <w:rFonts w:ascii="Cambria Math" w:hAnsi="Cambria Math"/>
                  <w:i/>
                </w:rPr>
              </m:ctrlPr>
            </m:naryPr>
            <m:sub>
              <m:r>
                <w:rPr>
                  <w:rFonts w:ascii="Cambria Math" w:hAnsi="Cambria Math"/>
                </w:rPr>
                <m:t>j</m:t>
              </m:r>
            </m:sub>
            <m:sup/>
            <m:e>
              <m:r>
                <w:rPr>
                  <w:rFonts w:ascii="Cambria Math" w:hAnsi="Cambria Math"/>
                </w:rPr>
                <m:t>(</m:t>
              </m:r>
              <m:sSub>
                <m:sSubPr>
                  <m:ctrlPr>
                    <w:rPr>
                      <w:rFonts w:ascii="Cambria Math" w:hAnsi="Cambria Math"/>
                      <w:i/>
                    </w:rPr>
                  </m:ctrlPr>
                </m:sSubPr>
                <m:e>
                  <m:r>
                    <w:rPr>
                      <w:rFonts w:ascii="Cambria Math" w:hAnsi="Cambria Math"/>
                    </w:rPr>
                    <m:t>Savings</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EF</m:t>
                  </m:r>
                </m:e>
                <m:sub>
                  <m:r>
                    <w:rPr>
                      <w:rFonts w:ascii="Cambria Math" w:hAnsi="Cambria Math"/>
                    </w:rPr>
                    <m:t>j</m:t>
                  </m:r>
                </m:sub>
              </m:sSub>
              <m:r>
                <w:rPr>
                  <w:rFonts w:ascii="Cambria Math" w:hAnsi="Cambria Math"/>
                </w:rPr>
                <m:t xml:space="preserve"> ×</m:t>
              </m:r>
              <m:sSub>
                <m:sSubPr>
                  <m:ctrlPr>
                    <w:rPr>
                      <w:rFonts w:ascii="Cambria Math" w:hAnsi="Cambria Math"/>
                      <w:i/>
                    </w:rPr>
                  </m:ctrlPr>
                </m:sSubPr>
                <m:e>
                  <m:r>
                    <w:rPr>
                      <w:rFonts w:ascii="Cambria Math" w:hAnsi="Cambria Math"/>
                    </w:rPr>
                    <m:t>AF</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PF</m:t>
                  </m:r>
                </m:e>
                <m:sub>
                  <m:r>
                    <w:rPr>
                      <w:rFonts w:ascii="Cambria Math" w:hAnsi="Cambria Math"/>
                    </w:rPr>
                    <m:t>j</m:t>
                  </m:r>
                </m:sub>
              </m:sSub>
              <m:r>
                <w:rPr>
                  <w:rFonts w:ascii="Cambria Math" w:hAnsi="Cambria Math"/>
                </w:rPr>
                <m:t>)</m:t>
              </m:r>
            </m:e>
          </m:nary>
          <m:r>
            <w:rPr>
              <w:rFonts w:ascii="Cambria Math" w:hAnsi="Cambria Math"/>
            </w:rPr>
            <m:t>-counted savings</m:t>
          </m:r>
        </m:oMath>
      </m:oMathPara>
    </w:p>
    <w:p w14:paraId="0BBFB555" w14:textId="77777777" w:rsidR="005E4B7A" w:rsidRDefault="005E4B7A" w:rsidP="005E4B7A">
      <w:pPr>
        <w:pStyle w:val="BodyText"/>
      </w:pPr>
      <w:r>
        <w:t>where:</w:t>
      </w:r>
    </w:p>
    <w:p w14:paraId="14C0DAD4" w14:textId="77777777" w:rsidR="00BF4015" w:rsidRDefault="005E4B7A" w:rsidP="00BF4015">
      <w:pPr>
        <w:pStyle w:val="ListNumber2"/>
        <w:numPr>
          <w:ilvl w:val="1"/>
          <w:numId w:val="108"/>
        </w:numPr>
        <w:ind w:left="709" w:hanging="294"/>
        <w:jc w:val="left"/>
      </w:pPr>
      <m:oMath>
        <m:r>
          <w:rPr>
            <w:rFonts w:ascii="Cambria Math" w:hAnsi="Cambria Math"/>
          </w:rPr>
          <m:t>j</m:t>
        </m:r>
      </m:oMath>
      <w:r>
        <w:t xml:space="preserve"> is the measurement boundary number in the case that there are multiple measurement boundaries under one project;</w:t>
      </w:r>
    </w:p>
    <w:p w14:paraId="133A33CE" w14:textId="3BE2688B" w:rsidR="00BF4015" w:rsidRDefault="00000000" w:rsidP="00BF4015">
      <w:pPr>
        <w:pStyle w:val="ListNumber2"/>
        <w:numPr>
          <w:ilvl w:val="1"/>
          <w:numId w:val="108"/>
        </w:numPr>
        <w:ind w:left="709" w:hanging="294"/>
        <w:jc w:val="left"/>
      </w:pPr>
      <m:oMath>
        <m:sSub>
          <m:sSubPr>
            <m:ctrlPr>
              <w:rPr>
                <w:rFonts w:ascii="Cambria Math" w:hAnsi="Cambria Math"/>
                <w:i/>
              </w:rPr>
            </m:ctrlPr>
          </m:sSubPr>
          <m:e>
            <m:r>
              <w:rPr>
                <w:rFonts w:ascii="Cambria Math" w:hAnsi="Cambria Math"/>
              </w:rPr>
              <m:t>Savings</m:t>
            </m:r>
          </m:e>
          <m:sub>
            <m:r>
              <w:rPr>
                <w:rFonts w:ascii="Cambria Math" w:hAnsi="Cambria Math"/>
              </w:rPr>
              <m:t>j</m:t>
            </m:r>
          </m:sub>
        </m:sSub>
      </m:oMath>
      <w:r w:rsidR="005E4B7A" w:rsidRPr="00DD0D8F">
        <w:t xml:space="preserve"> is calculated using </w:t>
      </w:r>
      <w:r w:rsidR="005E4B7A" w:rsidRPr="005E61AA">
        <w:t xml:space="preserve">Equation </w:t>
      </w:r>
      <w:r w:rsidR="005E4B7A">
        <w:t>1</w:t>
      </w:r>
      <w:r w:rsidR="009A7291">
        <w:t>2</w:t>
      </w:r>
      <w:r w:rsidR="005E4B7A" w:rsidRPr="005E61AA">
        <w:t>.2</w:t>
      </w:r>
      <w:r w:rsidR="00D0052C">
        <w:t xml:space="preserve"> </w:t>
      </w:r>
      <w:r w:rsidR="002F0C2C">
        <w:t>or</w:t>
      </w:r>
      <w:r w:rsidR="00D0052C">
        <w:t xml:space="preserve"> 1</w:t>
      </w:r>
      <w:r w:rsidR="009A7291">
        <w:t>2</w:t>
      </w:r>
      <w:r w:rsidR="00D0052C">
        <w:t>.3</w:t>
      </w:r>
      <w:r w:rsidR="005E4B7A">
        <w:t>;</w:t>
      </w:r>
    </w:p>
    <w:p w14:paraId="108C3409" w14:textId="77777777" w:rsidR="00BF4015" w:rsidRDefault="00000000" w:rsidP="00BF4015">
      <w:pPr>
        <w:pStyle w:val="ListNumber2"/>
        <w:numPr>
          <w:ilvl w:val="1"/>
          <w:numId w:val="108"/>
        </w:numPr>
        <w:ind w:left="709" w:hanging="294"/>
        <w:jc w:val="left"/>
      </w:pPr>
      <m:oMath>
        <m:sSub>
          <m:sSubPr>
            <m:ctrlPr>
              <w:rPr>
                <w:rFonts w:ascii="Cambria Math" w:hAnsi="Cambria Math"/>
                <w:i/>
              </w:rPr>
            </m:ctrlPr>
          </m:sSubPr>
          <m:e>
            <m:r>
              <w:rPr>
                <w:rFonts w:ascii="Cambria Math" w:hAnsi="Cambria Math"/>
              </w:rPr>
              <m:t>EF</m:t>
            </m:r>
          </m:e>
          <m:sub>
            <m:r>
              <w:rPr>
                <w:rFonts w:ascii="Cambria Math" w:hAnsi="Cambria Math"/>
              </w:rPr>
              <m:t>j</m:t>
            </m:r>
          </m:sub>
        </m:sSub>
      </m:oMath>
      <w:r w:rsidR="005E4B7A" w:rsidRPr="00BF4015">
        <w:rPr>
          <w:i/>
        </w:rPr>
        <w:t xml:space="preserve"> </w:t>
      </w:r>
      <w:r w:rsidR="005E4B7A" w:rsidRPr="00BF4015">
        <w:rPr>
          <w:iCs/>
        </w:rPr>
        <w:t>is the</w:t>
      </w:r>
      <w:r w:rsidR="005E4B7A" w:rsidRPr="00BF4015">
        <w:rPr>
          <w:i/>
        </w:rPr>
        <w:t xml:space="preserve"> </w:t>
      </w:r>
      <w:r w:rsidR="005E4B7A" w:rsidRPr="00BF4015">
        <w:rPr>
          <w:iCs/>
        </w:rPr>
        <w:t>emissions factor, as per the definition in section 2;</w:t>
      </w:r>
    </w:p>
    <w:p w14:paraId="63485E87" w14:textId="77777777" w:rsidR="00BF4015" w:rsidRDefault="00000000" w:rsidP="00BF4015">
      <w:pPr>
        <w:pStyle w:val="ListNumber2"/>
        <w:numPr>
          <w:ilvl w:val="1"/>
          <w:numId w:val="108"/>
        </w:numPr>
        <w:ind w:left="709" w:hanging="294"/>
        <w:jc w:val="left"/>
      </w:pPr>
      <m:oMath>
        <m:sSub>
          <m:sSubPr>
            <m:ctrlPr>
              <w:rPr>
                <w:rFonts w:ascii="Cambria Math" w:hAnsi="Cambria Math"/>
                <w:i/>
              </w:rPr>
            </m:ctrlPr>
          </m:sSubPr>
          <m:e>
            <m:r>
              <w:rPr>
                <w:rFonts w:ascii="Cambria Math" w:hAnsi="Cambria Math"/>
              </w:rPr>
              <m:t>AF</m:t>
            </m:r>
          </m:e>
          <m:sub>
            <m:r>
              <w:rPr>
                <w:rFonts w:ascii="Cambria Math" w:hAnsi="Cambria Math"/>
              </w:rPr>
              <m:t>j</m:t>
            </m:r>
          </m:sub>
        </m:sSub>
      </m:oMath>
      <w:r w:rsidR="005E4B7A" w:rsidRPr="005174F9">
        <w:t xml:space="preserve"> is the accuracy factor</w:t>
      </w:r>
      <w:r w:rsidR="005E4B7A">
        <w:t xml:space="preserve"> for the measurement boundary</w:t>
      </w:r>
      <w:r w:rsidR="005E4B7A" w:rsidRPr="008F15A9">
        <w:t xml:space="preserve">, </w:t>
      </w:r>
      <w:r w:rsidR="005E4B7A" w:rsidRPr="00E37634">
        <w:t>being 1</w:t>
      </w:r>
      <w:r w:rsidR="005E4B7A" w:rsidRPr="008F15A9">
        <w:t>;</w:t>
      </w:r>
    </w:p>
    <w:p w14:paraId="6405E7C8" w14:textId="77777777" w:rsidR="00BF4015" w:rsidRDefault="00000000" w:rsidP="00BF4015">
      <w:pPr>
        <w:pStyle w:val="ListNumber2"/>
        <w:numPr>
          <w:ilvl w:val="1"/>
          <w:numId w:val="108"/>
        </w:numPr>
        <w:ind w:left="709" w:hanging="294"/>
        <w:jc w:val="left"/>
      </w:pPr>
      <m:oMath>
        <m:sSub>
          <m:sSubPr>
            <m:ctrlPr>
              <w:rPr>
                <w:rFonts w:ascii="Cambria Math" w:hAnsi="Cambria Math"/>
                <w:i/>
                <w:iCs/>
              </w:rPr>
            </m:ctrlPr>
          </m:sSubPr>
          <m:e>
            <m:r>
              <w:rPr>
                <w:rFonts w:ascii="Cambria Math" w:hAnsi="Cambria Math"/>
              </w:rPr>
              <m:t>PF</m:t>
            </m:r>
          </m:e>
          <m:sub>
            <m:r>
              <w:rPr>
                <w:rFonts w:ascii="Cambria Math" w:hAnsi="Cambria Math"/>
              </w:rPr>
              <m:t>j</m:t>
            </m:r>
          </m:sub>
        </m:sSub>
      </m:oMath>
      <w:r w:rsidR="005E4B7A" w:rsidRPr="005E61AA">
        <w:t xml:space="preserve"> is the persistence factor for that measurement boundary, being the applicable number from Table </w:t>
      </w:r>
      <w:r w:rsidR="005E4B7A">
        <w:t>1</w:t>
      </w:r>
      <w:r w:rsidR="009A7291">
        <w:t>2</w:t>
      </w:r>
      <w:r w:rsidR="005E4B7A" w:rsidRPr="005E61AA">
        <w:t>.2</w:t>
      </w:r>
      <w:r w:rsidR="005E4B7A">
        <w:t>; and</w:t>
      </w:r>
    </w:p>
    <w:p w14:paraId="7F18FA43" w14:textId="47500613" w:rsidR="005E4B7A" w:rsidRDefault="005E4B7A" w:rsidP="00BF4015">
      <w:pPr>
        <w:pStyle w:val="ListNumber2"/>
        <w:numPr>
          <w:ilvl w:val="1"/>
          <w:numId w:val="108"/>
        </w:numPr>
        <w:ind w:left="709" w:hanging="294"/>
        <w:jc w:val="left"/>
      </w:pPr>
      <w:r w:rsidRPr="00BF4015">
        <w:rPr>
          <w:i/>
          <w:iCs/>
        </w:rPr>
        <w:t>counted savings</w:t>
      </w:r>
      <w:r>
        <w:t xml:space="preserve"> is </w:t>
      </w:r>
      <w:r w:rsidRPr="00A21848">
        <w:t>a variable determined in accordance with section</w:t>
      </w:r>
      <w:r>
        <w:t xml:space="preserve"> 2. </w:t>
      </w:r>
    </w:p>
    <w:p w14:paraId="1EADAFEA" w14:textId="77777777" w:rsidR="00732D07" w:rsidRDefault="00732D07" w:rsidP="00E37634">
      <w:pPr>
        <w:pStyle w:val="BodyText"/>
      </w:pPr>
    </w:p>
    <w:p w14:paraId="5F7238A9" w14:textId="2856D466" w:rsidR="00747A21" w:rsidRDefault="008F15A9" w:rsidP="008F15A9">
      <w:pPr>
        <w:pStyle w:val="Heading3"/>
      </w:pPr>
      <w:r>
        <w:t xml:space="preserve">Annual </w:t>
      </w:r>
      <w:r w:rsidR="009A58FB">
        <w:t>gas</w:t>
      </w:r>
      <w:r>
        <w:t xml:space="preserve"> savings</w:t>
      </w:r>
    </w:p>
    <w:p w14:paraId="25FC6C29" w14:textId="19DB6EA7" w:rsidR="00C837B0" w:rsidRPr="00C837B0" w:rsidRDefault="001C5990" w:rsidP="00E37634">
      <w:pPr>
        <w:pStyle w:val="BodyText"/>
      </w:pPr>
      <w:r>
        <w:t xml:space="preserve">For </w:t>
      </w:r>
      <w:r w:rsidR="00EE02AD">
        <w:t xml:space="preserve">biogas used to substitute for natural gas or LPG </w:t>
      </w:r>
      <w:r w:rsidR="00142E7A">
        <w:t xml:space="preserve">to produce heat or steam </w:t>
      </w:r>
      <w:r w:rsidR="00D0052C">
        <w:t>or in a cogeneration system to produce a combination of heat or steam and renewable electricity. For projects solely us</w:t>
      </w:r>
      <w:r w:rsidR="0082508E">
        <w:t>ing</w:t>
      </w:r>
      <w:r w:rsidR="00D0052C">
        <w:t xml:space="preserve"> </w:t>
      </w:r>
      <w:r w:rsidR="0082508E">
        <w:t>biogas to generate renewable electricity cannot used this equation and should use equation 1</w:t>
      </w:r>
      <w:r w:rsidR="009A7291">
        <w:t>2</w:t>
      </w:r>
      <w:r w:rsidR="0082508E">
        <w:t xml:space="preserve">.3 below. </w:t>
      </w:r>
      <w:r w:rsidR="00D0052C">
        <w:t xml:space="preserve"> </w:t>
      </w:r>
    </w:p>
    <w:p w14:paraId="2271AB57" w14:textId="1230ADAD" w:rsidR="00695EE0" w:rsidRPr="00C5785D" w:rsidRDefault="00695EE0" w:rsidP="00695EE0">
      <w:pPr>
        <w:pStyle w:val="CaptionImageorFigure"/>
      </w:pPr>
      <w:r>
        <w:lastRenderedPageBreak/>
        <w:t xml:space="preserve">Equation </w:t>
      </w:r>
      <w:r w:rsidR="008F15A9">
        <w:t>1</w:t>
      </w:r>
      <w:r w:rsidR="004F00E7">
        <w:t>2</w:t>
      </w:r>
      <w:r w:rsidR="008F15A9">
        <w:t>.2</w:t>
      </w:r>
    </w:p>
    <w:p w14:paraId="7DC6E7EB" w14:textId="77777777" w:rsidR="00695EE0" w:rsidRPr="003D143A" w:rsidRDefault="00695EE0" w:rsidP="00695EE0">
      <w:pPr>
        <w:spacing w:line="360" w:lineRule="auto"/>
        <w:rPr>
          <w:rFonts w:ascii="Times New Roman" w:eastAsiaTheme="minorEastAsia" w:hAnsi="Times New Roman"/>
          <w:sz w:val="24"/>
          <w:szCs w:val="24"/>
        </w:rPr>
      </w:pPr>
      <m:oMathPara>
        <m:oMath>
          <m:r>
            <w:rPr>
              <w:rFonts w:ascii="Cambria Math" w:hAnsi="Cambria Math"/>
              <w:sz w:val="24"/>
              <w:szCs w:val="24"/>
            </w:rPr>
            <m:t>savings=</m:t>
          </m:r>
          <m:nary>
            <m:naryPr>
              <m:chr m:val="∑"/>
              <m:limLoc m:val="subSup"/>
              <m:supHide m:val="1"/>
              <m:ctrlPr>
                <w:rPr>
                  <w:rFonts w:ascii="Cambria Math" w:hAnsi="Cambria Math"/>
                  <w:i/>
                  <w:sz w:val="24"/>
                  <w:szCs w:val="24"/>
                </w:rPr>
              </m:ctrlPr>
            </m:naryPr>
            <m:sub>
              <m:r>
                <w:rPr>
                  <w:rFonts w:ascii="Cambria Math" w:hAnsi="Cambria Math"/>
                  <w:sz w:val="24"/>
                  <w:szCs w:val="24"/>
                </w:rPr>
                <m:t>t</m:t>
              </m:r>
            </m:sub>
            <m:sup/>
            <m:e>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G,t</m:t>
                  </m:r>
                </m:sub>
              </m:sSub>
            </m:e>
          </m:nary>
        </m:oMath>
      </m:oMathPara>
    </w:p>
    <w:p w14:paraId="52BC0EDE" w14:textId="77777777" w:rsidR="00695EE0" w:rsidRPr="003D143A" w:rsidRDefault="00695EE0" w:rsidP="00695EE0">
      <w:pPr>
        <w:pStyle w:val="BodyText"/>
        <w:rPr>
          <w:rFonts w:eastAsiaTheme="minorEastAsia"/>
        </w:rPr>
      </w:pPr>
      <w:r w:rsidRPr="003D143A">
        <w:rPr>
          <w:rFonts w:eastAsiaTheme="minorEastAsia"/>
        </w:rPr>
        <w:t>where:</w:t>
      </w:r>
    </w:p>
    <w:p w14:paraId="13933517" w14:textId="77777777" w:rsidR="00695EE0" w:rsidRPr="009F77A4" w:rsidRDefault="00695EE0">
      <w:pPr>
        <w:pStyle w:val="ListNumber2"/>
        <w:numPr>
          <w:ilvl w:val="0"/>
          <w:numId w:val="93"/>
        </w:numPr>
        <w:jc w:val="left"/>
        <w:rPr>
          <w:rFonts w:cstheme="minorHAnsi"/>
        </w:rPr>
      </w:pPr>
      <m:oMath>
        <m:r>
          <w:rPr>
            <w:rFonts w:ascii="Cambria Math" w:hAnsi="Cambria Math" w:cstheme="minorHAnsi"/>
          </w:rPr>
          <m:t>t</m:t>
        </m:r>
      </m:oMath>
      <w:r w:rsidRPr="009F77A4">
        <w:rPr>
          <w:rFonts w:cstheme="minorHAnsi"/>
        </w:rPr>
        <w:t xml:space="preserve"> is an eligible time interval </w:t>
      </w:r>
      <w:r>
        <w:rPr>
          <w:rFonts w:cstheme="minorHAnsi"/>
        </w:rPr>
        <w:t>of that measurement boundary, and</w:t>
      </w:r>
    </w:p>
    <w:p w14:paraId="1168700D" w14:textId="078BEB44" w:rsidR="00695EE0" w:rsidRDefault="00000000">
      <w:pPr>
        <w:pStyle w:val="ListNumber2"/>
        <w:numPr>
          <w:ilvl w:val="0"/>
          <w:numId w:val="93"/>
        </w:numPr>
        <w:jc w:val="left"/>
      </w:pPr>
      <m:oMath>
        <m:sSub>
          <m:sSubPr>
            <m:ctrlPr>
              <w:rPr>
                <w:rFonts w:ascii="Cambria Math" w:hAnsi="Cambria Math"/>
                <w:i/>
              </w:rPr>
            </m:ctrlPr>
          </m:sSubPr>
          <m:e>
            <m:r>
              <w:rPr>
                <w:rFonts w:ascii="Cambria Math" w:hAnsi="Cambria Math"/>
              </w:rPr>
              <m:t>E</m:t>
            </m:r>
          </m:e>
          <m:sub>
            <m:r>
              <w:rPr>
                <w:rFonts w:ascii="Cambria Math" w:hAnsi="Cambria Math"/>
              </w:rPr>
              <m:t>G,t</m:t>
            </m:r>
          </m:sub>
        </m:sSub>
      </m:oMath>
      <w:r w:rsidR="00695EE0" w:rsidRPr="00027054">
        <w:t xml:space="preserve"> is the </w:t>
      </w:r>
      <w:r w:rsidR="00DC0EA8">
        <w:t>energy</w:t>
      </w:r>
      <w:r w:rsidR="00695EE0">
        <w:t xml:space="preserve"> </w:t>
      </w:r>
      <w:r w:rsidR="009C18A8">
        <w:t xml:space="preserve">of the </w:t>
      </w:r>
      <w:r w:rsidR="00046FF9">
        <w:t>me</w:t>
      </w:r>
      <w:r w:rsidR="00C8418B">
        <w:t xml:space="preserve">tered </w:t>
      </w:r>
      <w:r w:rsidR="009C18A8">
        <w:t>biogas</w:t>
      </w:r>
      <w:r w:rsidR="00695EE0">
        <w:t xml:space="preserve"> gas used </w:t>
      </w:r>
      <w:r w:rsidR="00802031">
        <w:t xml:space="preserve">to substitute for </w:t>
      </w:r>
      <w:r w:rsidR="001F6DCE">
        <w:t>natural</w:t>
      </w:r>
      <w:r w:rsidR="00802031">
        <w:t xml:space="preserve"> gas </w:t>
      </w:r>
      <w:r w:rsidR="001F6DCE">
        <w:t xml:space="preserve">or LPG </w:t>
      </w:r>
      <w:r w:rsidR="00695EE0">
        <w:t xml:space="preserve">at the premises </w:t>
      </w:r>
      <w:r w:rsidR="00695EE0" w:rsidRPr="00027054">
        <w:t>for</w:t>
      </w:r>
      <w:r w:rsidR="00695EE0">
        <w:t xml:space="preserve"> time interval</w:t>
      </w:r>
      <w:r w:rsidR="00695EE0" w:rsidRPr="00027054">
        <w:t xml:space="preserve"> </w:t>
      </w:r>
      <m:oMath>
        <m:r>
          <w:rPr>
            <w:rFonts w:ascii="Cambria Math" w:hAnsi="Cambria Math" w:cstheme="minorHAnsi"/>
          </w:rPr>
          <m:t>t</m:t>
        </m:r>
      </m:oMath>
      <w:r w:rsidR="00695EE0" w:rsidRPr="00027054">
        <w:t xml:space="preserve"> </w:t>
      </w:r>
      <w:r w:rsidR="00695EE0">
        <w:t xml:space="preserve"> for that measurement boundary</w:t>
      </w:r>
    </w:p>
    <w:p w14:paraId="57A9009B" w14:textId="77777777" w:rsidR="00695EE0" w:rsidRDefault="00695EE0" w:rsidP="00747A21">
      <w:pPr>
        <w:pStyle w:val="Heading1-Topofpage"/>
        <w:numPr>
          <w:ilvl w:val="0"/>
          <w:numId w:val="0"/>
        </w:numPr>
      </w:pPr>
    </w:p>
    <w:p w14:paraId="503D2A36" w14:textId="3DF8A53B" w:rsidR="007D06FA" w:rsidRDefault="007D06FA" w:rsidP="007D06FA">
      <w:pPr>
        <w:pStyle w:val="Heading3"/>
      </w:pPr>
      <w:r>
        <w:t xml:space="preserve">Annual electricity savings </w:t>
      </w:r>
    </w:p>
    <w:p w14:paraId="573C3720" w14:textId="2FD983BF" w:rsidR="00C837B0" w:rsidRPr="00C837B0" w:rsidRDefault="0060794B" w:rsidP="00E37634">
      <w:pPr>
        <w:pStyle w:val="BodyText"/>
      </w:pPr>
      <w:r>
        <w:t xml:space="preserve">For biogas used </w:t>
      </w:r>
      <w:r w:rsidR="001C5990">
        <w:t xml:space="preserve">solely </w:t>
      </w:r>
      <w:r>
        <w:t xml:space="preserve">to generate </w:t>
      </w:r>
      <w:r w:rsidR="001C5990">
        <w:t xml:space="preserve">renewable </w:t>
      </w:r>
      <w:r>
        <w:t>electricity</w:t>
      </w:r>
      <w:r w:rsidR="001C5990">
        <w:t xml:space="preserve"> the following equation applies to measure the amount of renewable electricity generated, rather than the amount of biogas used.</w:t>
      </w:r>
    </w:p>
    <w:p w14:paraId="5589309C" w14:textId="70837161" w:rsidR="007D06FA" w:rsidRPr="00C5785D" w:rsidRDefault="007D06FA" w:rsidP="007D06FA">
      <w:pPr>
        <w:pStyle w:val="CaptionImageorFigure"/>
      </w:pPr>
      <w:r>
        <w:t xml:space="preserve">Equation </w:t>
      </w:r>
      <w:r w:rsidR="00C837B0">
        <w:t>1</w:t>
      </w:r>
      <w:r w:rsidR="004F00E7">
        <w:t>2</w:t>
      </w:r>
      <w:r>
        <w:t>.</w:t>
      </w:r>
      <w:r w:rsidR="00C837B0">
        <w:t>3</w:t>
      </w:r>
    </w:p>
    <w:p w14:paraId="0B1AA618" w14:textId="77777777" w:rsidR="007D06FA" w:rsidRPr="003D143A" w:rsidRDefault="007D06FA" w:rsidP="007D06FA">
      <w:pPr>
        <w:spacing w:line="360" w:lineRule="auto"/>
        <w:rPr>
          <w:rFonts w:ascii="Times New Roman" w:eastAsiaTheme="minorEastAsia" w:hAnsi="Times New Roman"/>
          <w:sz w:val="24"/>
          <w:szCs w:val="24"/>
        </w:rPr>
      </w:pPr>
      <m:oMathPara>
        <m:oMath>
          <m:r>
            <w:rPr>
              <w:rFonts w:ascii="Cambria Math" w:hAnsi="Cambria Math"/>
              <w:sz w:val="24"/>
              <w:szCs w:val="24"/>
            </w:rPr>
            <m:t>savings=</m:t>
          </m:r>
          <m:nary>
            <m:naryPr>
              <m:chr m:val="∑"/>
              <m:limLoc m:val="subSup"/>
              <m:supHide m:val="1"/>
              <m:ctrlPr>
                <w:rPr>
                  <w:rFonts w:ascii="Cambria Math" w:hAnsi="Cambria Math"/>
                  <w:i/>
                  <w:sz w:val="24"/>
                  <w:szCs w:val="24"/>
                </w:rPr>
              </m:ctrlPr>
            </m:naryPr>
            <m:sub>
              <m:r>
                <w:rPr>
                  <w:rFonts w:ascii="Cambria Math" w:hAnsi="Cambria Math"/>
                  <w:sz w:val="24"/>
                  <w:szCs w:val="24"/>
                </w:rPr>
                <m:t>t</m:t>
              </m:r>
            </m:sub>
            <m:sup/>
            <m:e>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S,t</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Ex,t</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ES,t</m:t>
                  </m:r>
                </m:sub>
              </m:sSub>
              <m:r>
                <w:rPr>
                  <w:rFonts w:ascii="Cambria Math" w:hAnsi="Cambria Math"/>
                  <w:sz w:val="24"/>
                  <w:szCs w:val="24"/>
                </w:rPr>
                <m:t>)</m:t>
              </m:r>
            </m:e>
          </m:nary>
        </m:oMath>
      </m:oMathPara>
    </w:p>
    <w:p w14:paraId="18629CE5" w14:textId="77777777" w:rsidR="007D06FA" w:rsidRPr="003D143A" w:rsidRDefault="007D06FA" w:rsidP="007D06FA">
      <w:pPr>
        <w:pStyle w:val="BodyText"/>
        <w:rPr>
          <w:rFonts w:eastAsiaTheme="minorEastAsia"/>
        </w:rPr>
      </w:pPr>
      <w:r w:rsidRPr="003D143A">
        <w:rPr>
          <w:rFonts w:eastAsiaTheme="minorEastAsia"/>
        </w:rPr>
        <w:t>where:</w:t>
      </w:r>
    </w:p>
    <w:p w14:paraId="1A29BD2F" w14:textId="77777777" w:rsidR="007D06FA" w:rsidRPr="009F77A4" w:rsidRDefault="007D06FA" w:rsidP="0073034D">
      <w:pPr>
        <w:pStyle w:val="ListNumber2"/>
        <w:numPr>
          <w:ilvl w:val="0"/>
          <w:numId w:val="109"/>
        </w:numPr>
        <w:jc w:val="left"/>
        <w:rPr>
          <w:rFonts w:cstheme="minorHAnsi"/>
        </w:rPr>
      </w:pPr>
      <m:oMath>
        <m:r>
          <w:rPr>
            <w:rFonts w:ascii="Cambria Math" w:hAnsi="Cambria Math" w:cstheme="minorHAnsi"/>
          </w:rPr>
          <m:t>t</m:t>
        </m:r>
      </m:oMath>
      <w:r w:rsidRPr="009F77A4">
        <w:rPr>
          <w:rFonts w:cstheme="minorHAnsi"/>
        </w:rPr>
        <w:t xml:space="preserve"> is an eligible time interval </w:t>
      </w:r>
      <w:r>
        <w:rPr>
          <w:rFonts w:cstheme="minorHAnsi"/>
        </w:rPr>
        <w:t>of that measurement boundary;</w:t>
      </w:r>
    </w:p>
    <w:p w14:paraId="4E4B6C32" w14:textId="15D71470" w:rsidR="007D06FA" w:rsidRDefault="00000000" w:rsidP="0073034D">
      <w:pPr>
        <w:pStyle w:val="ListNumber2"/>
        <w:numPr>
          <w:ilvl w:val="0"/>
          <w:numId w:val="109"/>
        </w:numPr>
        <w:jc w:val="left"/>
      </w:pPr>
      <m:oMath>
        <m:sSub>
          <m:sSubPr>
            <m:ctrlPr>
              <w:rPr>
                <w:rFonts w:ascii="Cambria Math" w:hAnsi="Cambria Math"/>
                <w:i/>
              </w:rPr>
            </m:ctrlPr>
          </m:sSubPr>
          <m:e>
            <m:r>
              <w:rPr>
                <w:rFonts w:ascii="Cambria Math" w:hAnsi="Cambria Math"/>
              </w:rPr>
              <m:t>E</m:t>
            </m:r>
          </m:e>
          <m:sub>
            <m:r>
              <w:rPr>
                <w:rFonts w:ascii="Cambria Math" w:hAnsi="Cambria Math"/>
              </w:rPr>
              <m:t>S,t</m:t>
            </m:r>
          </m:sub>
        </m:sSub>
      </m:oMath>
      <w:r w:rsidR="007D06FA" w:rsidRPr="00027054">
        <w:t xml:space="preserve"> is the </w:t>
      </w:r>
      <w:r w:rsidR="00D37541">
        <w:t>electricity</w:t>
      </w:r>
      <w:r w:rsidR="007D06FA" w:rsidRPr="00027054">
        <w:t xml:space="preserve"> </w:t>
      </w:r>
      <w:r w:rsidR="007D06FA">
        <w:t>generated by biogas</w:t>
      </w:r>
      <w:r w:rsidR="00D37541">
        <w:t>-</w:t>
      </w:r>
      <w:r w:rsidR="007D06FA">
        <w:t xml:space="preserve">powered generators systems at the premises </w:t>
      </w:r>
      <w:r w:rsidR="007D06FA" w:rsidRPr="00027054">
        <w:t>for</w:t>
      </w:r>
      <w:r w:rsidR="007D06FA">
        <w:t xml:space="preserve"> time interval</w:t>
      </w:r>
      <w:r w:rsidR="007D06FA" w:rsidRPr="00027054">
        <w:t xml:space="preserve"> </w:t>
      </w:r>
      <m:oMath>
        <m:r>
          <w:rPr>
            <w:rFonts w:ascii="Cambria Math" w:hAnsi="Cambria Math" w:cstheme="minorHAnsi"/>
          </w:rPr>
          <m:t>t</m:t>
        </m:r>
      </m:oMath>
      <w:r w:rsidR="007D06FA" w:rsidRPr="00027054">
        <w:t xml:space="preserve"> </w:t>
      </w:r>
      <w:r w:rsidR="007D06FA">
        <w:t xml:space="preserve"> for that measurement boundary;</w:t>
      </w:r>
    </w:p>
    <w:p w14:paraId="3E8295E0" w14:textId="7D088BD9" w:rsidR="007D06FA" w:rsidRDefault="00000000" w:rsidP="0073034D">
      <w:pPr>
        <w:pStyle w:val="ListNumber2"/>
        <w:numPr>
          <w:ilvl w:val="0"/>
          <w:numId w:val="109"/>
        </w:numPr>
        <w:jc w:val="left"/>
      </w:pPr>
      <m:oMath>
        <m:sSub>
          <m:sSubPr>
            <m:ctrlPr>
              <w:rPr>
                <w:rFonts w:ascii="Cambria Math" w:hAnsi="Cambria Math"/>
                <w:i/>
              </w:rPr>
            </m:ctrlPr>
          </m:sSubPr>
          <m:e>
            <m:r>
              <w:rPr>
                <w:rFonts w:ascii="Cambria Math" w:hAnsi="Cambria Math"/>
              </w:rPr>
              <m:t>E</m:t>
            </m:r>
          </m:e>
          <m:sub>
            <m:r>
              <w:rPr>
                <w:rFonts w:ascii="Cambria Math" w:hAnsi="Cambria Math"/>
              </w:rPr>
              <m:t>Ex,t</m:t>
            </m:r>
          </m:sub>
        </m:sSub>
      </m:oMath>
      <w:r w:rsidR="007D06FA" w:rsidRPr="00027054">
        <w:t xml:space="preserve"> is the </w:t>
      </w:r>
      <w:r w:rsidR="00D37541">
        <w:t>electricity</w:t>
      </w:r>
      <w:r w:rsidR="007D06FA" w:rsidRPr="00027054">
        <w:t xml:space="preserve"> </w:t>
      </w:r>
      <w:r w:rsidR="007D06FA">
        <w:t xml:space="preserve">generated by </w:t>
      </w:r>
      <w:r w:rsidR="00D37541">
        <w:t xml:space="preserve">biogas-powered generator </w:t>
      </w:r>
      <w:r w:rsidR="007D06FA">
        <w:t xml:space="preserve">system that is exported from the measurement boundary </w:t>
      </w:r>
      <w:r w:rsidR="007D06FA" w:rsidRPr="00027054">
        <w:t>for</w:t>
      </w:r>
      <w:r w:rsidR="007D06FA">
        <w:t xml:space="preserve"> time interval </w:t>
      </w:r>
      <w:r w:rsidR="007D06FA" w:rsidRPr="00027054">
        <w:t xml:space="preserve"> </w:t>
      </w:r>
      <m:oMath>
        <m:r>
          <w:rPr>
            <w:rFonts w:ascii="Cambria Math" w:hAnsi="Cambria Math" w:cstheme="minorHAnsi"/>
          </w:rPr>
          <m:t>t</m:t>
        </m:r>
      </m:oMath>
      <w:r w:rsidR="007D06FA" w:rsidRPr="00027054">
        <w:t xml:space="preserve"> </w:t>
      </w:r>
      <w:r w:rsidR="007D06FA">
        <w:t>for that measurement boundary</w:t>
      </w:r>
      <w:r w:rsidR="007D06FA" w:rsidRPr="00027054">
        <w:t>.</w:t>
      </w:r>
      <w:r w:rsidR="007D06FA">
        <w:t xml:space="preserve"> This should not include energy used to charge batteries or other energy storage systems; and</w:t>
      </w:r>
    </w:p>
    <w:p w14:paraId="32BC98CE" w14:textId="424CA52E" w:rsidR="007D06FA" w:rsidRDefault="00000000" w:rsidP="0073034D">
      <w:pPr>
        <w:pStyle w:val="ListNumber2"/>
        <w:numPr>
          <w:ilvl w:val="0"/>
          <w:numId w:val="109"/>
        </w:numPr>
        <w:jc w:val="left"/>
      </w:pPr>
      <m:oMath>
        <m:sSub>
          <m:sSubPr>
            <m:ctrlPr>
              <w:rPr>
                <w:rFonts w:ascii="Cambria Math" w:hAnsi="Cambria Math"/>
                <w:i/>
              </w:rPr>
            </m:ctrlPr>
          </m:sSubPr>
          <m:e>
            <m:r>
              <w:rPr>
                <w:rFonts w:ascii="Cambria Math" w:hAnsi="Cambria Math"/>
              </w:rPr>
              <m:t>E</m:t>
            </m:r>
          </m:e>
          <m:sub>
            <m:r>
              <w:rPr>
                <w:rFonts w:ascii="Cambria Math" w:hAnsi="Cambria Math"/>
              </w:rPr>
              <m:t>ES,t</m:t>
            </m:r>
          </m:sub>
        </m:sSub>
      </m:oMath>
      <w:r w:rsidR="007D06FA">
        <w:t xml:space="preserve"> means the </w:t>
      </w:r>
      <w:r w:rsidR="00D37541">
        <w:t>electricity</w:t>
      </w:r>
      <w:r w:rsidR="007D06FA">
        <w:t xml:space="preserve"> generated by any existing renewable energy systems at the premises for time interval t for that measurement boundary. </w:t>
      </w:r>
    </w:p>
    <w:p w14:paraId="44E3ED6C" w14:textId="77777777" w:rsidR="00C837B0" w:rsidRDefault="00C837B0" w:rsidP="00E37634">
      <w:pPr>
        <w:pStyle w:val="ListNumber2"/>
        <w:ind w:left="720" w:firstLine="0"/>
        <w:jc w:val="left"/>
      </w:pPr>
    </w:p>
    <w:p w14:paraId="09C5B02B" w14:textId="77777777" w:rsidR="001025EE" w:rsidRDefault="001025EE" w:rsidP="00B302B1">
      <w:pPr>
        <w:pStyle w:val="Heading3"/>
      </w:pPr>
      <w:r>
        <w:t>Measured energy savings</w:t>
      </w:r>
    </w:p>
    <w:p w14:paraId="00041301" w14:textId="3E296399" w:rsidR="001025EE" w:rsidRPr="009A5F35" w:rsidRDefault="001025EE" w:rsidP="001025EE">
      <w:pPr>
        <w:pStyle w:val="BodyText"/>
      </w:pPr>
      <w:r>
        <w:t xml:space="preserve">For this specified measurement method, the following requirements apply for the measurement boundary: </w:t>
      </w:r>
    </w:p>
    <w:p w14:paraId="3759B560" w14:textId="1F21FE7D" w:rsidR="001025EE" w:rsidRDefault="001025EE" w:rsidP="001548CE">
      <w:pPr>
        <w:pStyle w:val="BodyText"/>
        <w:numPr>
          <w:ilvl w:val="0"/>
          <w:numId w:val="110"/>
        </w:numPr>
      </w:pPr>
      <w:r>
        <w:t xml:space="preserve">The measurement boundary must align with the boundary of the </w:t>
      </w:r>
      <w:r w:rsidR="00467277">
        <w:t>meters</w:t>
      </w:r>
      <w:r>
        <w:t xml:space="preserve"> for the premises;</w:t>
      </w:r>
    </w:p>
    <w:p w14:paraId="078FFD92" w14:textId="77777777" w:rsidR="001025EE" w:rsidRDefault="001025EE" w:rsidP="001548CE">
      <w:pPr>
        <w:pStyle w:val="BodyText"/>
        <w:numPr>
          <w:ilvl w:val="0"/>
          <w:numId w:val="110"/>
        </w:numPr>
      </w:pPr>
      <w:r>
        <w:t>Where a premises has more than one meter the data can be combined; and</w:t>
      </w:r>
    </w:p>
    <w:p w14:paraId="39FF7546" w14:textId="77777777" w:rsidR="001025EE" w:rsidRPr="002566A2" w:rsidRDefault="001025EE" w:rsidP="001548CE">
      <w:pPr>
        <w:pStyle w:val="BodyText"/>
        <w:numPr>
          <w:ilvl w:val="0"/>
          <w:numId w:val="110"/>
        </w:numPr>
      </w:pPr>
      <w:r>
        <w:t xml:space="preserve">All other requirements for the measurement boundary also apply. </w:t>
      </w:r>
    </w:p>
    <w:p w14:paraId="1842D0DB" w14:textId="77777777" w:rsidR="001025EE" w:rsidRPr="002566A2" w:rsidRDefault="001025EE" w:rsidP="001025EE">
      <w:pPr>
        <w:pStyle w:val="BodyText"/>
      </w:pPr>
    </w:p>
    <w:p w14:paraId="56530D8A" w14:textId="77777777" w:rsidR="001025EE" w:rsidRDefault="001025EE" w:rsidP="00B302B1">
      <w:pPr>
        <w:pStyle w:val="Heading3"/>
      </w:pPr>
      <w:r>
        <w:t>Accuracy factor</w:t>
      </w:r>
    </w:p>
    <w:p w14:paraId="4B3B58E0" w14:textId="77777777" w:rsidR="001025EE" w:rsidRDefault="001025EE" w:rsidP="001025EE">
      <w:pPr>
        <w:pStyle w:val="BodyText"/>
      </w:pPr>
      <w:r>
        <w:t xml:space="preserve">For the purpose of this specified measurement method, the accuracy factor </w:t>
      </w:r>
      <w:r w:rsidRPr="001025EE">
        <w:t xml:space="preserve">is </w:t>
      </w:r>
      <w:r w:rsidRPr="00E37634">
        <w:t>1</w:t>
      </w:r>
      <w:r w:rsidRPr="001025EE">
        <w:t>.</w:t>
      </w:r>
    </w:p>
    <w:p w14:paraId="3ECD58E0" w14:textId="77777777" w:rsidR="001025EE" w:rsidRDefault="001025EE" w:rsidP="001025EE">
      <w:pPr>
        <w:pStyle w:val="BodyText"/>
      </w:pPr>
    </w:p>
    <w:p w14:paraId="66D7587F" w14:textId="77777777" w:rsidR="001025EE" w:rsidRDefault="001025EE" w:rsidP="00B302B1">
      <w:pPr>
        <w:pStyle w:val="Heading3"/>
      </w:pPr>
      <w:r>
        <w:t>Interactive energy savings</w:t>
      </w:r>
    </w:p>
    <w:p w14:paraId="4DD4CF91" w14:textId="77777777" w:rsidR="001025EE" w:rsidRPr="00CF236B" w:rsidRDefault="001025EE" w:rsidP="001025EE">
      <w:pPr>
        <w:pStyle w:val="BodyText"/>
      </w:pPr>
      <w:r>
        <w:t>This</w:t>
      </w:r>
      <w:r w:rsidRPr="00C84691">
        <w:t xml:space="preserve"> </w:t>
      </w:r>
      <w:r>
        <w:t>specified measurement method does not allow for interactive energy savings to be included.</w:t>
      </w:r>
    </w:p>
    <w:p w14:paraId="40F3F740" w14:textId="77777777" w:rsidR="001025EE" w:rsidRPr="00BD2DEE" w:rsidRDefault="001025EE" w:rsidP="001025EE">
      <w:pPr>
        <w:pStyle w:val="BodyText"/>
      </w:pPr>
    </w:p>
    <w:p w14:paraId="27D4EABA" w14:textId="782BBCB9" w:rsidR="00220C25" w:rsidRDefault="00220C25" w:rsidP="00826B6A">
      <w:pPr>
        <w:pStyle w:val="Heading3"/>
      </w:pPr>
      <w:r>
        <w:lastRenderedPageBreak/>
        <w:t>Persistence factor for biogas</w:t>
      </w:r>
    </w:p>
    <w:p w14:paraId="2298E335" w14:textId="59532D72" w:rsidR="00693DFF" w:rsidRPr="001000DA" w:rsidRDefault="00693DFF" w:rsidP="00693DFF">
      <w:pPr>
        <w:pStyle w:val="ListNumber2"/>
        <w:keepNext/>
        <w:keepLines/>
        <w:ind w:left="0" w:firstLine="0"/>
        <w:jc w:val="left"/>
      </w:pPr>
      <w:r w:rsidRPr="008729F9">
        <w:t xml:space="preserve">The </w:t>
      </w:r>
      <w:r>
        <w:t>persistence</w:t>
      </w:r>
      <w:r w:rsidRPr="008729F9">
        <w:t xml:space="preserve"> factor for a year i</w:t>
      </w:r>
      <w:r>
        <w:t xml:space="preserve">s assigned on a per measurement boundary basis and is </w:t>
      </w:r>
      <w:r w:rsidRPr="008729F9">
        <w:t xml:space="preserve">determined using Table </w:t>
      </w:r>
      <w:r>
        <w:t>12.</w:t>
      </w:r>
      <w:r w:rsidRPr="008729F9">
        <w:t>2</w:t>
      </w:r>
      <w:r>
        <w:t>.</w:t>
      </w:r>
    </w:p>
    <w:p w14:paraId="0F09B6D0" w14:textId="72F4F7D2" w:rsidR="00220C25" w:rsidRDefault="00220C25" w:rsidP="00220C25">
      <w:pPr>
        <w:pStyle w:val="CaptionImageorFigure"/>
        <w:ind w:right="851"/>
      </w:pPr>
      <w:r w:rsidRPr="004002BF">
        <w:t xml:space="preserve">Table </w:t>
      </w:r>
      <w:r>
        <w:t>1</w:t>
      </w:r>
      <w:r w:rsidR="003529A4">
        <w:t>2</w:t>
      </w:r>
      <w:r w:rsidRPr="004002BF">
        <w:t>.</w:t>
      </w:r>
      <w:r>
        <w:t>2</w:t>
      </w:r>
    </w:p>
    <w:tbl>
      <w:tblPr>
        <w:tblStyle w:val="TableGrid"/>
        <w:tblW w:w="9781" w:type="dxa"/>
        <w:tblLayout w:type="fixed"/>
        <w:tblLook w:val="04A0" w:firstRow="1" w:lastRow="0" w:firstColumn="1" w:lastColumn="0" w:noHBand="0" w:noVBand="1"/>
      </w:tblPr>
      <w:tblGrid>
        <w:gridCol w:w="5245"/>
        <w:gridCol w:w="4536"/>
      </w:tblGrid>
      <w:tr w:rsidR="00D40643" w14:paraId="40495AA0" w14:textId="77777777" w:rsidTr="00CE5A0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5" w:type="dxa"/>
            <w:shd w:val="clear" w:color="auto" w:fill="201547"/>
          </w:tcPr>
          <w:p w14:paraId="77F15BA2" w14:textId="4345B16E" w:rsidR="00D40643" w:rsidRDefault="00D40643" w:rsidP="00D40643">
            <w:pPr>
              <w:pStyle w:val="BodyText"/>
            </w:pPr>
            <w:r w:rsidRPr="00373958">
              <w:t>Technology</w:t>
            </w:r>
          </w:p>
        </w:tc>
        <w:tc>
          <w:tcPr>
            <w:tcW w:w="4536" w:type="dxa"/>
            <w:shd w:val="clear" w:color="auto" w:fill="201547"/>
          </w:tcPr>
          <w:p w14:paraId="01554BCB" w14:textId="25A52F53" w:rsidR="00D40643" w:rsidRDefault="00D40643" w:rsidP="00D40643">
            <w:pPr>
              <w:pStyle w:val="BodyText"/>
              <w:jc w:val="center"/>
              <w:cnfStyle w:val="100000000000" w:firstRow="1" w:lastRow="0" w:firstColumn="0" w:lastColumn="0" w:oddVBand="0" w:evenVBand="0" w:oddHBand="0" w:evenHBand="0" w:firstRowFirstColumn="0" w:firstRowLastColumn="0" w:lastRowFirstColumn="0" w:lastRowLastColumn="0"/>
            </w:pPr>
            <w:r w:rsidRPr="00373958">
              <w:t>Persistence factor</w:t>
            </w:r>
          </w:p>
        </w:tc>
      </w:tr>
      <w:tr w:rsidR="00D55536" w14:paraId="219C5D32" w14:textId="77777777" w:rsidTr="00CE5A04">
        <w:tc>
          <w:tcPr>
            <w:cnfStyle w:val="001000000000" w:firstRow="0" w:lastRow="0" w:firstColumn="1" w:lastColumn="0" w:oddVBand="0" w:evenVBand="0" w:oddHBand="0" w:evenHBand="0" w:firstRowFirstColumn="0" w:firstRowLastColumn="0" w:lastRowFirstColumn="0" w:lastRowLastColumn="0"/>
            <w:tcW w:w="5245" w:type="dxa"/>
          </w:tcPr>
          <w:p w14:paraId="59268896" w14:textId="6E778607" w:rsidR="00D55536" w:rsidRDefault="00D55536" w:rsidP="00D55536">
            <w:pPr>
              <w:pStyle w:val="BodyText"/>
            </w:pPr>
            <w:r w:rsidRPr="00EA336A">
              <w:t xml:space="preserve">Project with </w:t>
            </w:r>
            <w:proofErr w:type="spellStart"/>
            <w:r w:rsidRPr="00EA336A">
              <w:t>GreenPower</w:t>
            </w:r>
            <w:proofErr w:type="spellEnd"/>
            <w:r w:rsidRPr="00EA336A">
              <w:t xml:space="preserve"> RGGO certification</w:t>
            </w:r>
          </w:p>
        </w:tc>
        <w:tc>
          <w:tcPr>
            <w:tcW w:w="4536" w:type="dxa"/>
          </w:tcPr>
          <w:p w14:paraId="3652CD57" w14:textId="3A9D84B2" w:rsidR="00D55536" w:rsidRDefault="00D55536" w:rsidP="00D55536">
            <w:pPr>
              <w:pStyle w:val="BodyText"/>
              <w:jc w:val="center"/>
              <w:cnfStyle w:val="000000000000" w:firstRow="0" w:lastRow="0" w:firstColumn="0" w:lastColumn="0" w:oddVBand="0" w:evenVBand="0" w:oddHBand="0" w:evenHBand="0" w:firstRowFirstColumn="0" w:firstRowLastColumn="0" w:lastRowFirstColumn="0" w:lastRowLastColumn="0"/>
            </w:pPr>
            <w:r>
              <w:t>10</w:t>
            </w:r>
          </w:p>
        </w:tc>
      </w:tr>
      <w:tr w:rsidR="00D55536" w14:paraId="51653BDB" w14:textId="77777777" w:rsidTr="00CE5A04">
        <w:tc>
          <w:tcPr>
            <w:cnfStyle w:val="001000000000" w:firstRow="0" w:lastRow="0" w:firstColumn="1" w:lastColumn="0" w:oddVBand="0" w:evenVBand="0" w:oddHBand="0" w:evenHBand="0" w:firstRowFirstColumn="0" w:firstRowLastColumn="0" w:lastRowFirstColumn="0" w:lastRowLastColumn="0"/>
            <w:tcW w:w="5245" w:type="dxa"/>
          </w:tcPr>
          <w:p w14:paraId="06B011CC" w14:textId="0F86A19E" w:rsidR="00D55536" w:rsidRDefault="00D55536" w:rsidP="00D55536">
            <w:pPr>
              <w:pStyle w:val="BodyText"/>
            </w:pPr>
            <w:r w:rsidRPr="00EA336A">
              <w:t>BTM biogas</w:t>
            </w:r>
            <w:r w:rsidR="00BB1D11">
              <w:t xml:space="preserve"> </w:t>
            </w:r>
            <w:r w:rsidR="00342F0B" w:rsidRPr="005E10B6">
              <w:t xml:space="preserve">not using the </w:t>
            </w:r>
            <w:proofErr w:type="spellStart"/>
            <w:r w:rsidR="00342F0B" w:rsidRPr="005E10B6">
              <w:t>GreenPower</w:t>
            </w:r>
            <w:proofErr w:type="spellEnd"/>
            <w:r w:rsidR="00342F0B" w:rsidRPr="005E10B6">
              <w:t xml:space="preserve"> certification</w:t>
            </w:r>
          </w:p>
        </w:tc>
        <w:tc>
          <w:tcPr>
            <w:tcW w:w="4536" w:type="dxa"/>
          </w:tcPr>
          <w:p w14:paraId="2BA76F4A" w14:textId="20CB8C32" w:rsidR="00D55536" w:rsidRDefault="00D55536" w:rsidP="00D55536">
            <w:pPr>
              <w:pStyle w:val="BodyText"/>
              <w:jc w:val="center"/>
              <w:cnfStyle w:val="000000000000" w:firstRow="0" w:lastRow="0" w:firstColumn="0" w:lastColumn="0" w:oddVBand="0" w:evenVBand="0" w:oddHBand="0" w:evenHBand="0" w:firstRowFirstColumn="0" w:firstRowLastColumn="0" w:lastRowFirstColumn="0" w:lastRowLastColumn="0"/>
            </w:pPr>
            <w:r>
              <w:t>9</w:t>
            </w:r>
          </w:p>
        </w:tc>
      </w:tr>
      <w:tr w:rsidR="00FF5673" w14:paraId="2BD69B82" w14:textId="77777777" w:rsidTr="00CE5A04">
        <w:tc>
          <w:tcPr>
            <w:cnfStyle w:val="001000000000" w:firstRow="0" w:lastRow="0" w:firstColumn="1" w:lastColumn="0" w:oddVBand="0" w:evenVBand="0" w:oddHBand="0" w:evenHBand="0" w:firstRowFirstColumn="0" w:firstRowLastColumn="0" w:lastRowFirstColumn="0" w:lastRowLastColumn="0"/>
            <w:tcW w:w="5245" w:type="dxa"/>
          </w:tcPr>
          <w:p w14:paraId="0A9468F0" w14:textId="04EEC4FB" w:rsidR="00FF5673" w:rsidRPr="00EA336A" w:rsidRDefault="00E32A2B" w:rsidP="00FF5673">
            <w:pPr>
              <w:pStyle w:val="BodyText"/>
            </w:pPr>
            <w:r w:rsidRPr="00E32A2B">
              <w:t>Direct delivery of biogas produced at a different premises.</w:t>
            </w:r>
          </w:p>
        </w:tc>
        <w:tc>
          <w:tcPr>
            <w:tcW w:w="4536" w:type="dxa"/>
          </w:tcPr>
          <w:p w14:paraId="7A8A6F23" w14:textId="70FF6629" w:rsidR="00FF5673" w:rsidRDefault="0087651A" w:rsidP="00FF5673">
            <w:pPr>
              <w:pStyle w:val="BodyText"/>
              <w:jc w:val="center"/>
              <w:cnfStyle w:val="000000000000" w:firstRow="0" w:lastRow="0" w:firstColumn="0" w:lastColumn="0" w:oddVBand="0" w:evenVBand="0" w:oddHBand="0" w:evenHBand="0" w:firstRowFirstColumn="0" w:firstRowLastColumn="0" w:lastRowFirstColumn="0" w:lastRowLastColumn="0"/>
            </w:pPr>
            <w:r>
              <w:t>The length of the contract to buy biogas in years or 8, whichever is smaller.</w:t>
            </w:r>
          </w:p>
        </w:tc>
      </w:tr>
    </w:tbl>
    <w:p w14:paraId="5EC27502" w14:textId="77777777" w:rsidR="00220C25" w:rsidRDefault="00220C25" w:rsidP="00220C25">
      <w:pPr>
        <w:pStyle w:val="CaptionImageorFigure"/>
        <w:ind w:right="851"/>
      </w:pPr>
    </w:p>
    <w:sectPr w:rsidR="00220C25" w:rsidSect="00747A21">
      <w:pgSz w:w="11907" w:h="16839" w:code="9"/>
      <w:pgMar w:top="1134" w:right="1134" w:bottom="1134" w:left="1134" w:header="283" w:footer="283" w:gutter="0"/>
      <w:cols w:space="454"/>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8BC6D" w14:textId="77777777" w:rsidR="005771FF" w:rsidRDefault="005771FF" w:rsidP="00CD157B">
      <w:pPr>
        <w:pStyle w:val="NoSpacing"/>
      </w:pPr>
    </w:p>
  </w:endnote>
  <w:endnote w:type="continuationSeparator" w:id="0">
    <w:p w14:paraId="403239D7" w14:textId="77777777" w:rsidR="005771FF" w:rsidRDefault="005771FF" w:rsidP="00CD157B">
      <w:pPr>
        <w:pStyle w:val="NoSpacing"/>
      </w:pPr>
    </w:p>
  </w:endnote>
  <w:endnote w:type="continuationNotice" w:id="1">
    <w:p w14:paraId="2E29BD1F" w14:textId="77777777" w:rsidR="005771FF" w:rsidRDefault="005771FF" w:rsidP="00CD157B">
      <w:pPr>
        <w:pStyle w:val="NoSpacing"/>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MT">
    <w:altName w:val="Arial"/>
    <w:charset w:val="00"/>
    <w:family w:val="auto"/>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CD157B" w14:paraId="68263035" w14:textId="77777777">
      <w:trPr>
        <w:trHeight w:val="397"/>
      </w:trPr>
      <w:tc>
        <w:tcPr>
          <w:tcW w:w="340" w:type="dxa"/>
        </w:tcPr>
        <w:p w14:paraId="56B69E59" w14:textId="5F03C57F" w:rsidR="00CD157B" w:rsidRPr="00D55628" w:rsidRDefault="00CD157B" w:rsidP="00376EF3">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t>2</w:t>
          </w:r>
          <w:r w:rsidRPr="00D55628">
            <w:fldChar w:fldCharType="end"/>
          </w:r>
        </w:p>
      </w:tc>
      <w:tc>
        <w:tcPr>
          <w:tcW w:w="9071" w:type="dxa"/>
        </w:tcPr>
        <w:p w14:paraId="22EC8E92" w14:textId="2EBC77EC" w:rsidR="00CD157B" w:rsidRPr="00810C40" w:rsidRDefault="002F0C9B" w:rsidP="00D87654">
          <w:pPr>
            <w:pStyle w:val="FooterEven"/>
          </w:pPr>
          <w:r>
            <w:t xml:space="preserve">Measurement and Verification in </w:t>
          </w:r>
          <w:r w:rsidR="008C48A1">
            <w:t>Victorian Energy Upgrades</w:t>
          </w:r>
          <w:r w:rsidR="003F5E1D">
            <w:t xml:space="preserve"> </w:t>
          </w:r>
          <w:r w:rsidR="008C48A1">
            <w:t>Specifications</w:t>
          </w:r>
          <w:r w:rsidR="00D87654">
            <w:t xml:space="preserve"> </w:t>
          </w:r>
          <w:r w:rsidR="005C557D">
            <w:t xml:space="preserve">– Version </w:t>
          </w:r>
          <w:r w:rsidR="00C710AE">
            <w:t>9</w:t>
          </w:r>
          <w:r w:rsidR="005C557D">
            <w:t>.0</w:t>
          </w:r>
        </w:p>
      </w:tc>
    </w:tr>
  </w:tbl>
  <w:p w14:paraId="1C1451CC" w14:textId="6E21D775" w:rsidR="00CD157B" w:rsidRDefault="00CD157B" w:rsidP="00376EF3">
    <w:pPr>
      <w:pStyle w:val="FooterEven"/>
    </w:pPr>
  </w:p>
  <w:p w14:paraId="5292D234" w14:textId="77777777" w:rsidR="00CD157B" w:rsidRDefault="00CD15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CD157B" w14:paraId="5ADD7C21" w14:textId="77777777" w:rsidTr="6B985616">
      <w:trPr>
        <w:trHeight w:val="397"/>
      </w:trPr>
      <w:tc>
        <w:tcPr>
          <w:tcW w:w="9071" w:type="dxa"/>
        </w:tcPr>
        <w:p w14:paraId="37FE1E19" w14:textId="739F7013" w:rsidR="00CD157B" w:rsidRPr="003F5E1D" w:rsidRDefault="002F0C9B" w:rsidP="00F57CFA">
          <w:pPr>
            <w:pStyle w:val="FooterOdd"/>
          </w:pPr>
          <w:r>
            <w:t xml:space="preserve">Measurement and Verification in </w:t>
          </w:r>
          <w:r w:rsidR="002143CB">
            <w:t>Victorian Energy Upgrades</w:t>
          </w:r>
          <w:r w:rsidR="003F5E1D">
            <w:t xml:space="preserve"> </w:t>
          </w:r>
          <w:r w:rsidR="6B985616">
            <w:t>Specifications</w:t>
          </w:r>
          <w:r w:rsidR="6BBC1864">
            <w:t xml:space="preserve"> </w:t>
          </w:r>
          <w:r w:rsidR="6B985616">
            <w:t xml:space="preserve">– Version </w:t>
          </w:r>
          <w:r w:rsidR="00C710AE">
            <w:t>9</w:t>
          </w:r>
          <w:r w:rsidR="6B985616">
            <w:t>.0</w:t>
          </w:r>
        </w:p>
      </w:tc>
      <w:tc>
        <w:tcPr>
          <w:tcW w:w="340" w:type="dxa"/>
        </w:tcPr>
        <w:p w14:paraId="2AD57B07" w14:textId="77777777" w:rsidR="00CD157B" w:rsidRPr="00D55628" w:rsidRDefault="00CD157B" w:rsidP="00376EF3">
          <w:pPr>
            <w:pStyle w:val="FooterOddPageNumber"/>
          </w:pPr>
          <w:r w:rsidRPr="00D55628">
            <w:fldChar w:fldCharType="begin"/>
          </w:r>
          <w:r w:rsidRPr="00D55628">
            <w:instrText xml:space="preserve"> PAGE   \* MERGEFORMAT </w:instrText>
          </w:r>
          <w:r w:rsidRPr="00D55628">
            <w:fldChar w:fldCharType="separate"/>
          </w:r>
          <w:r>
            <w:t>1</w:t>
          </w:r>
          <w:r w:rsidRPr="00D55628">
            <w:fldChar w:fldCharType="end"/>
          </w:r>
        </w:p>
      </w:tc>
    </w:tr>
  </w:tbl>
  <w:p w14:paraId="7DEFEDDA" w14:textId="77777777" w:rsidR="00CD157B" w:rsidRDefault="00CD15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9FAE6" w14:textId="6BEBAED3" w:rsidR="00CD388D" w:rsidRDefault="001A3090">
    <w:pPr>
      <w:pStyle w:val="Footer"/>
    </w:pPr>
    <w:r>
      <w:rPr>
        <w:noProof/>
      </w:rPr>
      <mc:AlternateContent>
        <mc:Choice Requires="wps">
          <w:drawing>
            <wp:anchor distT="0" distB="0" distL="0" distR="0" simplePos="0" relativeHeight="251658246" behindDoc="0" locked="0" layoutInCell="1" allowOverlap="1" wp14:anchorId="4B9ED5C1" wp14:editId="3C61C71D">
              <wp:simplePos x="635" y="635"/>
              <wp:positionH relativeFrom="page">
                <wp:align>center</wp:align>
              </wp:positionH>
              <wp:positionV relativeFrom="page">
                <wp:align>bottom</wp:align>
              </wp:positionV>
              <wp:extent cx="551815" cy="452755"/>
              <wp:effectExtent l="0" t="0" r="635" b="0"/>
              <wp:wrapNone/>
              <wp:docPr id="557361010"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3A643262" w14:textId="30EDA834" w:rsidR="001A3090" w:rsidRPr="001A3090" w:rsidRDefault="001A3090" w:rsidP="001A3090">
                          <w:pPr>
                            <w:spacing w:after="0"/>
                            <w:rPr>
                              <w:rFonts w:ascii="Calibri" w:eastAsia="Calibri" w:hAnsi="Calibri" w:cs="Calibri"/>
                              <w:noProof/>
                              <w:color w:val="000000"/>
                              <w:sz w:val="24"/>
                              <w:szCs w:val="24"/>
                            </w:rPr>
                          </w:pPr>
                          <w:r w:rsidRPr="001A3090">
                            <w:rPr>
                              <w:rFonts w:ascii="Calibri" w:eastAsia="Calibri" w:hAnsi="Calibri" w:cs="Calibri"/>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w14:anchorId="4CD4B615">
            <v:shapetype id="_x0000_t202" coordsize="21600,21600" o:spt="202" path="m,l,21600r21600,l21600,xe" w14:anchorId="4B9ED5C1">
              <v:stroke joinstyle="miter"/>
              <v:path gradientshapeok="t" o:connecttype="rect"/>
            </v:shapetype>
            <v:shape id="_x0000_s1033" style="position:absolute;margin-left:0;margin-top:0;width:43.45pt;height:35.65pt;z-index:251658246;visibility:visible;mso-wrap-style:none;mso-wrap-distance-left:0;mso-wrap-distance-top:0;mso-wrap-distance-right:0;mso-wrap-distance-bottom:0;mso-position-horizontal:center;mso-position-horizontal-relative:page;mso-position-vertical:bottom;mso-position-vertical-relative:page;v-text-anchor:bottom" alt="OFFICIAL"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advDgIAABwEAAAOAAAAZHJzL2Uyb0RvYy54bWysU8Fu2zAMvQ/YPwi6L7aDue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">
              <v:textbox style="mso-fit-shape-to-text:t" inset="0,0,0,15pt">
                <w:txbxContent>
                  <w:p w:rsidRPr="001A3090" w:rsidR="001A3090" w:rsidP="001A3090" w:rsidRDefault="001A3090" w14:paraId="17D1F485" w14:textId="30EDA834">
                    <w:pPr>
                      <w:spacing w:after="0"/>
                      <w:rPr>
                        <w:rFonts w:ascii="Calibri" w:hAnsi="Calibri" w:eastAsia="Calibri" w:cs="Calibri"/>
                        <w:noProof/>
                        <w:color w:val="000000"/>
                        <w:sz w:val="24"/>
                        <w:szCs w:val="24"/>
                      </w:rPr>
                    </w:pPr>
                    <w:r w:rsidRPr="001A3090">
                      <w:rPr>
                        <w:rFonts w:ascii="Calibri" w:hAnsi="Calibri" w:eastAsia="Calibri" w:cs="Calibri"/>
                        <w:noProof/>
                        <w:color w:val="00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1A11C" w14:textId="77777777" w:rsidR="005771FF" w:rsidRPr="0056073C" w:rsidRDefault="005771FF" w:rsidP="005D764F">
      <w:pPr>
        <w:pStyle w:val="FootnoteSeparator"/>
      </w:pPr>
    </w:p>
  </w:footnote>
  <w:footnote w:type="continuationSeparator" w:id="0">
    <w:p w14:paraId="3B085126" w14:textId="77777777" w:rsidR="005771FF" w:rsidRPr="00CA30B7" w:rsidRDefault="005771FF" w:rsidP="006D5A90">
      <w:pPr>
        <w:rPr>
          <w:lang w:val="en-US"/>
        </w:rPr>
      </w:pPr>
      <w:r w:rsidRPr="00CA30B7">
        <w:rPr>
          <w:lang w:val="en-US"/>
        </w:rPr>
        <w:t>_______</w:t>
      </w:r>
    </w:p>
  </w:footnote>
  <w:footnote w:type="continuationNotice" w:id="1">
    <w:p w14:paraId="1F7C50BC" w14:textId="77777777" w:rsidR="005771FF" w:rsidRDefault="005771FF" w:rsidP="006D5A90"/>
  </w:footnote>
  <w:footnote w:id="2">
    <w:p w14:paraId="62E3D16E" w14:textId="3ED6110A" w:rsidR="004C457A" w:rsidRDefault="004C457A">
      <w:pPr>
        <w:pStyle w:val="FootnoteText"/>
      </w:pPr>
      <w:r>
        <w:rPr>
          <w:rStyle w:val="FootnoteReference"/>
        </w:rPr>
        <w:footnoteRef/>
      </w:r>
      <w:r>
        <w:t xml:space="preserve"> </w:t>
      </w:r>
      <w:r w:rsidR="002B3C54">
        <w:t>Regulation 14(b) provides that ‘</w:t>
      </w:r>
      <w:r w:rsidR="002B3C54" w:rsidRPr="002B3C54">
        <w:t>a certificate cannot be created in respect of a reduction in greenhouse gas emissions if a valid certificate has previously been created in respect of that reduction</w:t>
      </w:r>
      <w:r w:rsidR="002B3C54">
        <w:t>’</w:t>
      </w:r>
      <w:r w:rsidR="00AA524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249C1" w14:textId="7A693769" w:rsidR="00AC5006" w:rsidRDefault="00AC5006">
    <w:pPr>
      <w:pStyle w:val="Header"/>
    </w:pPr>
    <w:r>
      <w:rPr>
        <w:noProof/>
      </w:rPr>
      <mc:AlternateContent>
        <mc:Choice Requires="wps">
          <w:drawing>
            <wp:anchor distT="0" distB="0" distL="0" distR="0" simplePos="0" relativeHeight="251658241" behindDoc="0" locked="0" layoutInCell="1" allowOverlap="1" wp14:anchorId="317FBB65" wp14:editId="6102721B">
              <wp:simplePos x="635" y="635"/>
              <wp:positionH relativeFrom="page">
                <wp:align>center</wp:align>
              </wp:positionH>
              <wp:positionV relativeFrom="page">
                <wp:align>top</wp:align>
              </wp:positionV>
              <wp:extent cx="551815" cy="452755"/>
              <wp:effectExtent l="0" t="0" r="635" b="4445"/>
              <wp:wrapNone/>
              <wp:docPr id="128168008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7FA3AD2D" w14:textId="45378B7D" w:rsidR="00AC5006" w:rsidRPr="00AC5006" w:rsidRDefault="00AC5006" w:rsidP="00AC5006">
                          <w:pPr>
                            <w:spacing w:after="0"/>
                            <w:rPr>
                              <w:rFonts w:ascii="Calibri" w:eastAsia="Calibri" w:hAnsi="Calibri" w:cs="Calibri"/>
                              <w:noProof/>
                              <w:color w:val="FF0000"/>
                              <w:sz w:val="24"/>
                              <w:szCs w:val="24"/>
                            </w:rPr>
                          </w:pPr>
                          <w:r w:rsidRPr="00AC500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w14:anchorId="69DED989">
            <v:shapetype id="_x0000_t202" coordsize="21600,21600" o:spt="202" path="m,l,21600r21600,l21600,xe" w14:anchorId="317FBB65">
              <v:stroke joinstyle="miter"/>
              <v:path gradientshapeok="t" o:connecttype="rect"/>
            </v:shapetype>
            <v:shape id="Text Box 2" style="position:absolute;margin-left:0;margin-top:0;width:43.45pt;height:35.65pt;z-index:251658241;visibility:visible;mso-wrap-style:none;mso-wrap-distance-left:0;mso-wrap-distance-top:0;mso-wrap-distance-right:0;mso-wrap-distance-bottom:0;mso-position-horizontal:center;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">
              <v:textbox style="mso-fit-shape-to-text:t" inset="0,15pt,0,0">
                <w:txbxContent>
                  <w:p w:rsidRPr="00AC5006" w:rsidR="00AC5006" w:rsidP="00AC5006" w:rsidRDefault="00AC5006" w14:paraId="75F360E3" w14:textId="45378B7D">
                    <w:pPr>
                      <w:spacing w:after="0"/>
                      <w:rPr>
                        <w:rFonts w:ascii="Calibri" w:hAnsi="Calibri" w:eastAsia="Calibri" w:cs="Calibri"/>
                        <w:noProof/>
                        <w:color w:val="FF0000"/>
                        <w:sz w:val="24"/>
                        <w:szCs w:val="24"/>
                      </w:rPr>
                    </w:pPr>
                    <w:r w:rsidRPr="00AC5006">
                      <w:rPr>
                        <w:rFonts w:ascii="Calibri" w:hAnsi="Calibri" w:eastAsia="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2CB39" w14:textId="7C02C674" w:rsidR="00AC5006" w:rsidRDefault="00AC5006">
    <w:pPr>
      <w:pStyle w:val="Header"/>
    </w:pPr>
    <w:r>
      <w:rPr>
        <w:noProof/>
      </w:rPr>
      <mc:AlternateContent>
        <mc:Choice Requires="wps">
          <w:drawing>
            <wp:anchor distT="0" distB="0" distL="0" distR="0" simplePos="0" relativeHeight="251658242" behindDoc="0" locked="0" layoutInCell="1" allowOverlap="1" wp14:anchorId="11844269" wp14:editId="79C56E13">
              <wp:simplePos x="635" y="635"/>
              <wp:positionH relativeFrom="page">
                <wp:align>center</wp:align>
              </wp:positionH>
              <wp:positionV relativeFrom="page">
                <wp:align>top</wp:align>
              </wp:positionV>
              <wp:extent cx="551815" cy="452755"/>
              <wp:effectExtent l="0" t="0" r="635" b="4445"/>
              <wp:wrapNone/>
              <wp:docPr id="170410797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6DE3B17E" w14:textId="531D241C" w:rsidR="00AC5006" w:rsidRPr="00AC5006" w:rsidRDefault="00AC5006" w:rsidP="00AC5006">
                          <w:pPr>
                            <w:spacing w:after="0"/>
                            <w:rPr>
                              <w:rFonts w:ascii="Calibri" w:eastAsia="Calibri" w:hAnsi="Calibri" w:cs="Calibri"/>
                              <w:noProof/>
                              <w:color w:val="FF0000"/>
                              <w:sz w:val="24"/>
                              <w:szCs w:val="24"/>
                            </w:rPr>
                          </w:pPr>
                          <w:r w:rsidRPr="00AC500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w14:anchorId="428C3B34">
            <v:shapetype id="_x0000_t202" coordsize="21600,21600" o:spt="202" path="m,l,21600r21600,l21600,xe" w14:anchorId="11844269">
              <v:stroke joinstyle="miter"/>
              <v:path gradientshapeok="t" o:connecttype="rect"/>
            </v:shapetype>
            <v:shape id="Text Box 3" style="position:absolute;margin-left:0;margin-top:0;width:43.45pt;height:35.65pt;z-index:251658242;visibility:visible;mso-wrap-style:none;mso-wrap-distance-left:0;mso-wrap-distance-top:0;mso-wrap-distance-right:0;mso-wrap-distance-bottom:0;mso-position-horizontal:center;mso-position-horizontal-relative:page;mso-position-vertical:top;mso-position-vertical-relative:page;v-text-anchor:top"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">
              <v:textbox style="mso-fit-shape-to-text:t" inset="0,15pt,0,0">
                <w:txbxContent>
                  <w:p w:rsidRPr="00AC5006" w:rsidR="00AC5006" w:rsidP="00AC5006" w:rsidRDefault="00AC5006" w14:paraId="09E77742" w14:textId="531D241C">
                    <w:pPr>
                      <w:spacing w:after="0"/>
                      <w:rPr>
                        <w:rFonts w:ascii="Calibri" w:hAnsi="Calibri" w:eastAsia="Calibri" w:cs="Calibri"/>
                        <w:noProof/>
                        <w:color w:val="FF0000"/>
                        <w:sz w:val="24"/>
                        <w:szCs w:val="24"/>
                      </w:rPr>
                    </w:pPr>
                    <w:r w:rsidRPr="00AC5006">
                      <w:rPr>
                        <w:rFonts w:ascii="Calibri" w:hAnsi="Calibri" w:eastAsia="Calibri"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09715" w14:textId="37B635E1" w:rsidR="00AC5006" w:rsidRDefault="00AC5006">
    <w:pPr>
      <w:pStyle w:val="Header"/>
    </w:pPr>
    <w:r>
      <w:rPr>
        <w:noProof/>
      </w:rPr>
      <mc:AlternateContent>
        <mc:Choice Requires="wps">
          <w:drawing>
            <wp:anchor distT="0" distB="0" distL="0" distR="0" simplePos="0" relativeHeight="251658243" behindDoc="0" locked="0" layoutInCell="1" allowOverlap="1" wp14:anchorId="643DD533" wp14:editId="58C650C1">
              <wp:simplePos x="635" y="635"/>
              <wp:positionH relativeFrom="page">
                <wp:align>center</wp:align>
              </wp:positionH>
              <wp:positionV relativeFrom="page">
                <wp:align>top</wp:align>
              </wp:positionV>
              <wp:extent cx="551815" cy="452755"/>
              <wp:effectExtent l="0" t="0" r="635" b="4445"/>
              <wp:wrapNone/>
              <wp:docPr id="200301702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0B50EF97" w14:textId="3B043771" w:rsidR="00AC5006" w:rsidRPr="00AC5006" w:rsidRDefault="00AC5006" w:rsidP="00AC5006">
                          <w:pPr>
                            <w:spacing w:after="0"/>
                            <w:rPr>
                              <w:rFonts w:ascii="Calibri" w:eastAsia="Calibri" w:hAnsi="Calibri" w:cs="Calibri"/>
                              <w:noProof/>
                              <w:color w:val="FF0000"/>
                              <w:sz w:val="24"/>
                              <w:szCs w:val="24"/>
                            </w:rPr>
                          </w:pPr>
                          <w:r w:rsidRPr="00AC500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w14:anchorId="54769A82">
            <v:shapetype id="_x0000_t202" coordsize="21600,21600" o:spt="202" path="m,l,21600r21600,l21600,xe" w14:anchorId="643DD533">
              <v:stroke joinstyle="miter"/>
              <v:path gradientshapeok="t" o:connecttype="rect"/>
            </v:shapetype>
            <v:shape id="Text Box 1" style="position:absolute;margin-left:0;margin-top:0;width:43.45pt;height:35.65pt;z-index:251658243;visibility:visible;mso-wrap-style:none;mso-wrap-distance-left:0;mso-wrap-distance-top:0;mso-wrap-distance-right:0;mso-wrap-distance-bottom:0;mso-position-horizontal:center;mso-position-horizontal-relative:page;mso-position-vertical:top;mso-position-vertical-relative:page;v-text-anchor:top"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">
              <v:textbox style="mso-fit-shape-to-text:t" inset="0,15pt,0,0">
                <w:txbxContent>
                  <w:p w:rsidRPr="00AC5006" w:rsidR="00AC5006" w:rsidP="00AC5006" w:rsidRDefault="00AC5006" w14:paraId="171AAEBA" w14:textId="3B043771">
                    <w:pPr>
                      <w:spacing w:after="0"/>
                      <w:rPr>
                        <w:rFonts w:ascii="Calibri" w:hAnsi="Calibri" w:eastAsia="Calibri" w:cs="Calibri"/>
                        <w:noProof/>
                        <w:color w:val="FF0000"/>
                        <w:sz w:val="24"/>
                        <w:szCs w:val="24"/>
                      </w:rPr>
                    </w:pPr>
                    <w:r w:rsidRPr="00AC5006">
                      <w:rPr>
                        <w:rFonts w:ascii="Calibri" w:hAnsi="Calibri" w:eastAsia="Calibri" w:cs="Calibri"/>
                        <w:noProof/>
                        <w:color w:val="FF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91872" w14:textId="662545B8" w:rsidR="00AC5006" w:rsidRDefault="00AC5006">
    <w:pPr>
      <w:pStyle w:val="Header"/>
    </w:pPr>
    <w:r>
      <w:rPr>
        <w:noProof/>
      </w:rPr>
      <mc:AlternateContent>
        <mc:Choice Requires="wps">
          <w:drawing>
            <wp:anchor distT="0" distB="0" distL="0" distR="0" simplePos="0" relativeHeight="251658244" behindDoc="0" locked="0" layoutInCell="1" allowOverlap="1" wp14:anchorId="3EF0A086" wp14:editId="61C0A078">
              <wp:simplePos x="635" y="635"/>
              <wp:positionH relativeFrom="page">
                <wp:align>center</wp:align>
              </wp:positionH>
              <wp:positionV relativeFrom="page">
                <wp:align>top</wp:align>
              </wp:positionV>
              <wp:extent cx="551815" cy="452755"/>
              <wp:effectExtent l="0" t="0" r="635" b="4445"/>
              <wp:wrapNone/>
              <wp:docPr id="1532000722"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3BEB164E" w14:textId="44C38627" w:rsidR="00AC5006" w:rsidRPr="00AC5006" w:rsidRDefault="00AC5006" w:rsidP="00AC5006">
                          <w:pPr>
                            <w:spacing w:after="0"/>
                            <w:rPr>
                              <w:rFonts w:ascii="Calibri" w:eastAsia="Calibri" w:hAnsi="Calibri" w:cs="Calibri"/>
                              <w:noProof/>
                              <w:color w:val="FF0000"/>
                              <w:sz w:val="24"/>
                              <w:szCs w:val="24"/>
                            </w:rPr>
                          </w:pPr>
                          <w:r w:rsidRPr="00AC500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w14:anchorId="49DA6280">
            <v:shapetype id="_x0000_t202" coordsize="21600,21600" o:spt="202" path="m,l,21600r21600,l21600,xe" w14:anchorId="3EF0A086">
              <v:stroke joinstyle="miter"/>
              <v:path gradientshapeok="t" o:connecttype="rect"/>
            </v:shapetype>
            <v:shape id="Text Box 5" style="position:absolute;margin-left:0;margin-top:0;width:43.45pt;height:35.65pt;z-index:251658244;visibility:visible;mso-wrap-style:none;mso-wrap-distance-left:0;mso-wrap-distance-top:0;mso-wrap-distance-right:0;mso-wrap-distance-bottom:0;mso-position-horizontal:center;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">
              <v:textbox style="mso-fit-shape-to-text:t" inset="0,15pt,0,0">
                <w:txbxContent>
                  <w:p w:rsidRPr="00AC5006" w:rsidR="00AC5006" w:rsidP="00AC5006" w:rsidRDefault="00AC5006" w14:paraId="08CE8BEA" w14:textId="44C38627">
                    <w:pPr>
                      <w:spacing w:after="0"/>
                      <w:rPr>
                        <w:rFonts w:ascii="Calibri" w:hAnsi="Calibri" w:eastAsia="Calibri" w:cs="Calibri"/>
                        <w:noProof/>
                        <w:color w:val="FF0000"/>
                        <w:sz w:val="24"/>
                        <w:szCs w:val="24"/>
                      </w:rPr>
                    </w:pPr>
                    <w:r w:rsidRPr="00AC5006">
                      <w:rPr>
                        <w:rFonts w:ascii="Calibri" w:hAnsi="Calibri" w:eastAsia="Calibri" w:cs="Calibri"/>
                        <w:noProof/>
                        <w:color w:val="FF0000"/>
                        <w:sz w:val="24"/>
                        <w:szCs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E9EE3" w14:textId="4ADE3E63" w:rsidR="00CD157B" w:rsidRPr="00CD157B" w:rsidRDefault="00AC5006" w:rsidP="00CD157B">
    <w:pPr>
      <w:pStyle w:val="Header"/>
    </w:pPr>
    <w:r>
      <w:rPr>
        <w:noProof/>
      </w:rPr>
      <mc:AlternateContent>
        <mc:Choice Requires="wps">
          <w:drawing>
            <wp:anchor distT="0" distB="0" distL="0" distR="0" simplePos="0" relativeHeight="251658240" behindDoc="0" locked="0" layoutInCell="1" allowOverlap="1" wp14:anchorId="6F7FCD97" wp14:editId="6F55AEDF">
              <wp:simplePos x="635" y="635"/>
              <wp:positionH relativeFrom="page">
                <wp:align>center</wp:align>
              </wp:positionH>
              <wp:positionV relativeFrom="page">
                <wp:align>top</wp:align>
              </wp:positionV>
              <wp:extent cx="551815" cy="452755"/>
              <wp:effectExtent l="0" t="0" r="635" b="4445"/>
              <wp:wrapNone/>
              <wp:docPr id="60937293"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60A1306A" w14:textId="22CB447A" w:rsidR="00AC5006" w:rsidRPr="00AC5006" w:rsidRDefault="00AC5006" w:rsidP="00AC5006">
                          <w:pPr>
                            <w:spacing w:after="0"/>
                            <w:rPr>
                              <w:rFonts w:ascii="Calibri" w:eastAsia="Calibri" w:hAnsi="Calibri" w:cs="Calibri"/>
                              <w:noProof/>
                              <w:color w:val="FF0000"/>
                              <w:sz w:val="24"/>
                              <w:szCs w:val="24"/>
                            </w:rPr>
                          </w:pPr>
                          <w:r w:rsidRPr="00AC500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w14:anchorId="406754D9">
            <v:shapetype id="_x0000_t202" coordsize="21600,21600" o:spt="202" path="m,l,21600r21600,l21600,xe" w14:anchorId="6F7FCD97">
              <v:stroke joinstyle="miter"/>
              <v:path gradientshapeok="t" o:connecttype="rect"/>
            </v:shapetype>
            <v:shape id="Text Box 6" style="position:absolute;margin-left:0;margin-top:0;width:43.45pt;height:35.65pt;z-index:251658240;visibility:visible;mso-wrap-style:none;mso-wrap-distance-left:0;mso-wrap-distance-top:0;mso-wrap-distance-right:0;mso-wrap-distance-bottom:0;mso-position-horizontal:center;mso-position-horizontal-relative:page;mso-position-vertical:top;mso-position-vertical-relative:page;v-text-anchor:top"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">
              <v:textbox style="mso-fit-shape-to-text:t" inset="0,15pt,0,0">
                <w:txbxContent>
                  <w:p w:rsidRPr="00AC5006" w:rsidR="00AC5006" w:rsidP="00AC5006" w:rsidRDefault="00AC5006" w14:paraId="42DD9960" w14:textId="22CB447A">
                    <w:pPr>
                      <w:spacing w:after="0"/>
                      <w:rPr>
                        <w:rFonts w:ascii="Calibri" w:hAnsi="Calibri" w:eastAsia="Calibri" w:cs="Calibri"/>
                        <w:noProof/>
                        <w:color w:val="FF0000"/>
                        <w:sz w:val="24"/>
                        <w:szCs w:val="24"/>
                      </w:rPr>
                    </w:pPr>
                    <w:r w:rsidRPr="00AC5006">
                      <w:rPr>
                        <w:rFonts w:ascii="Calibri" w:hAnsi="Calibri" w:eastAsia="Calibri" w:cs="Calibri"/>
                        <w:noProof/>
                        <w:color w:val="FF0000"/>
                        <w:sz w:val="24"/>
                        <w:szCs w:val="24"/>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370E3" w14:textId="438B7654" w:rsidR="00AC5006" w:rsidRDefault="00AC5006">
    <w:pPr>
      <w:pStyle w:val="Header"/>
    </w:pPr>
    <w:r>
      <w:rPr>
        <w:noProof/>
      </w:rPr>
      <mc:AlternateContent>
        <mc:Choice Requires="wps">
          <w:drawing>
            <wp:anchor distT="0" distB="0" distL="0" distR="0" simplePos="0" relativeHeight="251658245" behindDoc="0" locked="0" layoutInCell="1" allowOverlap="1" wp14:anchorId="58473EB2" wp14:editId="63801308">
              <wp:simplePos x="635" y="635"/>
              <wp:positionH relativeFrom="page">
                <wp:align>center</wp:align>
              </wp:positionH>
              <wp:positionV relativeFrom="page">
                <wp:align>top</wp:align>
              </wp:positionV>
              <wp:extent cx="551815" cy="452755"/>
              <wp:effectExtent l="0" t="0" r="635" b="4445"/>
              <wp:wrapNone/>
              <wp:docPr id="2142083721"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6C7C60FF" w14:textId="7AA20FDE" w:rsidR="00AC5006" w:rsidRPr="00AC5006" w:rsidRDefault="00AC5006" w:rsidP="00AC5006">
                          <w:pPr>
                            <w:spacing w:after="0"/>
                            <w:rPr>
                              <w:rFonts w:ascii="Calibri" w:eastAsia="Calibri" w:hAnsi="Calibri" w:cs="Calibri"/>
                              <w:noProof/>
                              <w:color w:val="FF0000"/>
                              <w:sz w:val="24"/>
                              <w:szCs w:val="24"/>
                            </w:rPr>
                          </w:pPr>
                          <w:r w:rsidRPr="00AC500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w14:anchorId="06C06BFC">
            <v:shapetype id="_x0000_t202" coordsize="21600,21600" o:spt="202" path="m,l,21600r21600,l21600,xe" w14:anchorId="58473EB2">
              <v:stroke joinstyle="miter"/>
              <v:path gradientshapeok="t" o:connecttype="rect"/>
            </v:shapetype>
            <v:shape id="Text Box 4" style="position:absolute;margin-left:0;margin-top:0;width:43.45pt;height:35.65pt;z-index:251658245;visibility:visible;mso-wrap-style:none;mso-wrap-distance-left:0;mso-wrap-distance-top:0;mso-wrap-distance-right:0;mso-wrap-distance-bottom:0;mso-position-horizontal:center;mso-position-horizontal-relative:page;mso-position-vertical:top;mso-position-vertical-relative:page;v-text-anchor:top" alt="OFFICIAL"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">
              <v:textbox style="mso-fit-shape-to-text:t" inset="0,15pt,0,0">
                <w:txbxContent>
                  <w:p w:rsidRPr="00AC5006" w:rsidR="00AC5006" w:rsidP="00AC5006" w:rsidRDefault="00AC5006" w14:paraId="2CCFEE10" w14:textId="7AA20FDE">
                    <w:pPr>
                      <w:spacing w:after="0"/>
                      <w:rPr>
                        <w:rFonts w:ascii="Calibri" w:hAnsi="Calibri" w:eastAsia="Calibri" w:cs="Calibri"/>
                        <w:noProof/>
                        <w:color w:val="FF0000"/>
                        <w:sz w:val="24"/>
                        <w:szCs w:val="24"/>
                      </w:rPr>
                    </w:pPr>
                    <w:r w:rsidRPr="00AC5006">
                      <w:rPr>
                        <w:rFonts w:ascii="Calibri" w:hAnsi="Calibri" w:eastAsia="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611683A"/>
    <w:multiLevelType w:val="hybridMultilevel"/>
    <w:tmpl w:val="4196706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340423"/>
    <w:multiLevelType w:val="hybridMultilevel"/>
    <w:tmpl w:val="FCD4DE7C"/>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74B7E3A"/>
    <w:multiLevelType w:val="hybridMultilevel"/>
    <w:tmpl w:val="E3468920"/>
    <w:lvl w:ilvl="0" w:tplc="FFFFFFFF">
      <w:start w:val="1"/>
      <w:numFmt w:val="lowerLetter"/>
      <w:lvlText w:val="(%1)"/>
      <w:lvlJc w:val="left"/>
      <w:pPr>
        <w:ind w:left="700" w:hanging="360"/>
      </w:pPr>
      <w:rPr>
        <w:rFonts w:hint="default"/>
      </w:rPr>
    </w:lvl>
    <w:lvl w:ilvl="1" w:tplc="FFFFFFFF" w:tentative="1">
      <w:start w:val="1"/>
      <w:numFmt w:val="lowerLetter"/>
      <w:lvlText w:val="%2."/>
      <w:lvlJc w:val="left"/>
      <w:pPr>
        <w:ind w:left="1420" w:hanging="360"/>
      </w:pPr>
    </w:lvl>
    <w:lvl w:ilvl="2" w:tplc="FFFFFFFF" w:tentative="1">
      <w:start w:val="1"/>
      <w:numFmt w:val="lowerRoman"/>
      <w:lvlText w:val="%3."/>
      <w:lvlJc w:val="right"/>
      <w:pPr>
        <w:ind w:left="2140" w:hanging="180"/>
      </w:pPr>
    </w:lvl>
    <w:lvl w:ilvl="3" w:tplc="FFFFFFFF" w:tentative="1">
      <w:start w:val="1"/>
      <w:numFmt w:val="decimal"/>
      <w:lvlText w:val="%4."/>
      <w:lvlJc w:val="left"/>
      <w:pPr>
        <w:ind w:left="2860" w:hanging="360"/>
      </w:pPr>
    </w:lvl>
    <w:lvl w:ilvl="4" w:tplc="FFFFFFFF" w:tentative="1">
      <w:start w:val="1"/>
      <w:numFmt w:val="lowerLetter"/>
      <w:lvlText w:val="%5."/>
      <w:lvlJc w:val="left"/>
      <w:pPr>
        <w:ind w:left="3580" w:hanging="360"/>
      </w:pPr>
    </w:lvl>
    <w:lvl w:ilvl="5" w:tplc="FFFFFFFF" w:tentative="1">
      <w:start w:val="1"/>
      <w:numFmt w:val="lowerRoman"/>
      <w:lvlText w:val="%6."/>
      <w:lvlJc w:val="right"/>
      <w:pPr>
        <w:ind w:left="4300" w:hanging="180"/>
      </w:pPr>
    </w:lvl>
    <w:lvl w:ilvl="6" w:tplc="FFFFFFFF" w:tentative="1">
      <w:start w:val="1"/>
      <w:numFmt w:val="decimal"/>
      <w:lvlText w:val="%7."/>
      <w:lvlJc w:val="left"/>
      <w:pPr>
        <w:ind w:left="5020" w:hanging="360"/>
      </w:pPr>
    </w:lvl>
    <w:lvl w:ilvl="7" w:tplc="FFFFFFFF" w:tentative="1">
      <w:start w:val="1"/>
      <w:numFmt w:val="lowerLetter"/>
      <w:lvlText w:val="%8."/>
      <w:lvlJc w:val="left"/>
      <w:pPr>
        <w:ind w:left="5740" w:hanging="360"/>
      </w:pPr>
    </w:lvl>
    <w:lvl w:ilvl="8" w:tplc="FFFFFFFF" w:tentative="1">
      <w:start w:val="1"/>
      <w:numFmt w:val="lowerRoman"/>
      <w:lvlText w:val="%9."/>
      <w:lvlJc w:val="right"/>
      <w:pPr>
        <w:ind w:left="6460" w:hanging="180"/>
      </w:pPr>
    </w:lvl>
  </w:abstractNum>
  <w:abstractNum w:abstractNumId="5" w15:restartNumberingAfterBreak="0">
    <w:nsid w:val="08C6382D"/>
    <w:multiLevelType w:val="multilevel"/>
    <w:tmpl w:val="402C243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8" w15:restartNumberingAfterBreak="0">
    <w:nsid w:val="0DED66D1"/>
    <w:multiLevelType w:val="hybridMultilevel"/>
    <w:tmpl w:val="36C47018"/>
    <w:lvl w:ilvl="0" w:tplc="FFFFFFFF">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0F2828AA"/>
    <w:multiLevelType w:val="hybridMultilevel"/>
    <w:tmpl w:val="45BA61A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12"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3" w15:restartNumberingAfterBreak="0">
    <w:nsid w:val="127C5284"/>
    <w:multiLevelType w:val="hybridMultilevel"/>
    <w:tmpl w:val="98F2F528"/>
    <w:lvl w:ilvl="0" w:tplc="C67AC3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29336A6"/>
    <w:multiLevelType w:val="hybridMultilevel"/>
    <w:tmpl w:val="01522852"/>
    <w:lvl w:ilvl="0" w:tplc="25F0EC2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1375298E"/>
    <w:multiLevelType w:val="hybridMultilevel"/>
    <w:tmpl w:val="AEBCE782"/>
    <w:lvl w:ilvl="0" w:tplc="8FD0C0E6">
      <w:start w:val="1"/>
      <w:numFmt w:val="lowerLetter"/>
      <w:lvlText w:val="(%1)"/>
      <w:lvlJc w:val="left"/>
      <w:pPr>
        <w:ind w:left="720" w:hanging="360"/>
      </w:pPr>
      <w:rPr>
        <w:rFonts w:asciiTheme="minorHAnsi" w:eastAsia="Times New Roman" w:hAnsiTheme="minorHAnsi" w:cs="Times New Roman"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6" w15:restartNumberingAfterBreak="0">
    <w:nsid w:val="13DA4702"/>
    <w:multiLevelType w:val="hybridMultilevel"/>
    <w:tmpl w:val="95C053AA"/>
    <w:lvl w:ilvl="0" w:tplc="0C09001B">
      <w:start w:val="1"/>
      <w:numFmt w:val="lowerRoman"/>
      <w:lvlText w:val="%1."/>
      <w:lvlJc w:val="righ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7" w15:restartNumberingAfterBreak="0">
    <w:nsid w:val="144E2F01"/>
    <w:multiLevelType w:val="multilevel"/>
    <w:tmpl w:val="6720978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right"/>
      <w:pPr>
        <w:ind w:left="1080" w:hanging="360"/>
      </w:pPr>
      <w:rPr>
        <w:rFonts w:asciiTheme="minorHAnsi" w:eastAsia="Times New Roman" w:hAnsiTheme="minorHAnsi"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149B2C10"/>
    <w:multiLevelType w:val="hybridMultilevel"/>
    <w:tmpl w:val="58A65DF4"/>
    <w:lvl w:ilvl="0" w:tplc="C7C211A6">
      <w:start w:val="1"/>
      <w:numFmt w:val="bullet"/>
      <w:lvlText w:val=""/>
      <w:lvlJc w:val="left"/>
      <w:pPr>
        <w:ind w:left="1080" w:hanging="360"/>
      </w:pPr>
      <w:rPr>
        <w:rFonts w:ascii="Symbol" w:hAnsi="Symbol"/>
      </w:rPr>
    </w:lvl>
    <w:lvl w:ilvl="1" w:tplc="87B6C5BA">
      <w:start w:val="1"/>
      <w:numFmt w:val="bullet"/>
      <w:lvlText w:val=""/>
      <w:lvlJc w:val="left"/>
      <w:pPr>
        <w:ind w:left="1080" w:hanging="360"/>
      </w:pPr>
      <w:rPr>
        <w:rFonts w:ascii="Symbol" w:hAnsi="Symbol"/>
      </w:rPr>
    </w:lvl>
    <w:lvl w:ilvl="2" w:tplc="F97CD4B0">
      <w:start w:val="1"/>
      <w:numFmt w:val="bullet"/>
      <w:lvlText w:val=""/>
      <w:lvlJc w:val="left"/>
      <w:pPr>
        <w:ind w:left="1080" w:hanging="360"/>
      </w:pPr>
      <w:rPr>
        <w:rFonts w:ascii="Symbol" w:hAnsi="Symbol"/>
      </w:rPr>
    </w:lvl>
    <w:lvl w:ilvl="3" w:tplc="1E10C874">
      <w:start w:val="1"/>
      <w:numFmt w:val="bullet"/>
      <w:lvlText w:val=""/>
      <w:lvlJc w:val="left"/>
      <w:pPr>
        <w:ind w:left="1080" w:hanging="360"/>
      </w:pPr>
      <w:rPr>
        <w:rFonts w:ascii="Symbol" w:hAnsi="Symbol"/>
      </w:rPr>
    </w:lvl>
    <w:lvl w:ilvl="4" w:tplc="87AC5D72">
      <w:start w:val="1"/>
      <w:numFmt w:val="bullet"/>
      <w:lvlText w:val=""/>
      <w:lvlJc w:val="left"/>
      <w:pPr>
        <w:ind w:left="1080" w:hanging="360"/>
      </w:pPr>
      <w:rPr>
        <w:rFonts w:ascii="Symbol" w:hAnsi="Symbol"/>
      </w:rPr>
    </w:lvl>
    <w:lvl w:ilvl="5" w:tplc="6D362466">
      <w:start w:val="1"/>
      <w:numFmt w:val="bullet"/>
      <w:lvlText w:val=""/>
      <w:lvlJc w:val="left"/>
      <w:pPr>
        <w:ind w:left="1080" w:hanging="360"/>
      </w:pPr>
      <w:rPr>
        <w:rFonts w:ascii="Symbol" w:hAnsi="Symbol"/>
      </w:rPr>
    </w:lvl>
    <w:lvl w:ilvl="6" w:tplc="DFE63916">
      <w:start w:val="1"/>
      <w:numFmt w:val="bullet"/>
      <w:lvlText w:val=""/>
      <w:lvlJc w:val="left"/>
      <w:pPr>
        <w:ind w:left="1080" w:hanging="360"/>
      </w:pPr>
      <w:rPr>
        <w:rFonts w:ascii="Symbol" w:hAnsi="Symbol"/>
      </w:rPr>
    </w:lvl>
    <w:lvl w:ilvl="7" w:tplc="77AC5C52">
      <w:start w:val="1"/>
      <w:numFmt w:val="bullet"/>
      <w:lvlText w:val=""/>
      <w:lvlJc w:val="left"/>
      <w:pPr>
        <w:ind w:left="1080" w:hanging="360"/>
      </w:pPr>
      <w:rPr>
        <w:rFonts w:ascii="Symbol" w:hAnsi="Symbol"/>
      </w:rPr>
    </w:lvl>
    <w:lvl w:ilvl="8" w:tplc="48A68CBE">
      <w:start w:val="1"/>
      <w:numFmt w:val="bullet"/>
      <w:lvlText w:val=""/>
      <w:lvlJc w:val="left"/>
      <w:pPr>
        <w:ind w:left="1080" w:hanging="360"/>
      </w:pPr>
      <w:rPr>
        <w:rFonts w:ascii="Symbol" w:hAnsi="Symbol"/>
      </w:rPr>
    </w:lvl>
  </w:abstractNum>
  <w:abstractNum w:abstractNumId="19" w15:restartNumberingAfterBreak="0">
    <w:nsid w:val="15A5075C"/>
    <w:multiLevelType w:val="hybridMultilevel"/>
    <w:tmpl w:val="D30618F6"/>
    <w:lvl w:ilvl="0" w:tplc="48427FB8">
      <w:start w:val="1"/>
      <w:numFmt w:val="lowerLetter"/>
      <w:lvlText w:val="(%1)"/>
      <w:lvlJc w:val="left"/>
      <w:pPr>
        <w:ind w:left="700" w:hanging="360"/>
      </w:pPr>
      <w:rPr>
        <w:rFonts w:hint="default"/>
      </w:rPr>
    </w:lvl>
    <w:lvl w:ilvl="1" w:tplc="FFFFFFFF">
      <w:start w:val="1"/>
      <w:numFmt w:val="lowerRoman"/>
      <w:lvlText w:val="(%2)"/>
      <w:lvlJc w:val="right"/>
      <w:pPr>
        <w:ind w:left="1420" w:hanging="360"/>
      </w:pPr>
      <w:rPr>
        <w:rFonts w:asciiTheme="minorHAnsi" w:eastAsia="Times New Roman" w:hAnsiTheme="minorHAnsi" w:cs="Times New Roman"/>
      </w:rPr>
    </w:lvl>
    <w:lvl w:ilvl="2" w:tplc="FFFFFFFF">
      <w:start w:val="1"/>
      <w:numFmt w:val="lowerRoman"/>
      <w:lvlText w:val="%3."/>
      <w:lvlJc w:val="right"/>
      <w:pPr>
        <w:ind w:left="2140" w:hanging="180"/>
      </w:pPr>
    </w:lvl>
    <w:lvl w:ilvl="3" w:tplc="FFFFFFFF">
      <w:start w:val="1"/>
      <w:numFmt w:val="decimal"/>
      <w:lvlText w:val="%4."/>
      <w:lvlJc w:val="left"/>
      <w:pPr>
        <w:ind w:left="2860" w:hanging="360"/>
      </w:pPr>
    </w:lvl>
    <w:lvl w:ilvl="4" w:tplc="FFFFFFFF" w:tentative="1">
      <w:start w:val="1"/>
      <w:numFmt w:val="lowerLetter"/>
      <w:lvlText w:val="%5."/>
      <w:lvlJc w:val="left"/>
      <w:pPr>
        <w:ind w:left="3580" w:hanging="360"/>
      </w:pPr>
    </w:lvl>
    <w:lvl w:ilvl="5" w:tplc="FFFFFFFF" w:tentative="1">
      <w:start w:val="1"/>
      <w:numFmt w:val="lowerRoman"/>
      <w:lvlText w:val="%6."/>
      <w:lvlJc w:val="right"/>
      <w:pPr>
        <w:ind w:left="4300" w:hanging="180"/>
      </w:pPr>
    </w:lvl>
    <w:lvl w:ilvl="6" w:tplc="FFFFFFFF" w:tentative="1">
      <w:start w:val="1"/>
      <w:numFmt w:val="decimal"/>
      <w:lvlText w:val="%7."/>
      <w:lvlJc w:val="left"/>
      <w:pPr>
        <w:ind w:left="5020" w:hanging="360"/>
      </w:pPr>
    </w:lvl>
    <w:lvl w:ilvl="7" w:tplc="FFFFFFFF" w:tentative="1">
      <w:start w:val="1"/>
      <w:numFmt w:val="lowerLetter"/>
      <w:lvlText w:val="%8."/>
      <w:lvlJc w:val="left"/>
      <w:pPr>
        <w:ind w:left="5740" w:hanging="360"/>
      </w:pPr>
    </w:lvl>
    <w:lvl w:ilvl="8" w:tplc="FFFFFFFF" w:tentative="1">
      <w:start w:val="1"/>
      <w:numFmt w:val="lowerRoman"/>
      <w:lvlText w:val="%9."/>
      <w:lvlJc w:val="right"/>
      <w:pPr>
        <w:ind w:left="6460" w:hanging="180"/>
      </w:pPr>
    </w:lvl>
  </w:abstractNum>
  <w:abstractNum w:abstractNumId="20" w15:restartNumberingAfterBreak="0">
    <w:nsid w:val="193B1A32"/>
    <w:multiLevelType w:val="hybridMultilevel"/>
    <w:tmpl w:val="B23674D8"/>
    <w:name w:val="DEPIListNumbering2"/>
    <w:lvl w:ilvl="0" w:tplc="F962B9BC">
      <w:start w:val="1"/>
      <w:numFmt w:val="lowerLetter"/>
      <w:lvlText w:val="(%1)"/>
      <w:lvlJc w:val="left"/>
      <w:pPr>
        <w:ind w:left="643"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start w:val="1"/>
      <w:numFmt w:val="lowerLetter"/>
      <w:lvlText w:val="%2."/>
      <w:lvlJc w:val="left"/>
      <w:pPr>
        <w:ind w:left="1363" w:hanging="360"/>
      </w:pPr>
    </w:lvl>
    <w:lvl w:ilvl="2" w:tplc="0C09001B" w:tentative="1">
      <w:start w:val="1"/>
      <w:numFmt w:val="lowerRoman"/>
      <w:lvlText w:val="%3."/>
      <w:lvlJc w:val="right"/>
      <w:pPr>
        <w:ind w:left="2083" w:hanging="180"/>
      </w:pPr>
    </w:lvl>
    <w:lvl w:ilvl="3" w:tplc="0C09000F" w:tentative="1">
      <w:start w:val="1"/>
      <w:numFmt w:val="decimal"/>
      <w:lvlText w:val="%4."/>
      <w:lvlJc w:val="left"/>
      <w:pPr>
        <w:ind w:left="2803" w:hanging="360"/>
      </w:pPr>
    </w:lvl>
    <w:lvl w:ilvl="4" w:tplc="0C090019" w:tentative="1">
      <w:start w:val="1"/>
      <w:numFmt w:val="lowerLetter"/>
      <w:lvlText w:val="%5."/>
      <w:lvlJc w:val="left"/>
      <w:pPr>
        <w:ind w:left="3523" w:hanging="360"/>
      </w:pPr>
    </w:lvl>
    <w:lvl w:ilvl="5" w:tplc="0C09001B" w:tentative="1">
      <w:start w:val="1"/>
      <w:numFmt w:val="lowerRoman"/>
      <w:lvlText w:val="%6."/>
      <w:lvlJc w:val="right"/>
      <w:pPr>
        <w:ind w:left="4243" w:hanging="180"/>
      </w:pPr>
    </w:lvl>
    <w:lvl w:ilvl="6" w:tplc="0C09000F" w:tentative="1">
      <w:start w:val="1"/>
      <w:numFmt w:val="decimal"/>
      <w:lvlText w:val="%7."/>
      <w:lvlJc w:val="left"/>
      <w:pPr>
        <w:ind w:left="4963" w:hanging="360"/>
      </w:pPr>
    </w:lvl>
    <w:lvl w:ilvl="7" w:tplc="0C090019" w:tentative="1">
      <w:start w:val="1"/>
      <w:numFmt w:val="lowerLetter"/>
      <w:lvlText w:val="%8."/>
      <w:lvlJc w:val="left"/>
      <w:pPr>
        <w:ind w:left="5683" w:hanging="360"/>
      </w:pPr>
    </w:lvl>
    <w:lvl w:ilvl="8" w:tplc="0C09001B" w:tentative="1">
      <w:start w:val="1"/>
      <w:numFmt w:val="lowerRoman"/>
      <w:lvlText w:val="%9."/>
      <w:lvlJc w:val="right"/>
      <w:pPr>
        <w:ind w:left="6403" w:hanging="180"/>
      </w:pPr>
    </w:lvl>
  </w:abstractNum>
  <w:abstractNum w:abstractNumId="21" w15:restartNumberingAfterBreak="0">
    <w:nsid w:val="195925F9"/>
    <w:multiLevelType w:val="multilevel"/>
    <w:tmpl w:val="57FAA31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19EA5257"/>
    <w:multiLevelType w:val="hybridMultilevel"/>
    <w:tmpl w:val="FCD4DE7C"/>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1B9F4ADC"/>
    <w:multiLevelType w:val="multilevel"/>
    <w:tmpl w:val="A2DC67B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1BEF5B6D"/>
    <w:multiLevelType w:val="hybridMultilevel"/>
    <w:tmpl w:val="36CEE46E"/>
    <w:lvl w:ilvl="0" w:tplc="48427FB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1C0E7140"/>
    <w:multiLevelType w:val="hybridMultilevel"/>
    <w:tmpl w:val="B74EAC86"/>
    <w:lvl w:ilvl="0" w:tplc="FFFFFFFF">
      <w:start w:val="1"/>
      <w:numFmt w:val="lowerLetter"/>
      <w:lvlText w:val="(%1)"/>
      <w:lvlJc w:val="left"/>
      <w:pPr>
        <w:ind w:left="700" w:hanging="360"/>
      </w:pPr>
      <w:rPr>
        <w:rFonts w:eastAsiaTheme="minorEastAsia" w:cs="Times New Roman" w:hint="default"/>
      </w:rPr>
    </w:lvl>
    <w:lvl w:ilvl="1" w:tplc="FFFFFFFF" w:tentative="1">
      <w:start w:val="1"/>
      <w:numFmt w:val="lowerLetter"/>
      <w:lvlText w:val="%2."/>
      <w:lvlJc w:val="left"/>
      <w:pPr>
        <w:ind w:left="1420" w:hanging="360"/>
      </w:pPr>
    </w:lvl>
    <w:lvl w:ilvl="2" w:tplc="FFFFFFFF" w:tentative="1">
      <w:start w:val="1"/>
      <w:numFmt w:val="lowerRoman"/>
      <w:lvlText w:val="%3."/>
      <w:lvlJc w:val="right"/>
      <w:pPr>
        <w:ind w:left="2140" w:hanging="180"/>
      </w:pPr>
    </w:lvl>
    <w:lvl w:ilvl="3" w:tplc="FFFFFFFF" w:tentative="1">
      <w:start w:val="1"/>
      <w:numFmt w:val="decimal"/>
      <w:lvlText w:val="%4."/>
      <w:lvlJc w:val="left"/>
      <w:pPr>
        <w:ind w:left="2860" w:hanging="360"/>
      </w:pPr>
    </w:lvl>
    <w:lvl w:ilvl="4" w:tplc="FFFFFFFF" w:tentative="1">
      <w:start w:val="1"/>
      <w:numFmt w:val="lowerLetter"/>
      <w:lvlText w:val="%5."/>
      <w:lvlJc w:val="left"/>
      <w:pPr>
        <w:ind w:left="3580" w:hanging="360"/>
      </w:pPr>
    </w:lvl>
    <w:lvl w:ilvl="5" w:tplc="FFFFFFFF" w:tentative="1">
      <w:start w:val="1"/>
      <w:numFmt w:val="lowerRoman"/>
      <w:lvlText w:val="%6."/>
      <w:lvlJc w:val="right"/>
      <w:pPr>
        <w:ind w:left="4300" w:hanging="180"/>
      </w:pPr>
    </w:lvl>
    <w:lvl w:ilvl="6" w:tplc="FFFFFFFF" w:tentative="1">
      <w:start w:val="1"/>
      <w:numFmt w:val="decimal"/>
      <w:lvlText w:val="%7."/>
      <w:lvlJc w:val="left"/>
      <w:pPr>
        <w:ind w:left="5020" w:hanging="360"/>
      </w:pPr>
    </w:lvl>
    <w:lvl w:ilvl="7" w:tplc="FFFFFFFF" w:tentative="1">
      <w:start w:val="1"/>
      <w:numFmt w:val="lowerLetter"/>
      <w:lvlText w:val="%8."/>
      <w:lvlJc w:val="left"/>
      <w:pPr>
        <w:ind w:left="5740" w:hanging="360"/>
      </w:pPr>
    </w:lvl>
    <w:lvl w:ilvl="8" w:tplc="FFFFFFFF" w:tentative="1">
      <w:start w:val="1"/>
      <w:numFmt w:val="lowerRoman"/>
      <w:lvlText w:val="%9."/>
      <w:lvlJc w:val="right"/>
      <w:pPr>
        <w:ind w:left="6460" w:hanging="180"/>
      </w:pPr>
    </w:lvl>
  </w:abstractNum>
  <w:abstractNum w:abstractNumId="27"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28" w15:restartNumberingAfterBreak="0">
    <w:nsid w:val="1DFA29F7"/>
    <w:multiLevelType w:val="multilevel"/>
    <w:tmpl w:val="CC2E79A2"/>
    <w:lvl w:ilvl="0">
      <w:start w:val="1"/>
      <w:numFmt w:val="decimal"/>
      <w:lvlText w:val="(%1)"/>
      <w:lvlJc w:val="left"/>
      <w:pPr>
        <w:tabs>
          <w:tab w:val="num" w:pos="360"/>
        </w:tabs>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24AB7F44"/>
    <w:multiLevelType w:val="hybridMultilevel"/>
    <w:tmpl w:val="60566140"/>
    <w:lvl w:ilvl="0" w:tplc="25F0EC2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15:restartNumberingAfterBreak="0">
    <w:nsid w:val="25FE3B3C"/>
    <w:multiLevelType w:val="hybridMultilevel"/>
    <w:tmpl w:val="61A22108"/>
    <w:lvl w:ilvl="0" w:tplc="909899DA">
      <w:start w:val="1"/>
      <w:numFmt w:val="bullet"/>
      <w:lvlText w:val=""/>
      <w:lvlJc w:val="left"/>
      <w:pPr>
        <w:ind w:left="2840" w:hanging="360"/>
      </w:pPr>
      <w:rPr>
        <w:rFonts w:ascii="Symbol" w:hAnsi="Symbol"/>
      </w:rPr>
    </w:lvl>
    <w:lvl w:ilvl="1" w:tplc="AF1EB04A">
      <w:start w:val="1"/>
      <w:numFmt w:val="bullet"/>
      <w:lvlText w:val=""/>
      <w:lvlJc w:val="left"/>
      <w:pPr>
        <w:ind w:left="2840" w:hanging="360"/>
      </w:pPr>
      <w:rPr>
        <w:rFonts w:ascii="Symbol" w:hAnsi="Symbol"/>
      </w:rPr>
    </w:lvl>
    <w:lvl w:ilvl="2" w:tplc="9196AC16">
      <w:start w:val="1"/>
      <w:numFmt w:val="bullet"/>
      <w:lvlText w:val=""/>
      <w:lvlJc w:val="left"/>
      <w:pPr>
        <w:ind w:left="2840" w:hanging="360"/>
      </w:pPr>
      <w:rPr>
        <w:rFonts w:ascii="Symbol" w:hAnsi="Symbol"/>
      </w:rPr>
    </w:lvl>
    <w:lvl w:ilvl="3" w:tplc="3AFE8206">
      <w:start w:val="1"/>
      <w:numFmt w:val="bullet"/>
      <w:lvlText w:val=""/>
      <w:lvlJc w:val="left"/>
      <w:pPr>
        <w:ind w:left="2840" w:hanging="360"/>
      </w:pPr>
      <w:rPr>
        <w:rFonts w:ascii="Symbol" w:hAnsi="Symbol"/>
      </w:rPr>
    </w:lvl>
    <w:lvl w:ilvl="4" w:tplc="A6404DD2">
      <w:start w:val="1"/>
      <w:numFmt w:val="bullet"/>
      <w:lvlText w:val=""/>
      <w:lvlJc w:val="left"/>
      <w:pPr>
        <w:ind w:left="2840" w:hanging="360"/>
      </w:pPr>
      <w:rPr>
        <w:rFonts w:ascii="Symbol" w:hAnsi="Symbol"/>
      </w:rPr>
    </w:lvl>
    <w:lvl w:ilvl="5" w:tplc="C91A5DE6">
      <w:start w:val="1"/>
      <w:numFmt w:val="bullet"/>
      <w:lvlText w:val=""/>
      <w:lvlJc w:val="left"/>
      <w:pPr>
        <w:ind w:left="2840" w:hanging="360"/>
      </w:pPr>
      <w:rPr>
        <w:rFonts w:ascii="Symbol" w:hAnsi="Symbol"/>
      </w:rPr>
    </w:lvl>
    <w:lvl w:ilvl="6" w:tplc="A1D6137E">
      <w:start w:val="1"/>
      <w:numFmt w:val="bullet"/>
      <w:lvlText w:val=""/>
      <w:lvlJc w:val="left"/>
      <w:pPr>
        <w:ind w:left="2840" w:hanging="360"/>
      </w:pPr>
      <w:rPr>
        <w:rFonts w:ascii="Symbol" w:hAnsi="Symbol"/>
      </w:rPr>
    </w:lvl>
    <w:lvl w:ilvl="7" w:tplc="4CEEAD6E">
      <w:start w:val="1"/>
      <w:numFmt w:val="bullet"/>
      <w:lvlText w:val=""/>
      <w:lvlJc w:val="left"/>
      <w:pPr>
        <w:ind w:left="2840" w:hanging="360"/>
      </w:pPr>
      <w:rPr>
        <w:rFonts w:ascii="Symbol" w:hAnsi="Symbol"/>
      </w:rPr>
    </w:lvl>
    <w:lvl w:ilvl="8" w:tplc="055E6134">
      <w:start w:val="1"/>
      <w:numFmt w:val="bullet"/>
      <w:lvlText w:val=""/>
      <w:lvlJc w:val="left"/>
      <w:pPr>
        <w:ind w:left="2840" w:hanging="360"/>
      </w:pPr>
      <w:rPr>
        <w:rFonts w:ascii="Symbol" w:hAnsi="Symbol"/>
      </w:rPr>
    </w:lvl>
  </w:abstractNum>
  <w:abstractNum w:abstractNumId="31"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32" w15:restartNumberingAfterBreak="0">
    <w:nsid w:val="28EC1E5C"/>
    <w:multiLevelType w:val="hybridMultilevel"/>
    <w:tmpl w:val="F12CE372"/>
    <w:lvl w:ilvl="0" w:tplc="48427FB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291426FE"/>
    <w:multiLevelType w:val="multilevel"/>
    <w:tmpl w:val="6720978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right"/>
      <w:pPr>
        <w:ind w:left="1080" w:hanging="360"/>
      </w:pPr>
      <w:rPr>
        <w:rFonts w:asciiTheme="minorHAnsi" w:eastAsia="Times New Roman" w:hAnsiTheme="minorHAnsi"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29A018EB"/>
    <w:multiLevelType w:val="multilevel"/>
    <w:tmpl w:val="0464C1AE"/>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lowerRoman"/>
      <w:pStyle w:val="ListAlpha3"/>
      <w:lvlText w:val="(%3)"/>
      <w:lvlJc w:val="right"/>
      <w:pPr>
        <w:ind w:left="1040" w:hanging="360"/>
      </w:pPr>
      <w:rPr>
        <w:rFonts w:asciiTheme="minorHAnsi" w:eastAsia="Times New Roman" w:hAnsiTheme="minorHAnsi" w:cs="Times New Roman"/>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35" w15:restartNumberingAfterBreak="0">
    <w:nsid w:val="2A540228"/>
    <w:multiLevelType w:val="hybridMultilevel"/>
    <w:tmpl w:val="C21C4EC2"/>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36" w15:restartNumberingAfterBreak="0">
    <w:nsid w:val="2BFC2BA2"/>
    <w:multiLevelType w:val="multilevel"/>
    <w:tmpl w:val="A2DC67B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2C2367A3"/>
    <w:multiLevelType w:val="hybridMultilevel"/>
    <w:tmpl w:val="45BA61A2"/>
    <w:lvl w:ilvl="0" w:tplc="25F0EC2C">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9" w15:restartNumberingAfterBreak="0">
    <w:nsid w:val="2F4408EE"/>
    <w:multiLevelType w:val="multilevel"/>
    <w:tmpl w:val="6296B24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2F87033D"/>
    <w:multiLevelType w:val="multilevel"/>
    <w:tmpl w:val="C14C3BF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42" w15:restartNumberingAfterBreak="0">
    <w:nsid w:val="32CD2464"/>
    <w:multiLevelType w:val="multilevel"/>
    <w:tmpl w:val="AB3E0990"/>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337A1D3A"/>
    <w:multiLevelType w:val="hybridMultilevel"/>
    <w:tmpl w:val="23946AA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5" w15:restartNumberingAfterBreak="0">
    <w:nsid w:val="346F4D91"/>
    <w:multiLevelType w:val="multilevel"/>
    <w:tmpl w:val="7DBAD9A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6" w15:restartNumberingAfterBreak="0">
    <w:nsid w:val="3483536A"/>
    <w:multiLevelType w:val="multilevel"/>
    <w:tmpl w:val="6720978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right"/>
      <w:pPr>
        <w:ind w:left="1080" w:hanging="360"/>
      </w:pPr>
      <w:rPr>
        <w:rFonts w:asciiTheme="minorHAnsi" w:eastAsia="Times New Roman" w:hAnsiTheme="minorHAnsi"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34B720C4"/>
    <w:multiLevelType w:val="hybridMultilevel"/>
    <w:tmpl w:val="26781D98"/>
    <w:lvl w:ilvl="0" w:tplc="FFFFFFFF">
      <w:start w:val="3"/>
      <w:numFmt w:val="lowerLetter"/>
      <w:lvlText w:val="(%1)"/>
      <w:lvlJc w:val="left"/>
      <w:pPr>
        <w:ind w:left="720" w:hanging="360"/>
      </w:pPr>
      <w:rPr>
        <w:rFonts w:asciiTheme="minorHAnsi" w:eastAsia="Times New Roman" w:hAnsiTheme="minorHAnsi"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9"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50" w15:restartNumberingAfterBreak="0">
    <w:nsid w:val="37753D34"/>
    <w:multiLevelType w:val="hybridMultilevel"/>
    <w:tmpl w:val="4196706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378D556F"/>
    <w:multiLevelType w:val="hybridMultilevel"/>
    <w:tmpl w:val="8C96D22C"/>
    <w:lvl w:ilvl="0" w:tplc="48427FB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37C37ABF"/>
    <w:multiLevelType w:val="hybridMultilevel"/>
    <w:tmpl w:val="822EAAB2"/>
    <w:lvl w:ilvl="0" w:tplc="48427FB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3" w15:restartNumberingAfterBreak="0">
    <w:nsid w:val="37F1508D"/>
    <w:multiLevelType w:val="hybridMultilevel"/>
    <w:tmpl w:val="9E8A80FA"/>
    <w:lvl w:ilvl="0" w:tplc="48427FB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4"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6"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7"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8" w15:restartNumberingAfterBreak="0">
    <w:nsid w:val="3BAE3BD8"/>
    <w:multiLevelType w:val="hybridMultilevel"/>
    <w:tmpl w:val="004CD40A"/>
    <w:lvl w:ilvl="0" w:tplc="A444457C">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9" w15:restartNumberingAfterBreak="0">
    <w:nsid w:val="3C38677B"/>
    <w:multiLevelType w:val="hybridMultilevel"/>
    <w:tmpl w:val="01522852"/>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0"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1" w15:restartNumberingAfterBreak="0">
    <w:nsid w:val="3D396140"/>
    <w:multiLevelType w:val="hybridMultilevel"/>
    <w:tmpl w:val="B0B0C4DA"/>
    <w:lvl w:ilvl="0" w:tplc="8CB6B24A">
      <w:start w:val="1"/>
      <w:numFmt w:val="lowerLetter"/>
      <w:lvlText w:val="(%1)"/>
      <w:lvlJc w:val="left"/>
      <w:pPr>
        <w:ind w:left="700" w:hanging="360"/>
      </w:pPr>
      <w:rPr>
        <w:rFonts w:hint="default"/>
        <w:i w:val="0"/>
        <w:iCs/>
      </w:rPr>
    </w:lvl>
    <w:lvl w:ilvl="1" w:tplc="0C090019" w:tentative="1">
      <w:start w:val="1"/>
      <w:numFmt w:val="lowerLetter"/>
      <w:lvlText w:val="%2."/>
      <w:lvlJc w:val="left"/>
      <w:pPr>
        <w:ind w:left="1420" w:hanging="360"/>
      </w:pPr>
    </w:lvl>
    <w:lvl w:ilvl="2" w:tplc="0C09001B" w:tentative="1">
      <w:start w:val="1"/>
      <w:numFmt w:val="lowerRoman"/>
      <w:lvlText w:val="%3."/>
      <w:lvlJc w:val="right"/>
      <w:pPr>
        <w:ind w:left="2140" w:hanging="180"/>
      </w:pPr>
    </w:lvl>
    <w:lvl w:ilvl="3" w:tplc="0C09000F" w:tentative="1">
      <w:start w:val="1"/>
      <w:numFmt w:val="decimal"/>
      <w:lvlText w:val="%4."/>
      <w:lvlJc w:val="left"/>
      <w:pPr>
        <w:ind w:left="2860" w:hanging="360"/>
      </w:pPr>
    </w:lvl>
    <w:lvl w:ilvl="4" w:tplc="0C090019" w:tentative="1">
      <w:start w:val="1"/>
      <w:numFmt w:val="lowerLetter"/>
      <w:lvlText w:val="%5."/>
      <w:lvlJc w:val="left"/>
      <w:pPr>
        <w:ind w:left="3580" w:hanging="360"/>
      </w:pPr>
    </w:lvl>
    <w:lvl w:ilvl="5" w:tplc="0C09001B" w:tentative="1">
      <w:start w:val="1"/>
      <w:numFmt w:val="lowerRoman"/>
      <w:lvlText w:val="%6."/>
      <w:lvlJc w:val="right"/>
      <w:pPr>
        <w:ind w:left="4300" w:hanging="180"/>
      </w:pPr>
    </w:lvl>
    <w:lvl w:ilvl="6" w:tplc="0C09000F" w:tentative="1">
      <w:start w:val="1"/>
      <w:numFmt w:val="decimal"/>
      <w:lvlText w:val="%7."/>
      <w:lvlJc w:val="left"/>
      <w:pPr>
        <w:ind w:left="5020" w:hanging="360"/>
      </w:pPr>
    </w:lvl>
    <w:lvl w:ilvl="7" w:tplc="0C090019" w:tentative="1">
      <w:start w:val="1"/>
      <w:numFmt w:val="lowerLetter"/>
      <w:lvlText w:val="%8."/>
      <w:lvlJc w:val="left"/>
      <w:pPr>
        <w:ind w:left="5740" w:hanging="360"/>
      </w:pPr>
    </w:lvl>
    <w:lvl w:ilvl="8" w:tplc="0C09001B" w:tentative="1">
      <w:start w:val="1"/>
      <w:numFmt w:val="lowerRoman"/>
      <w:lvlText w:val="%9."/>
      <w:lvlJc w:val="right"/>
      <w:pPr>
        <w:ind w:left="6460" w:hanging="180"/>
      </w:pPr>
    </w:lvl>
  </w:abstractNum>
  <w:abstractNum w:abstractNumId="62" w15:restartNumberingAfterBreak="0">
    <w:nsid w:val="3DD852E7"/>
    <w:multiLevelType w:val="hybridMultilevel"/>
    <w:tmpl w:val="54525DC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3E1D1012"/>
    <w:multiLevelType w:val="multilevel"/>
    <w:tmpl w:val="CEF8A29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right"/>
      <w:pPr>
        <w:ind w:left="1080" w:hanging="360"/>
      </w:pPr>
      <w:rPr>
        <w:rFonts w:asciiTheme="minorHAnsi" w:eastAsia="Times New Roman" w:hAnsiTheme="minorHAnsi"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3E6F6955"/>
    <w:multiLevelType w:val="multilevel"/>
    <w:tmpl w:val="57B40470"/>
    <w:lvl w:ilvl="0">
      <w:start w:val="11"/>
      <w:numFmt w:val="decimal"/>
      <w:lvlText w:val="%1"/>
      <w:lvlJc w:val="left"/>
      <w:pPr>
        <w:ind w:left="810" w:hanging="810"/>
      </w:pPr>
      <w:rPr>
        <w:rFonts w:hint="default"/>
      </w:rPr>
    </w:lvl>
    <w:lvl w:ilvl="1">
      <w:start w:val="3"/>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5" w15:restartNumberingAfterBreak="0">
    <w:nsid w:val="3EC42D8D"/>
    <w:multiLevelType w:val="hybridMultilevel"/>
    <w:tmpl w:val="CE30AF7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3F141C82"/>
    <w:multiLevelType w:val="multilevel"/>
    <w:tmpl w:val="6720978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right"/>
      <w:pPr>
        <w:ind w:left="1080" w:hanging="360"/>
      </w:pPr>
      <w:rPr>
        <w:rFonts w:asciiTheme="minorHAnsi" w:eastAsia="Times New Roman" w:hAnsiTheme="minorHAnsi"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7" w15:restartNumberingAfterBreak="0">
    <w:nsid w:val="401072CE"/>
    <w:multiLevelType w:val="hybridMultilevel"/>
    <w:tmpl w:val="033A0FE8"/>
    <w:lvl w:ilvl="0" w:tplc="0C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8"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69" w15:restartNumberingAfterBreak="0">
    <w:nsid w:val="41F21788"/>
    <w:multiLevelType w:val="multilevel"/>
    <w:tmpl w:val="AEEC30DE"/>
    <w:lvl w:ilvl="0">
      <w:start w:val="1"/>
      <w:numFmt w:val="bullet"/>
      <w:pStyle w:val="SmallBullet"/>
      <w:lvlText w:val="•"/>
      <w:lvlJc w:val="left"/>
      <w:pPr>
        <w:ind w:left="170" w:hanging="170"/>
      </w:pPr>
      <w:rPr>
        <w:rFonts w:ascii="Arial" w:hAnsi="Arial" w:hint="default"/>
        <w:color w:val="232222"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0" w15:restartNumberingAfterBreak="0">
    <w:nsid w:val="425B6590"/>
    <w:multiLevelType w:val="hybridMultilevel"/>
    <w:tmpl w:val="167049C0"/>
    <w:lvl w:ilvl="0" w:tplc="AFCA83A2">
      <w:start w:val="1"/>
      <w:numFmt w:val="bullet"/>
      <w:lvlText w:val=""/>
      <w:lvlJc w:val="left"/>
      <w:pPr>
        <w:ind w:left="1080" w:hanging="360"/>
      </w:pPr>
      <w:rPr>
        <w:rFonts w:ascii="Symbol" w:hAnsi="Symbol"/>
      </w:rPr>
    </w:lvl>
    <w:lvl w:ilvl="1" w:tplc="3FE2367A">
      <w:start w:val="1"/>
      <w:numFmt w:val="bullet"/>
      <w:lvlText w:val=""/>
      <w:lvlJc w:val="left"/>
      <w:pPr>
        <w:ind w:left="1080" w:hanging="360"/>
      </w:pPr>
      <w:rPr>
        <w:rFonts w:ascii="Symbol" w:hAnsi="Symbol"/>
      </w:rPr>
    </w:lvl>
    <w:lvl w:ilvl="2" w:tplc="6C6AB2C2">
      <w:start w:val="1"/>
      <w:numFmt w:val="bullet"/>
      <w:lvlText w:val=""/>
      <w:lvlJc w:val="left"/>
      <w:pPr>
        <w:ind w:left="1080" w:hanging="360"/>
      </w:pPr>
      <w:rPr>
        <w:rFonts w:ascii="Symbol" w:hAnsi="Symbol"/>
      </w:rPr>
    </w:lvl>
    <w:lvl w:ilvl="3" w:tplc="37EA953A">
      <w:start w:val="1"/>
      <w:numFmt w:val="bullet"/>
      <w:lvlText w:val=""/>
      <w:lvlJc w:val="left"/>
      <w:pPr>
        <w:ind w:left="1080" w:hanging="360"/>
      </w:pPr>
      <w:rPr>
        <w:rFonts w:ascii="Symbol" w:hAnsi="Symbol"/>
      </w:rPr>
    </w:lvl>
    <w:lvl w:ilvl="4" w:tplc="6122B19C">
      <w:start w:val="1"/>
      <w:numFmt w:val="bullet"/>
      <w:lvlText w:val=""/>
      <w:lvlJc w:val="left"/>
      <w:pPr>
        <w:ind w:left="1080" w:hanging="360"/>
      </w:pPr>
      <w:rPr>
        <w:rFonts w:ascii="Symbol" w:hAnsi="Symbol"/>
      </w:rPr>
    </w:lvl>
    <w:lvl w:ilvl="5" w:tplc="416C61D8">
      <w:start w:val="1"/>
      <w:numFmt w:val="bullet"/>
      <w:lvlText w:val=""/>
      <w:lvlJc w:val="left"/>
      <w:pPr>
        <w:ind w:left="1080" w:hanging="360"/>
      </w:pPr>
      <w:rPr>
        <w:rFonts w:ascii="Symbol" w:hAnsi="Symbol"/>
      </w:rPr>
    </w:lvl>
    <w:lvl w:ilvl="6" w:tplc="24B0DFC2">
      <w:start w:val="1"/>
      <w:numFmt w:val="bullet"/>
      <w:lvlText w:val=""/>
      <w:lvlJc w:val="left"/>
      <w:pPr>
        <w:ind w:left="1080" w:hanging="360"/>
      </w:pPr>
      <w:rPr>
        <w:rFonts w:ascii="Symbol" w:hAnsi="Symbol"/>
      </w:rPr>
    </w:lvl>
    <w:lvl w:ilvl="7" w:tplc="B824D14A">
      <w:start w:val="1"/>
      <w:numFmt w:val="bullet"/>
      <w:lvlText w:val=""/>
      <w:lvlJc w:val="left"/>
      <w:pPr>
        <w:ind w:left="1080" w:hanging="360"/>
      </w:pPr>
      <w:rPr>
        <w:rFonts w:ascii="Symbol" w:hAnsi="Symbol"/>
      </w:rPr>
    </w:lvl>
    <w:lvl w:ilvl="8" w:tplc="BBAAE086">
      <w:start w:val="1"/>
      <w:numFmt w:val="bullet"/>
      <w:lvlText w:val=""/>
      <w:lvlJc w:val="left"/>
      <w:pPr>
        <w:ind w:left="1080" w:hanging="360"/>
      </w:pPr>
      <w:rPr>
        <w:rFonts w:ascii="Symbol" w:hAnsi="Symbol"/>
      </w:rPr>
    </w:lvl>
  </w:abstractNum>
  <w:abstractNum w:abstractNumId="71" w15:restartNumberingAfterBreak="0">
    <w:nsid w:val="42741225"/>
    <w:multiLevelType w:val="multilevel"/>
    <w:tmpl w:val="F97E1DF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right"/>
      <w:pPr>
        <w:ind w:left="1080" w:hanging="360"/>
      </w:pPr>
      <w:rPr>
        <w:rFonts w:asciiTheme="minorHAnsi" w:eastAsia="Times New Roman" w:hAnsiTheme="minorHAnsi"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2"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73" w15:restartNumberingAfterBreak="0">
    <w:nsid w:val="43943D64"/>
    <w:multiLevelType w:val="hybridMultilevel"/>
    <w:tmpl w:val="CE30AF7E"/>
    <w:lvl w:ilvl="0" w:tplc="48427FB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4" w15:restartNumberingAfterBreak="0">
    <w:nsid w:val="472D5003"/>
    <w:multiLevelType w:val="multilevel"/>
    <w:tmpl w:val="C9101300"/>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Letter"/>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5" w15:restartNumberingAfterBreak="0">
    <w:nsid w:val="48827374"/>
    <w:multiLevelType w:val="multilevel"/>
    <w:tmpl w:val="37B6BD36"/>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6" w15:restartNumberingAfterBreak="0">
    <w:nsid w:val="49352F4E"/>
    <w:multiLevelType w:val="multilevel"/>
    <w:tmpl w:val="CBF8673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7"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8"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79" w15:restartNumberingAfterBreak="0">
    <w:nsid w:val="4AFB36B8"/>
    <w:multiLevelType w:val="hybridMultilevel"/>
    <w:tmpl w:val="C9A8B764"/>
    <w:lvl w:ilvl="0" w:tplc="F4863EA4">
      <w:start w:val="1"/>
      <w:numFmt w:val="bullet"/>
      <w:lvlText w:val=""/>
      <w:lvlJc w:val="left"/>
      <w:pPr>
        <w:ind w:left="2160" w:hanging="360"/>
      </w:pPr>
      <w:rPr>
        <w:rFonts w:ascii="Symbol" w:hAnsi="Symbol"/>
      </w:rPr>
    </w:lvl>
    <w:lvl w:ilvl="1" w:tplc="A6AA7366">
      <w:start w:val="1"/>
      <w:numFmt w:val="bullet"/>
      <w:lvlText w:val=""/>
      <w:lvlJc w:val="left"/>
      <w:pPr>
        <w:ind w:left="2160" w:hanging="360"/>
      </w:pPr>
      <w:rPr>
        <w:rFonts w:ascii="Symbol" w:hAnsi="Symbol"/>
      </w:rPr>
    </w:lvl>
    <w:lvl w:ilvl="2" w:tplc="A50AF3BC">
      <w:start w:val="1"/>
      <w:numFmt w:val="bullet"/>
      <w:lvlText w:val=""/>
      <w:lvlJc w:val="left"/>
      <w:pPr>
        <w:ind w:left="2160" w:hanging="360"/>
      </w:pPr>
      <w:rPr>
        <w:rFonts w:ascii="Symbol" w:hAnsi="Symbol"/>
      </w:rPr>
    </w:lvl>
    <w:lvl w:ilvl="3" w:tplc="3C806B96">
      <w:start w:val="1"/>
      <w:numFmt w:val="bullet"/>
      <w:lvlText w:val=""/>
      <w:lvlJc w:val="left"/>
      <w:pPr>
        <w:ind w:left="2160" w:hanging="360"/>
      </w:pPr>
      <w:rPr>
        <w:rFonts w:ascii="Symbol" w:hAnsi="Symbol"/>
      </w:rPr>
    </w:lvl>
    <w:lvl w:ilvl="4" w:tplc="B784C1F0">
      <w:start w:val="1"/>
      <w:numFmt w:val="bullet"/>
      <w:lvlText w:val=""/>
      <w:lvlJc w:val="left"/>
      <w:pPr>
        <w:ind w:left="2160" w:hanging="360"/>
      </w:pPr>
      <w:rPr>
        <w:rFonts w:ascii="Symbol" w:hAnsi="Symbol"/>
      </w:rPr>
    </w:lvl>
    <w:lvl w:ilvl="5" w:tplc="AB1E1712">
      <w:start w:val="1"/>
      <w:numFmt w:val="bullet"/>
      <w:lvlText w:val=""/>
      <w:lvlJc w:val="left"/>
      <w:pPr>
        <w:ind w:left="2160" w:hanging="360"/>
      </w:pPr>
      <w:rPr>
        <w:rFonts w:ascii="Symbol" w:hAnsi="Symbol"/>
      </w:rPr>
    </w:lvl>
    <w:lvl w:ilvl="6" w:tplc="8FD2FFB0">
      <w:start w:val="1"/>
      <w:numFmt w:val="bullet"/>
      <w:lvlText w:val=""/>
      <w:lvlJc w:val="left"/>
      <w:pPr>
        <w:ind w:left="2160" w:hanging="360"/>
      </w:pPr>
      <w:rPr>
        <w:rFonts w:ascii="Symbol" w:hAnsi="Symbol"/>
      </w:rPr>
    </w:lvl>
    <w:lvl w:ilvl="7" w:tplc="CD92F0A6">
      <w:start w:val="1"/>
      <w:numFmt w:val="bullet"/>
      <w:lvlText w:val=""/>
      <w:lvlJc w:val="left"/>
      <w:pPr>
        <w:ind w:left="2160" w:hanging="360"/>
      </w:pPr>
      <w:rPr>
        <w:rFonts w:ascii="Symbol" w:hAnsi="Symbol"/>
      </w:rPr>
    </w:lvl>
    <w:lvl w:ilvl="8" w:tplc="A1FE033C">
      <w:start w:val="1"/>
      <w:numFmt w:val="bullet"/>
      <w:lvlText w:val=""/>
      <w:lvlJc w:val="left"/>
      <w:pPr>
        <w:ind w:left="2160" w:hanging="360"/>
      </w:pPr>
      <w:rPr>
        <w:rFonts w:ascii="Symbol" w:hAnsi="Symbol"/>
      </w:rPr>
    </w:lvl>
  </w:abstractNum>
  <w:abstractNum w:abstractNumId="80" w15:restartNumberingAfterBreak="0">
    <w:nsid w:val="4C2561FF"/>
    <w:multiLevelType w:val="multilevel"/>
    <w:tmpl w:val="A0DA5AC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1"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82" w15:restartNumberingAfterBreak="0">
    <w:nsid w:val="4ED75189"/>
    <w:multiLevelType w:val="hybridMultilevel"/>
    <w:tmpl w:val="4196706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84" w15:restartNumberingAfterBreak="0">
    <w:nsid w:val="502F63D9"/>
    <w:multiLevelType w:val="hybridMultilevel"/>
    <w:tmpl w:val="0E0E8A00"/>
    <w:lvl w:ilvl="0" w:tplc="66AA1758">
      <w:start w:val="1"/>
      <w:numFmt w:val="lowerLetter"/>
      <w:lvlText w:val="(%1)"/>
      <w:lvlJc w:val="left"/>
      <w:pPr>
        <w:ind w:left="700" w:hanging="360"/>
      </w:pPr>
      <w:rPr>
        <w:rFonts w:hint="default"/>
      </w:rPr>
    </w:lvl>
    <w:lvl w:ilvl="1" w:tplc="CAF49CE8">
      <w:start w:val="1"/>
      <w:numFmt w:val="lowerRoman"/>
      <w:lvlText w:val="(%2)"/>
      <w:lvlJc w:val="right"/>
      <w:pPr>
        <w:ind w:left="1420" w:hanging="360"/>
      </w:pPr>
      <w:rPr>
        <w:rFonts w:asciiTheme="minorHAnsi" w:eastAsia="Times New Roman" w:hAnsiTheme="minorHAnsi" w:cs="Times New Roman"/>
      </w:rPr>
    </w:lvl>
    <w:lvl w:ilvl="2" w:tplc="8B42FCD4">
      <w:start w:val="2"/>
      <w:numFmt w:val="lowerRoman"/>
      <w:lvlText w:val="(%3)"/>
      <w:lvlJc w:val="left"/>
      <w:pPr>
        <w:ind w:left="2680" w:hanging="720"/>
      </w:pPr>
      <w:rPr>
        <w:rFonts w:hint="default"/>
      </w:rPr>
    </w:lvl>
    <w:lvl w:ilvl="3" w:tplc="0C09000F" w:tentative="1">
      <w:start w:val="1"/>
      <w:numFmt w:val="decimal"/>
      <w:lvlText w:val="%4."/>
      <w:lvlJc w:val="left"/>
      <w:pPr>
        <w:ind w:left="2860" w:hanging="360"/>
      </w:pPr>
    </w:lvl>
    <w:lvl w:ilvl="4" w:tplc="0C090019" w:tentative="1">
      <w:start w:val="1"/>
      <w:numFmt w:val="lowerLetter"/>
      <w:lvlText w:val="%5."/>
      <w:lvlJc w:val="left"/>
      <w:pPr>
        <w:ind w:left="3580" w:hanging="360"/>
      </w:pPr>
    </w:lvl>
    <w:lvl w:ilvl="5" w:tplc="0C09001B" w:tentative="1">
      <w:start w:val="1"/>
      <w:numFmt w:val="lowerRoman"/>
      <w:lvlText w:val="%6."/>
      <w:lvlJc w:val="right"/>
      <w:pPr>
        <w:ind w:left="4300" w:hanging="180"/>
      </w:pPr>
    </w:lvl>
    <w:lvl w:ilvl="6" w:tplc="0C09000F" w:tentative="1">
      <w:start w:val="1"/>
      <w:numFmt w:val="decimal"/>
      <w:lvlText w:val="%7."/>
      <w:lvlJc w:val="left"/>
      <w:pPr>
        <w:ind w:left="5020" w:hanging="360"/>
      </w:pPr>
    </w:lvl>
    <w:lvl w:ilvl="7" w:tplc="0C090019" w:tentative="1">
      <w:start w:val="1"/>
      <w:numFmt w:val="lowerLetter"/>
      <w:lvlText w:val="%8."/>
      <w:lvlJc w:val="left"/>
      <w:pPr>
        <w:ind w:left="5740" w:hanging="360"/>
      </w:pPr>
    </w:lvl>
    <w:lvl w:ilvl="8" w:tplc="0C09001B" w:tentative="1">
      <w:start w:val="1"/>
      <w:numFmt w:val="lowerRoman"/>
      <w:lvlText w:val="%9."/>
      <w:lvlJc w:val="right"/>
      <w:pPr>
        <w:ind w:left="6460" w:hanging="180"/>
      </w:pPr>
    </w:lvl>
  </w:abstractNum>
  <w:abstractNum w:abstractNumId="85" w15:restartNumberingAfterBreak="0">
    <w:nsid w:val="51A44A30"/>
    <w:multiLevelType w:val="multilevel"/>
    <w:tmpl w:val="896C5878"/>
    <w:styleLink w:val="Style1"/>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6" w15:restartNumberingAfterBreak="0">
    <w:nsid w:val="520541BB"/>
    <w:multiLevelType w:val="multilevel"/>
    <w:tmpl w:val="CC2E79A2"/>
    <w:lvl w:ilvl="0">
      <w:start w:val="1"/>
      <w:numFmt w:val="decimal"/>
      <w:lvlText w:val="(%1)"/>
      <w:lvlJc w:val="left"/>
      <w:pPr>
        <w:tabs>
          <w:tab w:val="num" w:pos="360"/>
        </w:tabs>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7"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88" w15:restartNumberingAfterBreak="0">
    <w:nsid w:val="531F1600"/>
    <w:multiLevelType w:val="hybridMultilevel"/>
    <w:tmpl w:val="45BA61A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9"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90" w15:restartNumberingAfterBreak="0">
    <w:nsid w:val="55D16FDF"/>
    <w:multiLevelType w:val="hybridMultilevel"/>
    <w:tmpl w:val="2BBC347A"/>
    <w:lvl w:ilvl="0" w:tplc="48427FB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1" w15:restartNumberingAfterBreak="0">
    <w:nsid w:val="56E43A6C"/>
    <w:multiLevelType w:val="hybridMultilevel"/>
    <w:tmpl w:val="1BA020C0"/>
    <w:lvl w:ilvl="0" w:tplc="AC467276">
      <w:start w:val="1"/>
      <w:numFmt w:val="lowerLetter"/>
      <w:lvlText w:val="%1)"/>
      <w:lvlJc w:val="left"/>
      <w:pPr>
        <w:ind w:left="1440" w:hanging="360"/>
      </w:pPr>
    </w:lvl>
    <w:lvl w:ilvl="1" w:tplc="A0AC59CE">
      <w:start w:val="1"/>
      <w:numFmt w:val="lowerLetter"/>
      <w:lvlText w:val="%2)"/>
      <w:lvlJc w:val="left"/>
      <w:pPr>
        <w:ind w:left="1440" w:hanging="360"/>
      </w:pPr>
    </w:lvl>
    <w:lvl w:ilvl="2" w:tplc="92567DD8">
      <w:start w:val="1"/>
      <w:numFmt w:val="lowerLetter"/>
      <w:lvlText w:val="%3)"/>
      <w:lvlJc w:val="left"/>
      <w:pPr>
        <w:ind w:left="1440" w:hanging="360"/>
      </w:pPr>
    </w:lvl>
    <w:lvl w:ilvl="3" w:tplc="46D85B8A">
      <w:start w:val="1"/>
      <w:numFmt w:val="lowerLetter"/>
      <w:lvlText w:val="%4)"/>
      <w:lvlJc w:val="left"/>
      <w:pPr>
        <w:ind w:left="1440" w:hanging="360"/>
      </w:pPr>
    </w:lvl>
    <w:lvl w:ilvl="4" w:tplc="2CE0EE2A">
      <w:start w:val="1"/>
      <w:numFmt w:val="lowerLetter"/>
      <w:lvlText w:val="%5)"/>
      <w:lvlJc w:val="left"/>
      <w:pPr>
        <w:ind w:left="1440" w:hanging="360"/>
      </w:pPr>
    </w:lvl>
    <w:lvl w:ilvl="5" w:tplc="57F2731E">
      <w:start w:val="1"/>
      <w:numFmt w:val="lowerLetter"/>
      <w:lvlText w:val="%6)"/>
      <w:lvlJc w:val="left"/>
      <w:pPr>
        <w:ind w:left="1440" w:hanging="360"/>
      </w:pPr>
    </w:lvl>
    <w:lvl w:ilvl="6" w:tplc="B6C64726">
      <w:start w:val="1"/>
      <w:numFmt w:val="lowerLetter"/>
      <w:lvlText w:val="%7)"/>
      <w:lvlJc w:val="left"/>
      <w:pPr>
        <w:ind w:left="1440" w:hanging="360"/>
      </w:pPr>
    </w:lvl>
    <w:lvl w:ilvl="7" w:tplc="10E6B830">
      <w:start w:val="1"/>
      <w:numFmt w:val="lowerLetter"/>
      <w:lvlText w:val="%8)"/>
      <w:lvlJc w:val="left"/>
      <w:pPr>
        <w:ind w:left="1440" w:hanging="360"/>
      </w:pPr>
    </w:lvl>
    <w:lvl w:ilvl="8" w:tplc="B06A8878">
      <w:start w:val="1"/>
      <w:numFmt w:val="lowerLetter"/>
      <w:lvlText w:val="%9)"/>
      <w:lvlJc w:val="left"/>
      <w:pPr>
        <w:ind w:left="1440" w:hanging="360"/>
      </w:pPr>
    </w:lvl>
  </w:abstractNum>
  <w:abstractNum w:abstractNumId="92" w15:restartNumberingAfterBreak="0">
    <w:nsid w:val="575400F1"/>
    <w:multiLevelType w:val="multilevel"/>
    <w:tmpl w:val="CC2E79A2"/>
    <w:lvl w:ilvl="0">
      <w:start w:val="1"/>
      <w:numFmt w:val="decimal"/>
      <w:lvlText w:val="(%1)"/>
      <w:lvlJc w:val="left"/>
      <w:pPr>
        <w:tabs>
          <w:tab w:val="num" w:pos="360"/>
        </w:tabs>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3"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94" w15:restartNumberingAfterBreak="0">
    <w:nsid w:val="595B3997"/>
    <w:multiLevelType w:val="hybridMultilevel"/>
    <w:tmpl w:val="3A8210A6"/>
    <w:lvl w:ilvl="0" w:tplc="07E2E6DC">
      <w:start w:val="1"/>
      <w:numFmt w:val="lowerLetter"/>
      <w:lvlText w:val="(%1)"/>
      <w:lvlJc w:val="left"/>
      <w:pPr>
        <w:ind w:left="720" w:hanging="360"/>
      </w:pPr>
      <w:rPr>
        <w:rFonts w:asciiTheme="minorHAnsi" w:eastAsia="Times New Roman" w:hAnsiTheme="minorHAnsi" w:cs="Times New Roman"/>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5"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96" w15:restartNumberingAfterBreak="0">
    <w:nsid w:val="5A233508"/>
    <w:multiLevelType w:val="multilevel"/>
    <w:tmpl w:val="A0DA5AC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7" w15:restartNumberingAfterBreak="0">
    <w:nsid w:val="5AC74514"/>
    <w:multiLevelType w:val="hybridMultilevel"/>
    <w:tmpl w:val="CE30AF7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9" w15:restartNumberingAfterBreak="0">
    <w:nsid w:val="5B120312"/>
    <w:multiLevelType w:val="hybridMultilevel"/>
    <w:tmpl w:val="C77EA0FA"/>
    <w:lvl w:ilvl="0" w:tplc="48427FB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0"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01"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02" w15:restartNumberingAfterBreak="0">
    <w:nsid w:val="5CBF4889"/>
    <w:multiLevelType w:val="multilevel"/>
    <w:tmpl w:val="AD52C98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right"/>
      <w:pPr>
        <w:ind w:left="1080" w:hanging="360"/>
      </w:pPr>
      <w:rPr>
        <w:rFonts w:asciiTheme="minorHAnsi" w:eastAsia="Times New Roman" w:hAnsiTheme="minorHAnsi"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3" w15:restartNumberingAfterBreak="0">
    <w:nsid w:val="5F5C16A8"/>
    <w:multiLevelType w:val="multilevel"/>
    <w:tmpl w:val="6720978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right"/>
      <w:pPr>
        <w:ind w:left="1080" w:hanging="360"/>
      </w:pPr>
      <w:rPr>
        <w:rFonts w:asciiTheme="minorHAnsi" w:eastAsia="Times New Roman" w:hAnsiTheme="minorHAnsi"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4" w15:restartNumberingAfterBreak="0">
    <w:nsid w:val="5FBF71A9"/>
    <w:multiLevelType w:val="hybridMultilevel"/>
    <w:tmpl w:val="23946AA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5" w15:restartNumberingAfterBreak="0">
    <w:nsid w:val="608763DD"/>
    <w:multiLevelType w:val="hybridMultilevel"/>
    <w:tmpl w:val="3B940DBC"/>
    <w:lvl w:ilvl="0" w:tplc="2EC25474">
      <w:start w:val="1"/>
      <w:numFmt w:val="lowerLetter"/>
      <w:lvlText w:val="(%1)"/>
      <w:lvlJc w:val="left"/>
      <w:pPr>
        <w:ind w:left="700" w:hanging="360"/>
      </w:pPr>
      <w:rPr>
        <w:rFonts w:hint="default"/>
      </w:rPr>
    </w:lvl>
    <w:lvl w:ilvl="1" w:tplc="0C090019" w:tentative="1">
      <w:start w:val="1"/>
      <w:numFmt w:val="lowerLetter"/>
      <w:lvlText w:val="%2."/>
      <w:lvlJc w:val="left"/>
      <w:pPr>
        <w:ind w:left="1420" w:hanging="360"/>
      </w:pPr>
    </w:lvl>
    <w:lvl w:ilvl="2" w:tplc="0C09001B" w:tentative="1">
      <w:start w:val="1"/>
      <w:numFmt w:val="lowerRoman"/>
      <w:lvlText w:val="%3."/>
      <w:lvlJc w:val="right"/>
      <w:pPr>
        <w:ind w:left="2140" w:hanging="180"/>
      </w:pPr>
    </w:lvl>
    <w:lvl w:ilvl="3" w:tplc="0C09000F" w:tentative="1">
      <w:start w:val="1"/>
      <w:numFmt w:val="decimal"/>
      <w:lvlText w:val="%4."/>
      <w:lvlJc w:val="left"/>
      <w:pPr>
        <w:ind w:left="2860" w:hanging="360"/>
      </w:pPr>
    </w:lvl>
    <w:lvl w:ilvl="4" w:tplc="0C090019" w:tentative="1">
      <w:start w:val="1"/>
      <w:numFmt w:val="lowerLetter"/>
      <w:lvlText w:val="%5."/>
      <w:lvlJc w:val="left"/>
      <w:pPr>
        <w:ind w:left="3580" w:hanging="360"/>
      </w:pPr>
    </w:lvl>
    <w:lvl w:ilvl="5" w:tplc="0C09001B" w:tentative="1">
      <w:start w:val="1"/>
      <w:numFmt w:val="lowerRoman"/>
      <w:lvlText w:val="%6."/>
      <w:lvlJc w:val="right"/>
      <w:pPr>
        <w:ind w:left="4300" w:hanging="180"/>
      </w:pPr>
    </w:lvl>
    <w:lvl w:ilvl="6" w:tplc="0C09000F" w:tentative="1">
      <w:start w:val="1"/>
      <w:numFmt w:val="decimal"/>
      <w:lvlText w:val="%7."/>
      <w:lvlJc w:val="left"/>
      <w:pPr>
        <w:ind w:left="5020" w:hanging="360"/>
      </w:pPr>
    </w:lvl>
    <w:lvl w:ilvl="7" w:tplc="0C090019" w:tentative="1">
      <w:start w:val="1"/>
      <w:numFmt w:val="lowerLetter"/>
      <w:lvlText w:val="%8."/>
      <w:lvlJc w:val="left"/>
      <w:pPr>
        <w:ind w:left="5740" w:hanging="360"/>
      </w:pPr>
    </w:lvl>
    <w:lvl w:ilvl="8" w:tplc="0C09001B" w:tentative="1">
      <w:start w:val="1"/>
      <w:numFmt w:val="lowerRoman"/>
      <w:lvlText w:val="%9."/>
      <w:lvlJc w:val="right"/>
      <w:pPr>
        <w:ind w:left="6460" w:hanging="180"/>
      </w:pPr>
    </w:lvl>
  </w:abstractNum>
  <w:abstractNum w:abstractNumId="106"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107" w15:restartNumberingAfterBreak="0">
    <w:nsid w:val="64751F50"/>
    <w:multiLevelType w:val="multilevel"/>
    <w:tmpl w:val="2C5C545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8"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09" w15:restartNumberingAfterBreak="0">
    <w:nsid w:val="64D62589"/>
    <w:multiLevelType w:val="hybridMultilevel"/>
    <w:tmpl w:val="8EE0C686"/>
    <w:lvl w:ilvl="0" w:tplc="FBBAD9D6">
      <w:start w:val="1"/>
      <w:numFmt w:val="lowerLetter"/>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10" w15:restartNumberingAfterBreak="0">
    <w:nsid w:val="64D764F2"/>
    <w:multiLevelType w:val="multilevel"/>
    <w:tmpl w:val="6720978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right"/>
      <w:pPr>
        <w:ind w:left="1080" w:hanging="360"/>
      </w:pPr>
      <w:rPr>
        <w:rFonts w:asciiTheme="minorHAnsi" w:eastAsia="Times New Roman" w:hAnsiTheme="minorHAnsi"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1"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112" w15:restartNumberingAfterBreak="0">
    <w:nsid w:val="658F6B6F"/>
    <w:multiLevelType w:val="hybridMultilevel"/>
    <w:tmpl w:val="2C4A61C2"/>
    <w:lvl w:ilvl="0" w:tplc="48427FB8">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 w15:restartNumberingAfterBreak="0">
    <w:nsid w:val="659D0075"/>
    <w:multiLevelType w:val="hybridMultilevel"/>
    <w:tmpl w:val="FCD4DE7C"/>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4" w15:restartNumberingAfterBreak="0">
    <w:nsid w:val="684A3D51"/>
    <w:multiLevelType w:val="hybridMultilevel"/>
    <w:tmpl w:val="23946AA4"/>
    <w:lvl w:ilvl="0" w:tplc="48427FB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5" w15:restartNumberingAfterBreak="0">
    <w:nsid w:val="68CD46BF"/>
    <w:multiLevelType w:val="hybridMultilevel"/>
    <w:tmpl w:val="01522852"/>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6" w15:restartNumberingAfterBreak="0">
    <w:nsid w:val="6C571A26"/>
    <w:multiLevelType w:val="hybridMultilevel"/>
    <w:tmpl w:val="7D8A8D84"/>
    <w:lvl w:ilvl="0" w:tplc="FFFFFFFF">
      <w:start w:val="1"/>
      <w:numFmt w:val="lowerLetter"/>
      <w:lvlText w:val="(%1)"/>
      <w:lvlJc w:val="left"/>
      <w:pPr>
        <w:ind w:left="700" w:hanging="360"/>
      </w:pPr>
      <w:rPr>
        <w:rFonts w:hint="default"/>
      </w:rPr>
    </w:lvl>
    <w:lvl w:ilvl="1" w:tplc="FFFFFFFF" w:tentative="1">
      <w:start w:val="1"/>
      <w:numFmt w:val="lowerLetter"/>
      <w:lvlText w:val="%2."/>
      <w:lvlJc w:val="left"/>
      <w:pPr>
        <w:ind w:left="1420" w:hanging="360"/>
      </w:pPr>
    </w:lvl>
    <w:lvl w:ilvl="2" w:tplc="FFFFFFFF" w:tentative="1">
      <w:start w:val="1"/>
      <w:numFmt w:val="lowerRoman"/>
      <w:lvlText w:val="%3."/>
      <w:lvlJc w:val="right"/>
      <w:pPr>
        <w:ind w:left="2140" w:hanging="180"/>
      </w:pPr>
    </w:lvl>
    <w:lvl w:ilvl="3" w:tplc="FFFFFFFF" w:tentative="1">
      <w:start w:val="1"/>
      <w:numFmt w:val="decimal"/>
      <w:lvlText w:val="%4."/>
      <w:lvlJc w:val="left"/>
      <w:pPr>
        <w:ind w:left="2860" w:hanging="360"/>
      </w:pPr>
    </w:lvl>
    <w:lvl w:ilvl="4" w:tplc="FFFFFFFF" w:tentative="1">
      <w:start w:val="1"/>
      <w:numFmt w:val="lowerLetter"/>
      <w:lvlText w:val="%5."/>
      <w:lvlJc w:val="left"/>
      <w:pPr>
        <w:ind w:left="3580" w:hanging="360"/>
      </w:pPr>
    </w:lvl>
    <w:lvl w:ilvl="5" w:tplc="FFFFFFFF" w:tentative="1">
      <w:start w:val="1"/>
      <w:numFmt w:val="lowerRoman"/>
      <w:lvlText w:val="%6."/>
      <w:lvlJc w:val="right"/>
      <w:pPr>
        <w:ind w:left="4300" w:hanging="180"/>
      </w:pPr>
    </w:lvl>
    <w:lvl w:ilvl="6" w:tplc="FFFFFFFF" w:tentative="1">
      <w:start w:val="1"/>
      <w:numFmt w:val="decimal"/>
      <w:lvlText w:val="%7."/>
      <w:lvlJc w:val="left"/>
      <w:pPr>
        <w:ind w:left="5020" w:hanging="360"/>
      </w:pPr>
    </w:lvl>
    <w:lvl w:ilvl="7" w:tplc="FFFFFFFF" w:tentative="1">
      <w:start w:val="1"/>
      <w:numFmt w:val="lowerLetter"/>
      <w:lvlText w:val="%8."/>
      <w:lvlJc w:val="left"/>
      <w:pPr>
        <w:ind w:left="5740" w:hanging="360"/>
      </w:pPr>
    </w:lvl>
    <w:lvl w:ilvl="8" w:tplc="FFFFFFFF" w:tentative="1">
      <w:start w:val="1"/>
      <w:numFmt w:val="lowerRoman"/>
      <w:lvlText w:val="%9."/>
      <w:lvlJc w:val="right"/>
      <w:pPr>
        <w:ind w:left="6460" w:hanging="180"/>
      </w:pPr>
    </w:lvl>
  </w:abstractNum>
  <w:abstractNum w:abstractNumId="117" w15:restartNumberingAfterBreak="0">
    <w:nsid w:val="6C7344F9"/>
    <w:multiLevelType w:val="multilevel"/>
    <w:tmpl w:val="6720978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right"/>
      <w:pPr>
        <w:ind w:left="1080" w:hanging="360"/>
      </w:pPr>
      <w:rPr>
        <w:rFonts w:asciiTheme="minorHAnsi" w:eastAsia="Times New Roman" w:hAnsiTheme="minorHAnsi"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6D5827D7"/>
    <w:multiLevelType w:val="hybridMultilevel"/>
    <w:tmpl w:val="510A5B2A"/>
    <w:lvl w:ilvl="0" w:tplc="48427FB8">
      <w:start w:val="1"/>
      <w:numFmt w:val="lowerLetter"/>
      <w:lvlText w:val="(%1)"/>
      <w:lvlJc w:val="left"/>
      <w:pPr>
        <w:ind w:left="643" w:hanging="360"/>
      </w:pPr>
      <w:rPr>
        <w:rFonts w:hint="default"/>
      </w:rPr>
    </w:lvl>
    <w:lvl w:ilvl="1" w:tplc="0C090019" w:tentative="1">
      <w:start w:val="1"/>
      <w:numFmt w:val="lowerLetter"/>
      <w:lvlText w:val="%2."/>
      <w:lvlJc w:val="left"/>
      <w:pPr>
        <w:ind w:left="1363" w:hanging="360"/>
      </w:pPr>
    </w:lvl>
    <w:lvl w:ilvl="2" w:tplc="0C09001B" w:tentative="1">
      <w:start w:val="1"/>
      <w:numFmt w:val="lowerRoman"/>
      <w:lvlText w:val="%3."/>
      <w:lvlJc w:val="right"/>
      <w:pPr>
        <w:ind w:left="2083" w:hanging="180"/>
      </w:pPr>
    </w:lvl>
    <w:lvl w:ilvl="3" w:tplc="0C09000F" w:tentative="1">
      <w:start w:val="1"/>
      <w:numFmt w:val="decimal"/>
      <w:lvlText w:val="%4."/>
      <w:lvlJc w:val="left"/>
      <w:pPr>
        <w:ind w:left="2803" w:hanging="360"/>
      </w:pPr>
    </w:lvl>
    <w:lvl w:ilvl="4" w:tplc="0C090019" w:tentative="1">
      <w:start w:val="1"/>
      <w:numFmt w:val="lowerLetter"/>
      <w:lvlText w:val="%5."/>
      <w:lvlJc w:val="left"/>
      <w:pPr>
        <w:ind w:left="3523" w:hanging="360"/>
      </w:pPr>
    </w:lvl>
    <w:lvl w:ilvl="5" w:tplc="0C09001B" w:tentative="1">
      <w:start w:val="1"/>
      <w:numFmt w:val="lowerRoman"/>
      <w:lvlText w:val="%6."/>
      <w:lvlJc w:val="right"/>
      <w:pPr>
        <w:ind w:left="4243" w:hanging="180"/>
      </w:pPr>
    </w:lvl>
    <w:lvl w:ilvl="6" w:tplc="0C09000F" w:tentative="1">
      <w:start w:val="1"/>
      <w:numFmt w:val="decimal"/>
      <w:lvlText w:val="%7."/>
      <w:lvlJc w:val="left"/>
      <w:pPr>
        <w:ind w:left="4963" w:hanging="360"/>
      </w:pPr>
    </w:lvl>
    <w:lvl w:ilvl="7" w:tplc="0C090019" w:tentative="1">
      <w:start w:val="1"/>
      <w:numFmt w:val="lowerLetter"/>
      <w:lvlText w:val="%8."/>
      <w:lvlJc w:val="left"/>
      <w:pPr>
        <w:ind w:left="5683" w:hanging="360"/>
      </w:pPr>
    </w:lvl>
    <w:lvl w:ilvl="8" w:tplc="0C09001B" w:tentative="1">
      <w:start w:val="1"/>
      <w:numFmt w:val="lowerRoman"/>
      <w:lvlText w:val="%9."/>
      <w:lvlJc w:val="right"/>
      <w:pPr>
        <w:ind w:left="6403" w:hanging="180"/>
      </w:pPr>
    </w:lvl>
  </w:abstractNum>
  <w:abstractNum w:abstractNumId="119" w15:restartNumberingAfterBreak="0">
    <w:nsid w:val="6F89339C"/>
    <w:multiLevelType w:val="hybridMultilevel"/>
    <w:tmpl w:val="326E10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0"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121" w15:restartNumberingAfterBreak="0">
    <w:nsid w:val="70554476"/>
    <w:multiLevelType w:val="hybridMultilevel"/>
    <w:tmpl w:val="3C0275E8"/>
    <w:lvl w:ilvl="0" w:tplc="25F0EC2C">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2" w15:restartNumberingAfterBreak="0">
    <w:nsid w:val="70960085"/>
    <w:multiLevelType w:val="multilevel"/>
    <w:tmpl w:val="402C243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3" w15:restartNumberingAfterBreak="0">
    <w:nsid w:val="71B15290"/>
    <w:multiLevelType w:val="hybridMultilevel"/>
    <w:tmpl w:val="4196706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 w15:restartNumberingAfterBreak="0">
    <w:nsid w:val="73F66DD3"/>
    <w:multiLevelType w:val="multilevel"/>
    <w:tmpl w:val="F97E1DF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right"/>
      <w:pPr>
        <w:ind w:left="1080" w:hanging="360"/>
      </w:pPr>
      <w:rPr>
        <w:rFonts w:asciiTheme="minorHAnsi" w:eastAsia="Times New Roman" w:hAnsiTheme="minorHAnsi"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5"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126"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7" w15:restartNumberingAfterBreak="0">
    <w:nsid w:val="769F0E27"/>
    <w:multiLevelType w:val="hybridMultilevel"/>
    <w:tmpl w:val="4196706E"/>
    <w:lvl w:ilvl="0" w:tplc="48427FB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8" w15:restartNumberingAfterBreak="0">
    <w:nsid w:val="7734551A"/>
    <w:multiLevelType w:val="hybridMultilevel"/>
    <w:tmpl w:val="B5480F1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 w15:restartNumberingAfterBreak="0">
    <w:nsid w:val="77486956"/>
    <w:multiLevelType w:val="hybridMultilevel"/>
    <w:tmpl w:val="B5480F18"/>
    <w:lvl w:ilvl="0" w:tplc="48427FB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0" w15:restartNumberingAfterBreak="0">
    <w:nsid w:val="79DB20E7"/>
    <w:multiLevelType w:val="multilevel"/>
    <w:tmpl w:val="2864D15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1" w15:restartNumberingAfterBreak="0">
    <w:nsid w:val="7A462703"/>
    <w:multiLevelType w:val="multilevel"/>
    <w:tmpl w:val="9C66A146"/>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2" w15:restartNumberingAfterBreak="0">
    <w:nsid w:val="7B054985"/>
    <w:multiLevelType w:val="hybridMultilevel"/>
    <w:tmpl w:val="4196706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3" w15:restartNumberingAfterBreak="0">
    <w:nsid w:val="7B176517"/>
    <w:multiLevelType w:val="multilevel"/>
    <w:tmpl w:val="5720D4E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4" w15:restartNumberingAfterBreak="0">
    <w:nsid w:val="7D284207"/>
    <w:multiLevelType w:val="multilevel"/>
    <w:tmpl w:val="1CBCB1EE"/>
    <w:name w:val="Lst_HighlightBullets"/>
    <w:lvl w:ilvl="0">
      <w:start w:val="1"/>
      <w:numFmt w:val="bullet"/>
      <w:lvlRestart w:val="0"/>
      <w:pStyle w:val="HighlightBoxBullet"/>
      <w:lvlText w:val=""/>
      <w:lvlJc w:val="left"/>
      <w:pPr>
        <w:ind w:left="454" w:hanging="227"/>
      </w:pPr>
      <w:rPr>
        <w:rFonts w:ascii="Wingdings" w:hAnsi="Wingdings"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135" w15:restartNumberingAfterBreak="0">
    <w:nsid w:val="7DD40602"/>
    <w:multiLevelType w:val="multilevel"/>
    <w:tmpl w:val="F97E1DF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right"/>
      <w:pPr>
        <w:ind w:left="1080" w:hanging="360"/>
      </w:pPr>
      <w:rPr>
        <w:rFonts w:asciiTheme="minorHAnsi" w:eastAsia="Times New Roman" w:hAnsiTheme="minorHAnsi"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6" w15:restartNumberingAfterBreak="0">
    <w:nsid w:val="7DDE0A7B"/>
    <w:multiLevelType w:val="hybridMultilevel"/>
    <w:tmpl w:val="A0D82132"/>
    <w:lvl w:ilvl="0" w:tplc="25F0EC2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7"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138" w15:restartNumberingAfterBreak="0">
    <w:nsid w:val="7EC92CA9"/>
    <w:multiLevelType w:val="hybridMultilevel"/>
    <w:tmpl w:val="4196706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9" w15:restartNumberingAfterBreak="0">
    <w:nsid w:val="7F4831CD"/>
    <w:multiLevelType w:val="hybridMultilevel"/>
    <w:tmpl w:val="6FEAC32E"/>
    <w:lvl w:ilvl="0" w:tplc="48427FB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128745877">
    <w:abstractNumId w:val="31"/>
  </w:num>
  <w:num w:numId="2" w16cid:durableId="985085104">
    <w:abstractNumId w:val="27"/>
  </w:num>
  <w:num w:numId="3" w16cid:durableId="336812815">
    <w:abstractNumId w:val="72"/>
  </w:num>
  <w:num w:numId="4" w16cid:durableId="155153463">
    <w:abstractNumId w:val="0"/>
  </w:num>
  <w:num w:numId="5" w16cid:durableId="1428236886">
    <w:abstractNumId w:val="78"/>
  </w:num>
  <w:num w:numId="6" w16cid:durableId="103154041">
    <w:abstractNumId w:val="83"/>
  </w:num>
  <w:num w:numId="7" w16cid:durableId="1308436166">
    <w:abstractNumId w:val="77"/>
  </w:num>
  <w:num w:numId="8" w16cid:durableId="1335643199">
    <w:abstractNumId w:val="100"/>
  </w:num>
  <w:num w:numId="9" w16cid:durableId="1160577431">
    <w:abstractNumId w:val="81"/>
  </w:num>
  <w:num w:numId="10" w16cid:durableId="1673139647">
    <w:abstractNumId w:val="48"/>
  </w:num>
  <w:num w:numId="11" w16cid:durableId="1742215375">
    <w:abstractNumId w:val="134"/>
  </w:num>
  <w:num w:numId="12" w16cid:durableId="664823544">
    <w:abstractNumId w:val="120"/>
  </w:num>
  <w:num w:numId="13" w16cid:durableId="1019552863">
    <w:abstractNumId w:val="35"/>
  </w:num>
  <w:num w:numId="14" w16cid:durableId="1796682124">
    <w:abstractNumId w:val="60"/>
  </w:num>
  <w:num w:numId="15" w16cid:durableId="1284270218">
    <w:abstractNumId w:val="38"/>
  </w:num>
  <w:num w:numId="16" w16cid:durableId="68623006">
    <w:abstractNumId w:val="11"/>
  </w:num>
  <w:num w:numId="17" w16cid:durableId="1705716525">
    <w:abstractNumId w:val="69"/>
  </w:num>
  <w:num w:numId="18" w16cid:durableId="1906062800">
    <w:abstractNumId w:val="85"/>
  </w:num>
  <w:num w:numId="19" w16cid:durableId="1235627930">
    <w:abstractNumId w:val="58"/>
  </w:num>
  <w:num w:numId="20" w16cid:durableId="726147144">
    <w:abstractNumId w:val="14"/>
  </w:num>
  <w:num w:numId="21" w16cid:durableId="1109618852">
    <w:abstractNumId w:val="118"/>
  </w:num>
  <w:num w:numId="22" w16cid:durableId="675881026">
    <w:abstractNumId w:val="84"/>
  </w:num>
  <w:num w:numId="23" w16cid:durableId="1125199447">
    <w:abstractNumId w:val="109"/>
  </w:num>
  <w:num w:numId="24" w16cid:durableId="2065060259">
    <w:abstractNumId w:val="61"/>
  </w:num>
  <w:num w:numId="25" w16cid:durableId="1062827553">
    <w:abstractNumId w:val="105"/>
  </w:num>
  <w:num w:numId="26" w16cid:durableId="514265670">
    <w:abstractNumId w:val="136"/>
  </w:num>
  <w:num w:numId="27" w16cid:durableId="1487890627">
    <w:abstractNumId w:val="94"/>
  </w:num>
  <w:num w:numId="28" w16cid:durableId="1438331639">
    <w:abstractNumId w:val="121"/>
  </w:num>
  <w:num w:numId="29" w16cid:durableId="1339623668">
    <w:abstractNumId w:val="53"/>
  </w:num>
  <w:num w:numId="30" w16cid:durableId="1026097906">
    <w:abstractNumId w:val="45"/>
  </w:num>
  <w:num w:numId="31" w16cid:durableId="682050692">
    <w:abstractNumId w:val="40"/>
  </w:num>
  <w:num w:numId="32" w16cid:durableId="1082487160">
    <w:abstractNumId w:val="75"/>
  </w:num>
  <w:num w:numId="33" w16cid:durableId="174342244">
    <w:abstractNumId w:val="130"/>
  </w:num>
  <w:num w:numId="34" w16cid:durableId="1671758319">
    <w:abstractNumId w:val="80"/>
  </w:num>
  <w:num w:numId="35" w16cid:durableId="714357244">
    <w:abstractNumId w:val="39"/>
  </w:num>
  <w:num w:numId="36" w16cid:durableId="1086145130">
    <w:abstractNumId w:val="24"/>
  </w:num>
  <w:num w:numId="37" w16cid:durableId="430704763">
    <w:abstractNumId w:val="67"/>
  </w:num>
  <w:num w:numId="38" w16cid:durableId="53818255">
    <w:abstractNumId w:val="29"/>
  </w:num>
  <w:num w:numId="39" w16cid:durableId="1122266718">
    <w:abstractNumId w:val="107"/>
  </w:num>
  <w:num w:numId="40" w16cid:durableId="2145076073">
    <w:abstractNumId w:val="19"/>
  </w:num>
  <w:num w:numId="41" w16cid:durableId="1428575643">
    <w:abstractNumId w:val="116"/>
  </w:num>
  <w:num w:numId="42" w16cid:durableId="1817451922">
    <w:abstractNumId w:val="26"/>
  </w:num>
  <w:num w:numId="43" w16cid:durableId="1111823689">
    <w:abstractNumId w:val="47"/>
  </w:num>
  <w:num w:numId="44" w16cid:durableId="1744642431">
    <w:abstractNumId w:val="74"/>
  </w:num>
  <w:num w:numId="45" w16cid:durableId="1426685018">
    <w:abstractNumId w:val="103"/>
  </w:num>
  <w:num w:numId="46" w16cid:durableId="918707755">
    <w:abstractNumId w:val="59"/>
  </w:num>
  <w:num w:numId="47" w16cid:durableId="1342930368">
    <w:abstractNumId w:val="8"/>
  </w:num>
  <w:num w:numId="48" w16cid:durableId="684135647">
    <w:abstractNumId w:val="102"/>
  </w:num>
  <w:num w:numId="49" w16cid:durableId="1473987985">
    <w:abstractNumId w:val="21"/>
  </w:num>
  <w:num w:numId="50" w16cid:durableId="179246749">
    <w:abstractNumId w:val="63"/>
  </w:num>
  <w:num w:numId="51" w16cid:durableId="334576229">
    <w:abstractNumId w:val="133"/>
  </w:num>
  <w:num w:numId="52" w16cid:durableId="1006598389">
    <w:abstractNumId w:val="4"/>
  </w:num>
  <w:num w:numId="53" w16cid:durableId="1276670247">
    <w:abstractNumId w:val="115"/>
  </w:num>
  <w:num w:numId="54" w16cid:durableId="1761754967">
    <w:abstractNumId w:val="42"/>
  </w:num>
  <w:num w:numId="55" w16cid:durableId="1460418843">
    <w:abstractNumId w:val="5"/>
  </w:num>
  <w:num w:numId="56" w16cid:durableId="687562157">
    <w:abstractNumId w:val="37"/>
  </w:num>
  <w:num w:numId="57" w16cid:durableId="738985676">
    <w:abstractNumId w:val="22"/>
  </w:num>
  <w:num w:numId="58" w16cid:durableId="1490290878">
    <w:abstractNumId w:val="15"/>
  </w:num>
  <w:num w:numId="59" w16cid:durableId="1429234022">
    <w:abstractNumId w:val="99"/>
  </w:num>
  <w:num w:numId="60" w16cid:durableId="600528946">
    <w:abstractNumId w:val="36"/>
  </w:num>
  <w:num w:numId="61" w16cid:durableId="1304308715">
    <w:abstractNumId w:val="71"/>
  </w:num>
  <w:num w:numId="62" w16cid:durableId="1073549107">
    <w:abstractNumId w:val="113"/>
  </w:num>
  <w:num w:numId="63" w16cid:durableId="1331710176">
    <w:abstractNumId w:val="3"/>
  </w:num>
  <w:num w:numId="64" w16cid:durableId="36039626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711686112">
    <w:abstractNumId w:val="131"/>
  </w:num>
  <w:num w:numId="66" w16cid:durableId="1567953417">
    <w:abstractNumId w:val="32"/>
  </w:num>
  <w:num w:numId="67" w16cid:durableId="56903984">
    <w:abstractNumId w:val="129"/>
  </w:num>
  <w:num w:numId="68" w16cid:durableId="1828395804">
    <w:abstractNumId w:val="52"/>
  </w:num>
  <w:num w:numId="69" w16cid:durableId="1847282298">
    <w:abstractNumId w:val="139"/>
  </w:num>
  <w:num w:numId="70" w16cid:durableId="905340415">
    <w:abstractNumId w:val="135"/>
  </w:num>
  <w:num w:numId="71" w16cid:durableId="2038919092">
    <w:abstractNumId w:val="25"/>
  </w:num>
  <w:num w:numId="72" w16cid:durableId="810027156">
    <w:abstractNumId w:val="90"/>
  </w:num>
  <w:num w:numId="73" w16cid:durableId="1886211894">
    <w:abstractNumId w:val="86"/>
  </w:num>
  <w:num w:numId="74" w16cid:durableId="1540779757">
    <w:abstractNumId w:val="51"/>
  </w:num>
  <w:num w:numId="75" w16cid:durableId="1802533815">
    <w:abstractNumId w:val="114"/>
  </w:num>
  <w:num w:numId="76" w16cid:durableId="1175920257">
    <w:abstractNumId w:val="10"/>
  </w:num>
  <w:num w:numId="77" w16cid:durableId="978264899">
    <w:abstractNumId w:val="127"/>
  </w:num>
  <w:num w:numId="78" w16cid:durableId="1802377178">
    <w:abstractNumId w:val="73"/>
  </w:num>
  <w:num w:numId="79" w16cid:durableId="1416246820">
    <w:abstractNumId w:val="112"/>
  </w:num>
  <w:num w:numId="80" w16cid:durableId="201136332">
    <w:abstractNumId w:val="122"/>
  </w:num>
  <w:num w:numId="81" w16cid:durableId="347830982">
    <w:abstractNumId w:val="124"/>
  </w:num>
  <w:num w:numId="82" w16cid:durableId="235552037">
    <w:abstractNumId w:val="76"/>
  </w:num>
  <w:num w:numId="83" w16cid:durableId="977959072">
    <w:abstractNumId w:val="96"/>
  </w:num>
  <w:num w:numId="84" w16cid:durableId="751782866">
    <w:abstractNumId w:val="45"/>
  </w:num>
  <w:num w:numId="85" w16cid:durableId="2108571531">
    <w:abstractNumId w:val="17"/>
  </w:num>
  <w:num w:numId="86" w16cid:durableId="1091312434">
    <w:abstractNumId w:val="46"/>
  </w:num>
  <w:num w:numId="87" w16cid:durableId="952712489">
    <w:abstractNumId w:val="65"/>
  </w:num>
  <w:num w:numId="88" w16cid:durableId="26950243">
    <w:abstractNumId w:val="138"/>
  </w:num>
  <w:num w:numId="89" w16cid:durableId="244387096">
    <w:abstractNumId w:val="128"/>
  </w:num>
  <w:num w:numId="90" w16cid:durableId="611666478">
    <w:abstractNumId w:val="50"/>
  </w:num>
  <w:num w:numId="91" w16cid:durableId="1766071280">
    <w:abstractNumId w:val="110"/>
  </w:num>
  <w:num w:numId="92" w16cid:durableId="774713193">
    <w:abstractNumId w:val="28"/>
  </w:num>
  <w:num w:numId="93" w16cid:durableId="650061926">
    <w:abstractNumId w:val="104"/>
  </w:num>
  <w:num w:numId="94" w16cid:durableId="578448299">
    <w:abstractNumId w:val="62"/>
  </w:num>
  <w:num w:numId="95" w16cid:durableId="677342455">
    <w:abstractNumId w:val="132"/>
  </w:num>
  <w:num w:numId="96" w16cid:durableId="1153444854">
    <w:abstractNumId w:val="97"/>
  </w:num>
  <w:num w:numId="97" w16cid:durableId="615672172">
    <w:abstractNumId w:val="13"/>
  </w:num>
  <w:num w:numId="98" w16cid:durableId="2067289857">
    <w:abstractNumId w:val="16"/>
  </w:num>
  <w:num w:numId="99" w16cid:durableId="1330057779">
    <w:abstractNumId w:val="119"/>
  </w:num>
  <w:num w:numId="100" w16cid:durableId="1090810412">
    <w:abstractNumId w:val="2"/>
  </w:num>
  <w:num w:numId="101" w16cid:durableId="924803335">
    <w:abstractNumId w:val="123"/>
  </w:num>
  <w:num w:numId="102" w16cid:durableId="1074820052">
    <w:abstractNumId w:val="82"/>
  </w:num>
  <w:num w:numId="103" w16cid:durableId="923563761">
    <w:abstractNumId w:val="79"/>
  </w:num>
  <w:num w:numId="104" w16cid:durableId="1084691019">
    <w:abstractNumId w:val="30"/>
  </w:num>
  <w:num w:numId="105" w16cid:durableId="227571096">
    <w:abstractNumId w:val="70"/>
  </w:num>
  <w:num w:numId="106" w16cid:durableId="2041084424">
    <w:abstractNumId w:val="18"/>
  </w:num>
  <w:num w:numId="107" w16cid:durableId="1888495350">
    <w:abstractNumId w:val="91"/>
  </w:num>
  <w:num w:numId="108" w16cid:durableId="1443182174">
    <w:abstractNumId w:val="92"/>
  </w:num>
  <w:num w:numId="109" w16cid:durableId="1942257567">
    <w:abstractNumId w:val="43"/>
  </w:num>
  <w:num w:numId="110" w16cid:durableId="821770526">
    <w:abstractNumId w:val="88"/>
  </w:num>
  <w:num w:numId="111" w16cid:durableId="981277820">
    <w:abstractNumId w:val="64"/>
  </w:num>
  <w:num w:numId="112" w16cid:durableId="304088641">
    <w:abstractNumId w:val="33"/>
  </w:num>
  <w:num w:numId="113" w16cid:durableId="1509830771">
    <w:abstractNumId w:val="117"/>
  </w:num>
  <w:num w:numId="114" w16cid:durableId="1286503673">
    <w:abstractNumId w:val="66"/>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ocumentProtection w:formatting="1" w:enforcement="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2"/>
    <w:docVar w:name="ColourTheme" w:val="Colourful"/>
    <w:docVar w:name="ContentiousSubject" w:val="False"/>
    <w:docVar w:name="CoverCoBranded" w:val="False"/>
    <w:docVar w:name="CoverLayout" w:val="One"/>
    <w:docVar w:name="CoverProjectBar" w:val="True"/>
    <w:docVar w:name="CoverWebAddress" w:val="True"/>
    <w:docVar w:name="DCP" w:val="False"/>
    <w:docVar w:name="Endnote" w:val="False"/>
    <w:docVar w:name="Endnotes" w:val="True"/>
    <w:docVar w:name="Engevity-CustomTemplates" w:val="True"/>
    <w:docVar w:name="ESCaption" w:val="ES"/>
    <w:docVar w:name="FooterTextAuto" w:val="Fals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Theme Color" w:val="Corporate"/>
    <w:docVar w:name="TOC" w:val="True"/>
    <w:docVar w:name="TOCNew" w:val="True"/>
    <w:docVar w:name="TOCType" w:val="Normal"/>
    <w:docVar w:name="UpdateTheme" w:val="False"/>
    <w:docVar w:name="Watermark" w:val="Draft"/>
    <w:docVar w:name="xAppendixName" w:val="Appendix"/>
    <w:docVar w:name="xHeadingsNumbered" w:val="False"/>
    <w:docVar w:name="xTOCApp" w:val="S"/>
    <w:docVar w:name="xTOCFigure" w:val="H"/>
    <w:docVar w:name="xTOCH2" w:val="Y"/>
    <w:docVar w:name="xTOCH3" w:val="Y"/>
    <w:docVar w:name="xTOCH4" w:val="Y"/>
    <w:docVar w:name="xTOCTable" w:val="H"/>
  </w:docVars>
  <w:rsids>
    <w:rsidRoot w:val="002143CB"/>
    <w:rsid w:val="000000ED"/>
    <w:rsid w:val="00000194"/>
    <w:rsid w:val="000004C7"/>
    <w:rsid w:val="00000812"/>
    <w:rsid w:val="00000901"/>
    <w:rsid w:val="00000B29"/>
    <w:rsid w:val="00000D99"/>
    <w:rsid w:val="000010E1"/>
    <w:rsid w:val="0000111B"/>
    <w:rsid w:val="000013C2"/>
    <w:rsid w:val="000015E4"/>
    <w:rsid w:val="00001628"/>
    <w:rsid w:val="0000167D"/>
    <w:rsid w:val="00001878"/>
    <w:rsid w:val="00001914"/>
    <w:rsid w:val="00001B40"/>
    <w:rsid w:val="00001BCC"/>
    <w:rsid w:val="00001C84"/>
    <w:rsid w:val="00001D58"/>
    <w:rsid w:val="00001D81"/>
    <w:rsid w:val="00001F94"/>
    <w:rsid w:val="000025EC"/>
    <w:rsid w:val="00002691"/>
    <w:rsid w:val="0000278E"/>
    <w:rsid w:val="00002A94"/>
    <w:rsid w:val="00002BE5"/>
    <w:rsid w:val="00002D58"/>
    <w:rsid w:val="0000303B"/>
    <w:rsid w:val="00003260"/>
    <w:rsid w:val="000035F6"/>
    <w:rsid w:val="00003687"/>
    <w:rsid w:val="00003A2B"/>
    <w:rsid w:val="00003AC3"/>
    <w:rsid w:val="00003E6B"/>
    <w:rsid w:val="00003E71"/>
    <w:rsid w:val="00004218"/>
    <w:rsid w:val="00004327"/>
    <w:rsid w:val="00004810"/>
    <w:rsid w:val="00004A68"/>
    <w:rsid w:val="00004EEE"/>
    <w:rsid w:val="00005311"/>
    <w:rsid w:val="000058A9"/>
    <w:rsid w:val="00005918"/>
    <w:rsid w:val="000059EF"/>
    <w:rsid w:val="00005C17"/>
    <w:rsid w:val="00005CCD"/>
    <w:rsid w:val="00005ECA"/>
    <w:rsid w:val="0000620A"/>
    <w:rsid w:val="00006668"/>
    <w:rsid w:val="00006884"/>
    <w:rsid w:val="000068CA"/>
    <w:rsid w:val="00006B22"/>
    <w:rsid w:val="00006BB7"/>
    <w:rsid w:val="00006D0D"/>
    <w:rsid w:val="00006FC7"/>
    <w:rsid w:val="0000736B"/>
    <w:rsid w:val="00007456"/>
    <w:rsid w:val="0000752F"/>
    <w:rsid w:val="00007559"/>
    <w:rsid w:val="000075F3"/>
    <w:rsid w:val="0000763A"/>
    <w:rsid w:val="000077EC"/>
    <w:rsid w:val="000079CF"/>
    <w:rsid w:val="00007A11"/>
    <w:rsid w:val="00007B5D"/>
    <w:rsid w:val="00007DF2"/>
    <w:rsid w:val="00010207"/>
    <w:rsid w:val="000105A9"/>
    <w:rsid w:val="00010B2D"/>
    <w:rsid w:val="00010BB1"/>
    <w:rsid w:val="00010EDF"/>
    <w:rsid w:val="000112BF"/>
    <w:rsid w:val="000112CD"/>
    <w:rsid w:val="00011741"/>
    <w:rsid w:val="0001178E"/>
    <w:rsid w:val="00011836"/>
    <w:rsid w:val="000118CD"/>
    <w:rsid w:val="00011B5A"/>
    <w:rsid w:val="00011C29"/>
    <w:rsid w:val="00011F46"/>
    <w:rsid w:val="0001216C"/>
    <w:rsid w:val="00012266"/>
    <w:rsid w:val="000125A5"/>
    <w:rsid w:val="000126B4"/>
    <w:rsid w:val="00012720"/>
    <w:rsid w:val="000128AB"/>
    <w:rsid w:val="0001294B"/>
    <w:rsid w:val="00012AFB"/>
    <w:rsid w:val="00012BCD"/>
    <w:rsid w:val="00012D6E"/>
    <w:rsid w:val="00012FAF"/>
    <w:rsid w:val="0001307F"/>
    <w:rsid w:val="00013173"/>
    <w:rsid w:val="000131FD"/>
    <w:rsid w:val="000133B3"/>
    <w:rsid w:val="00013442"/>
    <w:rsid w:val="00013462"/>
    <w:rsid w:val="000134CC"/>
    <w:rsid w:val="0001371B"/>
    <w:rsid w:val="00013764"/>
    <w:rsid w:val="000137C7"/>
    <w:rsid w:val="000138D6"/>
    <w:rsid w:val="0001398A"/>
    <w:rsid w:val="000139F9"/>
    <w:rsid w:val="00013C91"/>
    <w:rsid w:val="00013F5D"/>
    <w:rsid w:val="00013F7B"/>
    <w:rsid w:val="000147D8"/>
    <w:rsid w:val="00014AD2"/>
    <w:rsid w:val="00014BBA"/>
    <w:rsid w:val="00014D8D"/>
    <w:rsid w:val="00014F11"/>
    <w:rsid w:val="000152AC"/>
    <w:rsid w:val="000155A6"/>
    <w:rsid w:val="00015625"/>
    <w:rsid w:val="00015655"/>
    <w:rsid w:val="00015DEC"/>
    <w:rsid w:val="00016084"/>
    <w:rsid w:val="000160DB"/>
    <w:rsid w:val="00016299"/>
    <w:rsid w:val="0001645A"/>
    <w:rsid w:val="00016927"/>
    <w:rsid w:val="00016D1E"/>
    <w:rsid w:val="00016F11"/>
    <w:rsid w:val="00016F4D"/>
    <w:rsid w:val="0001701E"/>
    <w:rsid w:val="000173BC"/>
    <w:rsid w:val="00017A37"/>
    <w:rsid w:val="00017D53"/>
    <w:rsid w:val="00017E78"/>
    <w:rsid w:val="00020069"/>
    <w:rsid w:val="000200A9"/>
    <w:rsid w:val="00020158"/>
    <w:rsid w:val="00020166"/>
    <w:rsid w:val="000201D5"/>
    <w:rsid w:val="000202A8"/>
    <w:rsid w:val="00020425"/>
    <w:rsid w:val="0002048A"/>
    <w:rsid w:val="0002054F"/>
    <w:rsid w:val="0002057F"/>
    <w:rsid w:val="0002078C"/>
    <w:rsid w:val="00020A83"/>
    <w:rsid w:val="00020D21"/>
    <w:rsid w:val="00020D6F"/>
    <w:rsid w:val="00021277"/>
    <w:rsid w:val="00021300"/>
    <w:rsid w:val="000217E5"/>
    <w:rsid w:val="00021839"/>
    <w:rsid w:val="00021897"/>
    <w:rsid w:val="00021972"/>
    <w:rsid w:val="00021F13"/>
    <w:rsid w:val="0002207F"/>
    <w:rsid w:val="00022728"/>
    <w:rsid w:val="00022CB5"/>
    <w:rsid w:val="00022FC9"/>
    <w:rsid w:val="0002313E"/>
    <w:rsid w:val="0002329C"/>
    <w:rsid w:val="000233FF"/>
    <w:rsid w:val="00023619"/>
    <w:rsid w:val="00023947"/>
    <w:rsid w:val="00024727"/>
    <w:rsid w:val="00024DE5"/>
    <w:rsid w:val="00024E15"/>
    <w:rsid w:val="00024F9A"/>
    <w:rsid w:val="00024FCC"/>
    <w:rsid w:val="0002541E"/>
    <w:rsid w:val="000254ED"/>
    <w:rsid w:val="00025664"/>
    <w:rsid w:val="0002586C"/>
    <w:rsid w:val="00025B17"/>
    <w:rsid w:val="00026285"/>
    <w:rsid w:val="000265B0"/>
    <w:rsid w:val="000265EA"/>
    <w:rsid w:val="000265F2"/>
    <w:rsid w:val="00026DA1"/>
    <w:rsid w:val="00026DC2"/>
    <w:rsid w:val="00026F6C"/>
    <w:rsid w:val="00027019"/>
    <w:rsid w:val="000273C5"/>
    <w:rsid w:val="00027519"/>
    <w:rsid w:val="0002789B"/>
    <w:rsid w:val="00027958"/>
    <w:rsid w:val="00030105"/>
    <w:rsid w:val="00030371"/>
    <w:rsid w:val="000304AC"/>
    <w:rsid w:val="000308EA"/>
    <w:rsid w:val="00030A02"/>
    <w:rsid w:val="00030A38"/>
    <w:rsid w:val="00031240"/>
    <w:rsid w:val="0003160B"/>
    <w:rsid w:val="000320EF"/>
    <w:rsid w:val="00032101"/>
    <w:rsid w:val="00032409"/>
    <w:rsid w:val="0003246D"/>
    <w:rsid w:val="0003272D"/>
    <w:rsid w:val="00032761"/>
    <w:rsid w:val="000328C1"/>
    <w:rsid w:val="00032D79"/>
    <w:rsid w:val="00032DCB"/>
    <w:rsid w:val="00032F9F"/>
    <w:rsid w:val="0003300C"/>
    <w:rsid w:val="000330B4"/>
    <w:rsid w:val="00033152"/>
    <w:rsid w:val="000332EC"/>
    <w:rsid w:val="0003351A"/>
    <w:rsid w:val="000337A3"/>
    <w:rsid w:val="00033B27"/>
    <w:rsid w:val="00033B66"/>
    <w:rsid w:val="00033BB6"/>
    <w:rsid w:val="00033EFD"/>
    <w:rsid w:val="00034130"/>
    <w:rsid w:val="000343D3"/>
    <w:rsid w:val="00034522"/>
    <w:rsid w:val="000346D1"/>
    <w:rsid w:val="000347D9"/>
    <w:rsid w:val="000348E3"/>
    <w:rsid w:val="00034E7A"/>
    <w:rsid w:val="000351B2"/>
    <w:rsid w:val="000355E6"/>
    <w:rsid w:val="0003565D"/>
    <w:rsid w:val="00035890"/>
    <w:rsid w:val="00035C91"/>
    <w:rsid w:val="00035F50"/>
    <w:rsid w:val="00036026"/>
    <w:rsid w:val="00036064"/>
    <w:rsid w:val="000360F2"/>
    <w:rsid w:val="00036121"/>
    <w:rsid w:val="000365E1"/>
    <w:rsid w:val="000365EC"/>
    <w:rsid w:val="00036D45"/>
    <w:rsid w:val="00037104"/>
    <w:rsid w:val="00037321"/>
    <w:rsid w:val="000373C7"/>
    <w:rsid w:val="000374E9"/>
    <w:rsid w:val="00037526"/>
    <w:rsid w:val="00037830"/>
    <w:rsid w:val="000379E8"/>
    <w:rsid w:val="00037A9F"/>
    <w:rsid w:val="00037BE3"/>
    <w:rsid w:val="00037F96"/>
    <w:rsid w:val="0004048F"/>
    <w:rsid w:val="000408B7"/>
    <w:rsid w:val="00040E63"/>
    <w:rsid w:val="00040E84"/>
    <w:rsid w:val="00040EB4"/>
    <w:rsid w:val="000411A2"/>
    <w:rsid w:val="0004123E"/>
    <w:rsid w:val="00041613"/>
    <w:rsid w:val="000419AF"/>
    <w:rsid w:val="00041B06"/>
    <w:rsid w:val="00041F4D"/>
    <w:rsid w:val="000420CC"/>
    <w:rsid w:val="0004230B"/>
    <w:rsid w:val="000426E5"/>
    <w:rsid w:val="00042903"/>
    <w:rsid w:val="000437CD"/>
    <w:rsid w:val="000439ED"/>
    <w:rsid w:val="00043A23"/>
    <w:rsid w:val="00043C97"/>
    <w:rsid w:val="00043E25"/>
    <w:rsid w:val="00043E83"/>
    <w:rsid w:val="00043F27"/>
    <w:rsid w:val="00043FEB"/>
    <w:rsid w:val="00044607"/>
    <w:rsid w:val="00044704"/>
    <w:rsid w:val="00044812"/>
    <w:rsid w:val="00044958"/>
    <w:rsid w:val="00044A5B"/>
    <w:rsid w:val="00044AA7"/>
    <w:rsid w:val="00044AEC"/>
    <w:rsid w:val="00044BC5"/>
    <w:rsid w:val="00044F4B"/>
    <w:rsid w:val="0004519C"/>
    <w:rsid w:val="00045425"/>
    <w:rsid w:val="00045452"/>
    <w:rsid w:val="0004562A"/>
    <w:rsid w:val="000456CE"/>
    <w:rsid w:val="00045F83"/>
    <w:rsid w:val="0004603D"/>
    <w:rsid w:val="000463B8"/>
    <w:rsid w:val="0004667F"/>
    <w:rsid w:val="0004675A"/>
    <w:rsid w:val="00046760"/>
    <w:rsid w:val="000468A6"/>
    <w:rsid w:val="00046A52"/>
    <w:rsid w:val="00046C03"/>
    <w:rsid w:val="00046F44"/>
    <w:rsid w:val="00046FF9"/>
    <w:rsid w:val="000470CF"/>
    <w:rsid w:val="0004714E"/>
    <w:rsid w:val="000471BE"/>
    <w:rsid w:val="0004737B"/>
    <w:rsid w:val="000473F4"/>
    <w:rsid w:val="000476AE"/>
    <w:rsid w:val="00050100"/>
    <w:rsid w:val="00050713"/>
    <w:rsid w:val="00050D54"/>
    <w:rsid w:val="00050F0B"/>
    <w:rsid w:val="0005120D"/>
    <w:rsid w:val="000516EB"/>
    <w:rsid w:val="00051838"/>
    <w:rsid w:val="00051BFC"/>
    <w:rsid w:val="00051D5C"/>
    <w:rsid w:val="0005221E"/>
    <w:rsid w:val="00052315"/>
    <w:rsid w:val="0005236E"/>
    <w:rsid w:val="00052454"/>
    <w:rsid w:val="0005252A"/>
    <w:rsid w:val="000527BD"/>
    <w:rsid w:val="00052830"/>
    <w:rsid w:val="000528CB"/>
    <w:rsid w:val="00052CA3"/>
    <w:rsid w:val="00052D03"/>
    <w:rsid w:val="00052FB1"/>
    <w:rsid w:val="000531C8"/>
    <w:rsid w:val="0005337E"/>
    <w:rsid w:val="000534B8"/>
    <w:rsid w:val="00053703"/>
    <w:rsid w:val="0005386C"/>
    <w:rsid w:val="00053B94"/>
    <w:rsid w:val="00053C58"/>
    <w:rsid w:val="00053CC3"/>
    <w:rsid w:val="00053CD2"/>
    <w:rsid w:val="00053D34"/>
    <w:rsid w:val="000540C0"/>
    <w:rsid w:val="00054288"/>
    <w:rsid w:val="00054325"/>
    <w:rsid w:val="00054A64"/>
    <w:rsid w:val="00054BA8"/>
    <w:rsid w:val="00054C61"/>
    <w:rsid w:val="00054F2F"/>
    <w:rsid w:val="00055151"/>
    <w:rsid w:val="00055500"/>
    <w:rsid w:val="00055734"/>
    <w:rsid w:val="0005578D"/>
    <w:rsid w:val="00055A62"/>
    <w:rsid w:val="00055EE5"/>
    <w:rsid w:val="00056024"/>
    <w:rsid w:val="00056675"/>
    <w:rsid w:val="00056A5D"/>
    <w:rsid w:val="00056A81"/>
    <w:rsid w:val="00056C25"/>
    <w:rsid w:val="00056F9E"/>
    <w:rsid w:val="00057029"/>
    <w:rsid w:val="0005749D"/>
    <w:rsid w:val="000574CC"/>
    <w:rsid w:val="000574DD"/>
    <w:rsid w:val="000575BA"/>
    <w:rsid w:val="00057776"/>
    <w:rsid w:val="00057EB4"/>
    <w:rsid w:val="00060109"/>
    <w:rsid w:val="000602CC"/>
    <w:rsid w:val="00060384"/>
    <w:rsid w:val="00060ABE"/>
    <w:rsid w:val="00060ADB"/>
    <w:rsid w:val="00060B81"/>
    <w:rsid w:val="00060B9F"/>
    <w:rsid w:val="00060CAB"/>
    <w:rsid w:val="00060F5C"/>
    <w:rsid w:val="000610DD"/>
    <w:rsid w:val="000611FB"/>
    <w:rsid w:val="0006129A"/>
    <w:rsid w:val="0006141F"/>
    <w:rsid w:val="000614A6"/>
    <w:rsid w:val="00061986"/>
    <w:rsid w:val="00061C77"/>
    <w:rsid w:val="0006263F"/>
    <w:rsid w:val="00062BC8"/>
    <w:rsid w:val="00062C24"/>
    <w:rsid w:val="000634B5"/>
    <w:rsid w:val="000636FD"/>
    <w:rsid w:val="00063A7B"/>
    <w:rsid w:val="000640D5"/>
    <w:rsid w:val="00064148"/>
    <w:rsid w:val="000645D3"/>
    <w:rsid w:val="00064684"/>
    <w:rsid w:val="00064813"/>
    <w:rsid w:val="000649D5"/>
    <w:rsid w:val="00064A60"/>
    <w:rsid w:val="00064AD3"/>
    <w:rsid w:val="00064E68"/>
    <w:rsid w:val="000652E0"/>
    <w:rsid w:val="00065A3D"/>
    <w:rsid w:val="00065C88"/>
    <w:rsid w:val="00066060"/>
    <w:rsid w:val="0006651D"/>
    <w:rsid w:val="00066A4B"/>
    <w:rsid w:val="00066BD0"/>
    <w:rsid w:val="00066D49"/>
    <w:rsid w:val="0006707D"/>
    <w:rsid w:val="000671E8"/>
    <w:rsid w:val="000672C6"/>
    <w:rsid w:val="000678FF"/>
    <w:rsid w:val="00067A41"/>
    <w:rsid w:val="00067A55"/>
    <w:rsid w:val="00067B0C"/>
    <w:rsid w:val="00067EEC"/>
    <w:rsid w:val="00070773"/>
    <w:rsid w:val="000707CA"/>
    <w:rsid w:val="0007095A"/>
    <w:rsid w:val="000709F5"/>
    <w:rsid w:val="00070A66"/>
    <w:rsid w:val="00070B05"/>
    <w:rsid w:val="00070C1F"/>
    <w:rsid w:val="0007125D"/>
    <w:rsid w:val="00071621"/>
    <w:rsid w:val="0007166A"/>
    <w:rsid w:val="00071E1A"/>
    <w:rsid w:val="00071FC0"/>
    <w:rsid w:val="00072080"/>
    <w:rsid w:val="0007232D"/>
    <w:rsid w:val="0007247D"/>
    <w:rsid w:val="0007268B"/>
    <w:rsid w:val="000727D4"/>
    <w:rsid w:val="00072E7B"/>
    <w:rsid w:val="00072EA3"/>
    <w:rsid w:val="00072EEB"/>
    <w:rsid w:val="000731A9"/>
    <w:rsid w:val="000734A5"/>
    <w:rsid w:val="000738B3"/>
    <w:rsid w:val="00073A06"/>
    <w:rsid w:val="00073C6C"/>
    <w:rsid w:val="00073D57"/>
    <w:rsid w:val="00073EF4"/>
    <w:rsid w:val="00073FC4"/>
    <w:rsid w:val="0007405B"/>
    <w:rsid w:val="00074151"/>
    <w:rsid w:val="0007447A"/>
    <w:rsid w:val="00074537"/>
    <w:rsid w:val="00074EF6"/>
    <w:rsid w:val="0007514C"/>
    <w:rsid w:val="000751D5"/>
    <w:rsid w:val="00075748"/>
    <w:rsid w:val="0007577E"/>
    <w:rsid w:val="000759A7"/>
    <w:rsid w:val="00075B1E"/>
    <w:rsid w:val="00075E0B"/>
    <w:rsid w:val="00075E71"/>
    <w:rsid w:val="00075EC1"/>
    <w:rsid w:val="00075ED8"/>
    <w:rsid w:val="000764DD"/>
    <w:rsid w:val="00076579"/>
    <w:rsid w:val="00076662"/>
    <w:rsid w:val="00076694"/>
    <w:rsid w:val="000766A9"/>
    <w:rsid w:val="00076B5B"/>
    <w:rsid w:val="00076CEC"/>
    <w:rsid w:val="00076D04"/>
    <w:rsid w:val="00076DD1"/>
    <w:rsid w:val="00076F6A"/>
    <w:rsid w:val="000770EF"/>
    <w:rsid w:val="000771C8"/>
    <w:rsid w:val="00077492"/>
    <w:rsid w:val="000774C6"/>
    <w:rsid w:val="00077503"/>
    <w:rsid w:val="00077BDB"/>
    <w:rsid w:val="00077D57"/>
    <w:rsid w:val="00077D6B"/>
    <w:rsid w:val="00080082"/>
    <w:rsid w:val="00080632"/>
    <w:rsid w:val="000809F5"/>
    <w:rsid w:val="00080A77"/>
    <w:rsid w:val="00080B70"/>
    <w:rsid w:val="00080D5A"/>
    <w:rsid w:val="000811BB"/>
    <w:rsid w:val="00081719"/>
    <w:rsid w:val="000817D5"/>
    <w:rsid w:val="00081895"/>
    <w:rsid w:val="00081D78"/>
    <w:rsid w:val="000823F2"/>
    <w:rsid w:val="0008257C"/>
    <w:rsid w:val="0008257E"/>
    <w:rsid w:val="00082585"/>
    <w:rsid w:val="00082701"/>
    <w:rsid w:val="00082CAC"/>
    <w:rsid w:val="00082EEC"/>
    <w:rsid w:val="00082F2B"/>
    <w:rsid w:val="00083038"/>
    <w:rsid w:val="000830F1"/>
    <w:rsid w:val="00083241"/>
    <w:rsid w:val="00083888"/>
    <w:rsid w:val="000838F2"/>
    <w:rsid w:val="00083A3A"/>
    <w:rsid w:val="000840A1"/>
    <w:rsid w:val="00084244"/>
    <w:rsid w:val="0008438B"/>
    <w:rsid w:val="000843B4"/>
    <w:rsid w:val="00084475"/>
    <w:rsid w:val="000848ED"/>
    <w:rsid w:val="00084904"/>
    <w:rsid w:val="00084998"/>
    <w:rsid w:val="00084BFD"/>
    <w:rsid w:val="00084D56"/>
    <w:rsid w:val="00084E5E"/>
    <w:rsid w:val="00085767"/>
    <w:rsid w:val="000858FE"/>
    <w:rsid w:val="00085A8A"/>
    <w:rsid w:val="00085B6D"/>
    <w:rsid w:val="00085BCD"/>
    <w:rsid w:val="00085C88"/>
    <w:rsid w:val="00085E78"/>
    <w:rsid w:val="000860CE"/>
    <w:rsid w:val="00086400"/>
    <w:rsid w:val="00086651"/>
    <w:rsid w:val="00086670"/>
    <w:rsid w:val="00086725"/>
    <w:rsid w:val="0008678B"/>
    <w:rsid w:val="000867A9"/>
    <w:rsid w:val="0008684C"/>
    <w:rsid w:val="00086C5B"/>
    <w:rsid w:val="00086C71"/>
    <w:rsid w:val="00087019"/>
    <w:rsid w:val="00087157"/>
    <w:rsid w:val="0008765C"/>
    <w:rsid w:val="00087706"/>
    <w:rsid w:val="0008781D"/>
    <w:rsid w:val="00087AA2"/>
    <w:rsid w:val="00087B5A"/>
    <w:rsid w:val="00087CE5"/>
    <w:rsid w:val="00087DBC"/>
    <w:rsid w:val="000901DF"/>
    <w:rsid w:val="0009026C"/>
    <w:rsid w:val="000904E1"/>
    <w:rsid w:val="0009064F"/>
    <w:rsid w:val="000906C4"/>
    <w:rsid w:val="00090C31"/>
    <w:rsid w:val="00090C65"/>
    <w:rsid w:val="00090CB5"/>
    <w:rsid w:val="00090D51"/>
    <w:rsid w:val="00090D68"/>
    <w:rsid w:val="00090DE4"/>
    <w:rsid w:val="00090F5A"/>
    <w:rsid w:val="0009129D"/>
    <w:rsid w:val="000913B9"/>
    <w:rsid w:val="000916E9"/>
    <w:rsid w:val="00091C6D"/>
    <w:rsid w:val="00091E67"/>
    <w:rsid w:val="000922A4"/>
    <w:rsid w:val="00092C13"/>
    <w:rsid w:val="00092ECC"/>
    <w:rsid w:val="00092F84"/>
    <w:rsid w:val="00093562"/>
    <w:rsid w:val="00093A74"/>
    <w:rsid w:val="00093AB0"/>
    <w:rsid w:val="00093B2C"/>
    <w:rsid w:val="00093DB2"/>
    <w:rsid w:val="000942A5"/>
    <w:rsid w:val="00094631"/>
    <w:rsid w:val="00094652"/>
    <w:rsid w:val="00094887"/>
    <w:rsid w:val="00094AFD"/>
    <w:rsid w:val="00094C04"/>
    <w:rsid w:val="00094CD2"/>
    <w:rsid w:val="000950A8"/>
    <w:rsid w:val="000950AD"/>
    <w:rsid w:val="0009545B"/>
    <w:rsid w:val="000954EE"/>
    <w:rsid w:val="00095774"/>
    <w:rsid w:val="000957C3"/>
    <w:rsid w:val="00095B03"/>
    <w:rsid w:val="00095BF8"/>
    <w:rsid w:val="00095E93"/>
    <w:rsid w:val="00095EA1"/>
    <w:rsid w:val="0009618E"/>
    <w:rsid w:val="0009636C"/>
    <w:rsid w:val="00096542"/>
    <w:rsid w:val="0009681F"/>
    <w:rsid w:val="00096C8C"/>
    <w:rsid w:val="00096CB2"/>
    <w:rsid w:val="000970DA"/>
    <w:rsid w:val="00097178"/>
    <w:rsid w:val="000971A5"/>
    <w:rsid w:val="00097331"/>
    <w:rsid w:val="000975DB"/>
    <w:rsid w:val="0009787B"/>
    <w:rsid w:val="00097D12"/>
    <w:rsid w:val="00097EEC"/>
    <w:rsid w:val="000A0157"/>
    <w:rsid w:val="000A01E2"/>
    <w:rsid w:val="000A026F"/>
    <w:rsid w:val="000A043A"/>
    <w:rsid w:val="000A053D"/>
    <w:rsid w:val="000A05D9"/>
    <w:rsid w:val="000A0658"/>
    <w:rsid w:val="000A06F1"/>
    <w:rsid w:val="000A0740"/>
    <w:rsid w:val="000A0772"/>
    <w:rsid w:val="000A07D4"/>
    <w:rsid w:val="000A0853"/>
    <w:rsid w:val="000A0D39"/>
    <w:rsid w:val="000A0ECF"/>
    <w:rsid w:val="000A10AE"/>
    <w:rsid w:val="000A12D6"/>
    <w:rsid w:val="000A13C1"/>
    <w:rsid w:val="000A14B0"/>
    <w:rsid w:val="000A1698"/>
    <w:rsid w:val="000A1A10"/>
    <w:rsid w:val="000A1D38"/>
    <w:rsid w:val="000A20CB"/>
    <w:rsid w:val="000A215B"/>
    <w:rsid w:val="000A2251"/>
    <w:rsid w:val="000A22C2"/>
    <w:rsid w:val="000A25A3"/>
    <w:rsid w:val="000A2646"/>
    <w:rsid w:val="000A26FC"/>
    <w:rsid w:val="000A27C0"/>
    <w:rsid w:val="000A2A5F"/>
    <w:rsid w:val="000A2C4F"/>
    <w:rsid w:val="000A2D9E"/>
    <w:rsid w:val="000A2F31"/>
    <w:rsid w:val="000A2FDF"/>
    <w:rsid w:val="000A3203"/>
    <w:rsid w:val="000A33F9"/>
    <w:rsid w:val="000A3E5B"/>
    <w:rsid w:val="000A4178"/>
    <w:rsid w:val="000A43C4"/>
    <w:rsid w:val="000A46F7"/>
    <w:rsid w:val="000A47D0"/>
    <w:rsid w:val="000A47E3"/>
    <w:rsid w:val="000A47E6"/>
    <w:rsid w:val="000A4AA3"/>
    <w:rsid w:val="000A4DD8"/>
    <w:rsid w:val="000A4E24"/>
    <w:rsid w:val="000A5095"/>
    <w:rsid w:val="000A513C"/>
    <w:rsid w:val="000A5264"/>
    <w:rsid w:val="000A5285"/>
    <w:rsid w:val="000A5292"/>
    <w:rsid w:val="000A5593"/>
    <w:rsid w:val="000A55E9"/>
    <w:rsid w:val="000A56AA"/>
    <w:rsid w:val="000A6056"/>
    <w:rsid w:val="000A64D2"/>
    <w:rsid w:val="000A64DF"/>
    <w:rsid w:val="000A65C4"/>
    <w:rsid w:val="000A6A85"/>
    <w:rsid w:val="000A6AD7"/>
    <w:rsid w:val="000A6C98"/>
    <w:rsid w:val="000A6DD5"/>
    <w:rsid w:val="000A7A1F"/>
    <w:rsid w:val="000A7A86"/>
    <w:rsid w:val="000A7AB7"/>
    <w:rsid w:val="000B010B"/>
    <w:rsid w:val="000B02C8"/>
    <w:rsid w:val="000B0460"/>
    <w:rsid w:val="000B04B7"/>
    <w:rsid w:val="000B07C0"/>
    <w:rsid w:val="000B0B2E"/>
    <w:rsid w:val="000B0B95"/>
    <w:rsid w:val="000B0BBA"/>
    <w:rsid w:val="000B0E44"/>
    <w:rsid w:val="000B172B"/>
    <w:rsid w:val="000B1783"/>
    <w:rsid w:val="000B1BA1"/>
    <w:rsid w:val="000B1EF4"/>
    <w:rsid w:val="000B1F02"/>
    <w:rsid w:val="000B1F19"/>
    <w:rsid w:val="000B2770"/>
    <w:rsid w:val="000B2C7D"/>
    <w:rsid w:val="000B2E0D"/>
    <w:rsid w:val="000B2FB3"/>
    <w:rsid w:val="000B30F9"/>
    <w:rsid w:val="000B34AD"/>
    <w:rsid w:val="000B34C5"/>
    <w:rsid w:val="000B3663"/>
    <w:rsid w:val="000B36D8"/>
    <w:rsid w:val="000B39EA"/>
    <w:rsid w:val="000B3A16"/>
    <w:rsid w:val="000B3C51"/>
    <w:rsid w:val="000B3CFB"/>
    <w:rsid w:val="000B3FE0"/>
    <w:rsid w:val="000B436C"/>
    <w:rsid w:val="000B46FF"/>
    <w:rsid w:val="000B497E"/>
    <w:rsid w:val="000B49D0"/>
    <w:rsid w:val="000B49FA"/>
    <w:rsid w:val="000B4D1C"/>
    <w:rsid w:val="000B51BB"/>
    <w:rsid w:val="000B5385"/>
    <w:rsid w:val="000B59CB"/>
    <w:rsid w:val="000B5AC1"/>
    <w:rsid w:val="000B5B63"/>
    <w:rsid w:val="000B5B6D"/>
    <w:rsid w:val="000B5F76"/>
    <w:rsid w:val="000B61C1"/>
    <w:rsid w:val="000B6301"/>
    <w:rsid w:val="000B63EA"/>
    <w:rsid w:val="000B65EE"/>
    <w:rsid w:val="000B690E"/>
    <w:rsid w:val="000B6910"/>
    <w:rsid w:val="000B6A5F"/>
    <w:rsid w:val="000B6C0F"/>
    <w:rsid w:val="000B6E1A"/>
    <w:rsid w:val="000B6E8D"/>
    <w:rsid w:val="000B6EB3"/>
    <w:rsid w:val="000B7145"/>
    <w:rsid w:val="000B7147"/>
    <w:rsid w:val="000B7305"/>
    <w:rsid w:val="000B7438"/>
    <w:rsid w:val="000B74D9"/>
    <w:rsid w:val="000B75CF"/>
    <w:rsid w:val="000B76AE"/>
    <w:rsid w:val="000B794D"/>
    <w:rsid w:val="000B7B75"/>
    <w:rsid w:val="000B7F2A"/>
    <w:rsid w:val="000C0231"/>
    <w:rsid w:val="000C02A7"/>
    <w:rsid w:val="000C02EC"/>
    <w:rsid w:val="000C036C"/>
    <w:rsid w:val="000C0411"/>
    <w:rsid w:val="000C043D"/>
    <w:rsid w:val="000C15F4"/>
    <w:rsid w:val="000C1ECF"/>
    <w:rsid w:val="000C22FC"/>
    <w:rsid w:val="000C254D"/>
    <w:rsid w:val="000C269E"/>
    <w:rsid w:val="000C2994"/>
    <w:rsid w:val="000C2D7C"/>
    <w:rsid w:val="000C3354"/>
    <w:rsid w:val="000C3365"/>
    <w:rsid w:val="000C3390"/>
    <w:rsid w:val="000C3827"/>
    <w:rsid w:val="000C3AE1"/>
    <w:rsid w:val="000C3BCA"/>
    <w:rsid w:val="000C3D97"/>
    <w:rsid w:val="000C4032"/>
    <w:rsid w:val="000C418D"/>
    <w:rsid w:val="000C41E1"/>
    <w:rsid w:val="000C4237"/>
    <w:rsid w:val="000C43B7"/>
    <w:rsid w:val="000C440C"/>
    <w:rsid w:val="000C4598"/>
    <w:rsid w:val="000C45EF"/>
    <w:rsid w:val="000C46FD"/>
    <w:rsid w:val="000C47A3"/>
    <w:rsid w:val="000C4881"/>
    <w:rsid w:val="000C4A68"/>
    <w:rsid w:val="000C4AFB"/>
    <w:rsid w:val="000C50E1"/>
    <w:rsid w:val="000C578B"/>
    <w:rsid w:val="000C585F"/>
    <w:rsid w:val="000C5B12"/>
    <w:rsid w:val="000C5C01"/>
    <w:rsid w:val="000C5D8E"/>
    <w:rsid w:val="000C620E"/>
    <w:rsid w:val="000C6648"/>
    <w:rsid w:val="000C6DAF"/>
    <w:rsid w:val="000C707D"/>
    <w:rsid w:val="000C782D"/>
    <w:rsid w:val="000C7A2D"/>
    <w:rsid w:val="000C7B7A"/>
    <w:rsid w:val="000C7BB4"/>
    <w:rsid w:val="000C7BC2"/>
    <w:rsid w:val="000C7DAC"/>
    <w:rsid w:val="000D01DB"/>
    <w:rsid w:val="000D02C6"/>
    <w:rsid w:val="000D033B"/>
    <w:rsid w:val="000D038D"/>
    <w:rsid w:val="000D0471"/>
    <w:rsid w:val="000D04B1"/>
    <w:rsid w:val="000D04F8"/>
    <w:rsid w:val="000D057E"/>
    <w:rsid w:val="000D068A"/>
    <w:rsid w:val="000D06DC"/>
    <w:rsid w:val="000D07AF"/>
    <w:rsid w:val="000D07DE"/>
    <w:rsid w:val="000D0883"/>
    <w:rsid w:val="000D0A30"/>
    <w:rsid w:val="000D0D89"/>
    <w:rsid w:val="000D0DDA"/>
    <w:rsid w:val="000D0FA2"/>
    <w:rsid w:val="000D1138"/>
    <w:rsid w:val="000D1B50"/>
    <w:rsid w:val="000D1C49"/>
    <w:rsid w:val="000D1CCC"/>
    <w:rsid w:val="000D1DA0"/>
    <w:rsid w:val="000D21BD"/>
    <w:rsid w:val="000D256D"/>
    <w:rsid w:val="000D2591"/>
    <w:rsid w:val="000D2869"/>
    <w:rsid w:val="000D2B3D"/>
    <w:rsid w:val="000D2C1B"/>
    <w:rsid w:val="000D2C73"/>
    <w:rsid w:val="000D2E87"/>
    <w:rsid w:val="000D2E9C"/>
    <w:rsid w:val="000D2ED2"/>
    <w:rsid w:val="000D319F"/>
    <w:rsid w:val="000D3525"/>
    <w:rsid w:val="000D36F9"/>
    <w:rsid w:val="000D3881"/>
    <w:rsid w:val="000D3965"/>
    <w:rsid w:val="000D3CAE"/>
    <w:rsid w:val="000D3DCF"/>
    <w:rsid w:val="000D410C"/>
    <w:rsid w:val="000D487A"/>
    <w:rsid w:val="000D490A"/>
    <w:rsid w:val="000D4996"/>
    <w:rsid w:val="000D4A77"/>
    <w:rsid w:val="000D4AC1"/>
    <w:rsid w:val="000D5000"/>
    <w:rsid w:val="000D5967"/>
    <w:rsid w:val="000D5A41"/>
    <w:rsid w:val="000D5AE6"/>
    <w:rsid w:val="000D5CE1"/>
    <w:rsid w:val="000D6165"/>
    <w:rsid w:val="000D6293"/>
    <w:rsid w:val="000D6417"/>
    <w:rsid w:val="000D6482"/>
    <w:rsid w:val="000D66AF"/>
    <w:rsid w:val="000D6B16"/>
    <w:rsid w:val="000D6C6B"/>
    <w:rsid w:val="000D7227"/>
    <w:rsid w:val="000D73BF"/>
    <w:rsid w:val="000D73C9"/>
    <w:rsid w:val="000D7514"/>
    <w:rsid w:val="000D752F"/>
    <w:rsid w:val="000D771C"/>
    <w:rsid w:val="000D7733"/>
    <w:rsid w:val="000D7956"/>
    <w:rsid w:val="000D7AF3"/>
    <w:rsid w:val="000D7CCF"/>
    <w:rsid w:val="000D7F5B"/>
    <w:rsid w:val="000E0068"/>
    <w:rsid w:val="000E02AD"/>
    <w:rsid w:val="000E0DDB"/>
    <w:rsid w:val="000E0EB0"/>
    <w:rsid w:val="000E105D"/>
    <w:rsid w:val="000E1318"/>
    <w:rsid w:val="000E14CD"/>
    <w:rsid w:val="000E1777"/>
    <w:rsid w:val="000E1816"/>
    <w:rsid w:val="000E1940"/>
    <w:rsid w:val="000E1992"/>
    <w:rsid w:val="000E1FA8"/>
    <w:rsid w:val="000E2239"/>
    <w:rsid w:val="000E22D1"/>
    <w:rsid w:val="000E2852"/>
    <w:rsid w:val="000E2BFA"/>
    <w:rsid w:val="000E2E35"/>
    <w:rsid w:val="000E2F22"/>
    <w:rsid w:val="000E2F7C"/>
    <w:rsid w:val="000E3199"/>
    <w:rsid w:val="000E31AE"/>
    <w:rsid w:val="000E32B3"/>
    <w:rsid w:val="000E3433"/>
    <w:rsid w:val="000E35EE"/>
    <w:rsid w:val="000E37D7"/>
    <w:rsid w:val="000E38AA"/>
    <w:rsid w:val="000E3C36"/>
    <w:rsid w:val="000E3E71"/>
    <w:rsid w:val="000E4126"/>
    <w:rsid w:val="000E4561"/>
    <w:rsid w:val="000E4946"/>
    <w:rsid w:val="000E4BA5"/>
    <w:rsid w:val="000E4CFD"/>
    <w:rsid w:val="000E4D36"/>
    <w:rsid w:val="000E4F94"/>
    <w:rsid w:val="000E5431"/>
    <w:rsid w:val="000E545E"/>
    <w:rsid w:val="000E57A7"/>
    <w:rsid w:val="000E57E7"/>
    <w:rsid w:val="000E594A"/>
    <w:rsid w:val="000E5A0E"/>
    <w:rsid w:val="000E5AAB"/>
    <w:rsid w:val="000E5B9F"/>
    <w:rsid w:val="000E60F1"/>
    <w:rsid w:val="000E63C6"/>
    <w:rsid w:val="000E6C86"/>
    <w:rsid w:val="000E6D23"/>
    <w:rsid w:val="000E6D73"/>
    <w:rsid w:val="000E6E2E"/>
    <w:rsid w:val="000E6E5A"/>
    <w:rsid w:val="000E6F76"/>
    <w:rsid w:val="000E70C6"/>
    <w:rsid w:val="000E7133"/>
    <w:rsid w:val="000E7420"/>
    <w:rsid w:val="000E7496"/>
    <w:rsid w:val="000E79F7"/>
    <w:rsid w:val="000E7E2B"/>
    <w:rsid w:val="000E7E4A"/>
    <w:rsid w:val="000E7F29"/>
    <w:rsid w:val="000E7FA5"/>
    <w:rsid w:val="000E7FF6"/>
    <w:rsid w:val="000F00A1"/>
    <w:rsid w:val="000F040F"/>
    <w:rsid w:val="000F0977"/>
    <w:rsid w:val="000F0A2F"/>
    <w:rsid w:val="000F0AB0"/>
    <w:rsid w:val="000F0C7A"/>
    <w:rsid w:val="000F0CC5"/>
    <w:rsid w:val="000F0E46"/>
    <w:rsid w:val="000F1017"/>
    <w:rsid w:val="000F11E9"/>
    <w:rsid w:val="000F1496"/>
    <w:rsid w:val="000F16C3"/>
    <w:rsid w:val="000F193F"/>
    <w:rsid w:val="000F1954"/>
    <w:rsid w:val="000F1983"/>
    <w:rsid w:val="000F1AC7"/>
    <w:rsid w:val="000F1B2C"/>
    <w:rsid w:val="000F1D79"/>
    <w:rsid w:val="000F1E52"/>
    <w:rsid w:val="000F22D1"/>
    <w:rsid w:val="000F26D5"/>
    <w:rsid w:val="000F2839"/>
    <w:rsid w:val="000F2AAB"/>
    <w:rsid w:val="000F2AE7"/>
    <w:rsid w:val="000F2B8A"/>
    <w:rsid w:val="000F2BEC"/>
    <w:rsid w:val="000F2C0C"/>
    <w:rsid w:val="000F2FCE"/>
    <w:rsid w:val="000F3137"/>
    <w:rsid w:val="000F31EB"/>
    <w:rsid w:val="000F3362"/>
    <w:rsid w:val="000F3969"/>
    <w:rsid w:val="000F39C2"/>
    <w:rsid w:val="000F3D72"/>
    <w:rsid w:val="000F3E12"/>
    <w:rsid w:val="000F42A8"/>
    <w:rsid w:val="000F434A"/>
    <w:rsid w:val="000F436A"/>
    <w:rsid w:val="000F43B6"/>
    <w:rsid w:val="000F4443"/>
    <w:rsid w:val="000F46C6"/>
    <w:rsid w:val="000F47F5"/>
    <w:rsid w:val="000F4945"/>
    <w:rsid w:val="000F4BAE"/>
    <w:rsid w:val="000F4D26"/>
    <w:rsid w:val="000F50E3"/>
    <w:rsid w:val="000F515F"/>
    <w:rsid w:val="000F5360"/>
    <w:rsid w:val="000F56F8"/>
    <w:rsid w:val="000F59FB"/>
    <w:rsid w:val="000F5ADD"/>
    <w:rsid w:val="000F5CF3"/>
    <w:rsid w:val="000F5E0C"/>
    <w:rsid w:val="000F5E55"/>
    <w:rsid w:val="000F5FFD"/>
    <w:rsid w:val="000F6093"/>
    <w:rsid w:val="000F661E"/>
    <w:rsid w:val="000F66F3"/>
    <w:rsid w:val="000F696C"/>
    <w:rsid w:val="000F6B08"/>
    <w:rsid w:val="000F6D20"/>
    <w:rsid w:val="000F6D50"/>
    <w:rsid w:val="000F72AB"/>
    <w:rsid w:val="000F7466"/>
    <w:rsid w:val="000F79DB"/>
    <w:rsid w:val="000F7BB5"/>
    <w:rsid w:val="000F7C2D"/>
    <w:rsid w:val="000F7D40"/>
    <w:rsid w:val="001000DA"/>
    <w:rsid w:val="0010018C"/>
    <w:rsid w:val="00100203"/>
    <w:rsid w:val="001002FF"/>
    <w:rsid w:val="0010046C"/>
    <w:rsid w:val="0010071C"/>
    <w:rsid w:val="001008A9"/>
    <w:rsid w:val="00100C63"/>
    <w:rsid w:val="00100F94"/>
    <w:rsid w:val="00101154"/>
    <w:rsid w:val="00101215"/>
    <w:rsid w:val="00101A91"/>
    <w:rsid w:val="00101B76"/>
    <w:rsid w:val="00101FF8"/>
    <w:rsid w:val="001023F4"/>
    <w:rsid w:val="001025B3"/>
    <w:rsid w:val="001025EE"/>
    <w:rsid w:val="00102858"/>
    <w:rsid w:val="001029A9"/>
    <w:rsid w:val="00102A26"/>
    <w:rsid w:val="00102A69"/>
    <w:rsid w:val="00102D94"/>
    <w:rsid w:val="001030F5"/>
    <w:rsid w:val="00103496"/>
    <w:rsid w:val="001036F5"/>
    <w:rsid w:val="0010392C"/>
    <w:rsid w:val="00103B96"/>
    <w:rsid w:val="00103C12"/>
    <w:rsid w:val="001040AE"/>
    <w:rsid w:val="001042E1"/>
    <w:rsid w:val="0010451F"/>
    <w:rsid w:val="0010455D"/>
    <w:rsid w:val="00104A4A"/>
    <w:rsid w:val="00104C22"/>
    <w:rsid w:val="00104E82"/>
    <w:rsid w:val="00104F0C"/>
    <w:rsid w:val="00105021"/>
    <w:rsid w:val="0010532E"/>
    <w:rsid w:val="00105391"/>
    <w:rsid w:val="00105508"/>
    <w:rsid w:val="0010553D"/>
    <w:rsid w:val="00105596"/>
    <w:rsid w:val="001056E6"/>
    <w:rsid w:val="001058AD"/>
    <w:rsid w:val="00105C15"/>
    <w:rsid w:val="00105FBE"/>
    <w:rsid w:val="0010642D"/>
    <w:rsid w:val="00106974"/>
    <w:rsid w:val="0010698A"/>
    <w:rsid w:val="00106B7C"/>
    <w:rsid w:val="00106BF0"/>
    <w:rsid w:val="00106E06"/>
    <w:rsid w:val="001074A6"/>
    <w:rsid w:val="00107592"/>
    <w:rsid w:val="00107882"/>
    <w:rsid w:val="00107C8F"/>
    <w:rsid w:val="00107EB7"/>
    <w:rsid w:val="00110047"/>
    <w:rsid w:val="0011038E"/>
    <w:rsid w:val="0011045B"/>
    <w:rsid w:val="001104AB"/>
    <w:rsid w:val="001105D8"/>
    <w:rsid w:val="00110623"/>
    <w:rsid w:val="00110760"/>
    <w:rsid w:val="0011087C"/>
    <w:rsid w:val="00110D70"/>
    <w:rsid w:val="00111120"/>
    <w:rsid w:val="00111190"/>
    <w:rsid w:val="001112DD"/>
    <w:rsid w:val="0011132C"/>
    <w:rsid w:val="001114CB"/>
    <w:rsid w:val="001115B5"/>
    <w:rsid w:val="00111A2C"/>
    <w:rsid w:val="001121CA"/>
    <w:rsid w:val="0011235E"/>
    <w:rsid w:val="001124A7"/>
    <w:rsid w:val="00112639"/>
    <w:rsid w:val="00112763"/>
    <w:rsid w:val="001129F9"/>
    <w:rsid w:val="00112A56"/>
    <w:rsid w:val="00112CC6"/>
    <w:rsid w:val="00112DE0"/>
    <w:rsid w:val="00112EC0"/>
    <w:rsid w:val="00112EDB"/>
    <w:rsid w:val="00112F1B"/>
    <w:rsid w:val="00112FC9"/>
    <w:rsid w:val="00113243"/>
    <w:rsid w:val="00113496"/>
    <w:rsid w:val="001134FC"/>
    <w:rsid w:val="0011371C"/>
    <w:rsid w:val="00113A48"/>
    <w:rsid w:val="00113CF9"/>
    <w:rsid w:val="00113D4F"/>
    <w:rsid w:val="00113E21"/>
    <w:rsid w:val="00113E4A"/>
    <w:rsid w:val="00113EE7"/>
    <w:rsid w:val="00113FBB"/>
    <w:rsid w:val="00114235"/>
    <w:rsid w:val="0011429D"/>
    <w:rsid w:val="00114377"/>
    <w:rsid w:val="001143A7"/>
    <w:rsid w:val="001143C7"/>
    <w:rsid w:val="001146D6"/>
    <w:rsid w:val="0011480F"/>
    <w:rsid w:val="00114939"/>
    <w:rsid w:val="0011495B"/>
    <w:rsid w:val="001149D0"/>
    <w:rsid w:val="00114B07"/>
    <w:rsid w:val="00114B7A"/>
    <w:rsid w:val="00115008"/>
    <w:rsid w:val="0011501B"/>
    <w:rsid w:val="00115055"/>
    <w:rsid w:val="00115368"/>
    <w:rsid w:val="001153CE"/>
    <w:rsid w:val="001156B1"/>
    <w:rsid w:val="0011576A"/>
    <w:rsid w:val="0011577D"/>
    <w:rsid w:val="001157C1"/>
    <w:rsid w:val="0011585A"/>
    <w:rsid w:val="00115CD5"/>
    <w:rsid w:val="00115FD0"/>
    <w:rsid w:val="00115FD8"/>
    <w:rsid w:val="00116264"/>
    <w:rsid w:val="00116265"/>
    <w:rsid w:val="00116413"/>
    <w:rsid w:val="00116479"/>
    <w:rsid w:val="0011676D"/>
    <w:rsid w:val="001167C6"/>
    <w:rsid w:val="001169AD"/>
    <w:rsid w:val="00116E23"/>
    <w:rsid w:val="00116EF2"/>
    <w:rsid w:val="00117192"/>
    <w:rsid w:val="00117255"/>
    <w:rsid w:val="001176AC"/>
    <w:rsid w:val="001177D2"/>
    <w:rsid w:val="00117809"/>
    <w:rsid w:val="00117BD5"/>
    <w:rsid w:val="00117BF6"/>
    <w:rsid w:val="00117D27"/>
    <w:rsid w:val="00117F90"/>
    <w:rsid w:val="00120058"/>
    <w:rsid w:val="00120092"/>
    <w:rsid w:val="001202C1"/>
    <w:rsid w:val="0012041B"/>
    <w:rsid w:val="001204A5"/>
    <w:rsid w:val="00120A78"/>
    <w:rsid w:val="00120D59"/>
    <w:rsid w:val="00121092"/>
    <w:rsid w:val="00121111"/>
    <w:rsid w:val="001215BB"/>
    <w:rsid w:val="001218C4"/>
    <w:rsid w:val="00121EA2"/>
    <w:rsid w:val="00121F97"/>
    <w:rsid w:val="001220FC"/>
    <w:rsid w:val="0012246B"/>
    <w:rsid w:val="001225B1"/>
    <w:rsid w:val="001225D5"/>
    <w:rsid w:val="001228AC"/>
    <w:rsid w:val="00122E4C"/>
    <w:rsid w:val="00123081"/>
    <w:rsid w:val="001230A0"/>
    <w:rsid w:val="00123111"/>
    <w:rsid w:val="00123633"/>
    <w:rsid w:val="00123862"/>
    <w:rsid w:val="001242AB"/>
    <w:rsid w:val="001242E9"/>
    <w:rsid w:val="001243D4"/>
    <w:rsid w:val="001244D8"/>
    <w:rsid w:val="0012459E"/>
    <w:rsid w:val="0012472E"/>
    <w:rsid w:val="00124782"/>
    <w:rsid w:val="0012481B"/>
    <w:rsid w:val="0012486F"/>
    <w:rsid w:val="00124BC5"/>
    <w:rsid w:val="00124BC8"/>
    <w:rsid w:val="0012501D"/>
    <w:rsid w:val="0012511D"/>
    <w:rsid w:val="001252B3"/>
    <w:rsid w:val="0012535A"/>
    <w:rsid w:val="0012538A"/>
    <w:rsid w:val="001253C7"/>
    <w:rsid w:val="00125676"/>
    <w:rsid w:val="00125792"/>
    <w:rsid w:val="00125B08"/>
    <w:rsid w:val="00125B10"/>
    <w:rsid w:val="00125DF3"/>
    <w:rsid w:val="0012652C"/>
    <w:rsid w:val="001267C9"/>
    <w:rsid w:val="00126859"/>
    <w:rsid w:val="001268C6"/>
    <w:rsid w:val="00126943"/>
    <w:rsid w:val="00126BB9"/>
    <w:rsid w:val="00126CB4"/>
    <w:rsid w:val="0012713F"/>
    <w:rsid w:val="00127337"/>
    <w:rsid w:val="001274AA"/>
    <w:rsid w:val="001278BC"/>
    <w:rsid w:val="001279EE"/>
    <w:rsid w:val="00127A08"/>
    <w:rsid w:val="0013000B"/>
    <w:rsid w:val="001302AB"/>
    <w:rsid w:val="0013032C"/>
    <w:rsid w:val="0013044E"/>
    <w:rsid w:val="00130471"/>
    <w:rsid w:val="00130735"/>
    <w:rsid w:val="001308B7"/>
    <w:rsid w:val="00130B14"/>
    <w:rsid w:val="00130FC8"/>
    <w:rsid w:val="0013134A"/>
    <w:rsid w:val="001313C8"/>
    <w:rsid w:val="00131D73"/>
    <w:rsid w:val="00131E8C"/>
    <w:rsid w:val="001320DB"/>
    <w:rsid w:val="001324D2"/>
    <w:rsid w:val="0013250C"/>
    <w:rsid w:val="00132534"/>
    <w:rsid w:val="00132654"/>
    <w:rsid w:val="001326CD"/>
    <w:rsid w:val="00132ECF"/>
    <w:rsid w:val="00132EE8"/>
    <w:rsid w:val="0013337F"/>
    <w:rsid w:val="001339A9"/>
    <w:rsid w:val="00133A0F"/>
    <w:rsid w:val="00133C92"/>
    <w:rsid w:val="00133CEB"/>
    <w:rsid w:val="00133DA1"/>
    <w:rsid w:val="00133DC7"/>
    <w:rsid w:val="00133EF1"/>
    <w:rsid w:val="00133FBF"/>
    <w:rsid w:val="00134222"/>
    <w:rsid w:val="001344CD"/>
    <w:rsid w:val="00134985"/>
    <w:rsid w:val="00134990"/>
    <w:rsid w:val="00134B31"/>
    <w:rsid w:val="00134DCC"/>
    <w:rsid w:val="00134E6F"/>
    <w:rsid w:val="00135462"/>
    <w:rsid w:val="0013561E"/>
    <w:rsid w:val="001358EE"/>
    <w:rsid w:val="001359FC"/>
    <w:rsid w:val="00135A21"/>
    <w:rsid w:val="00135CDB"/>
    <w:rsid w:val="00135DB2"/>
    <w:rsid w:val="00135FC2"/>
    <w:rsid w:val="00135FE3"/>
    <w:rsid w:val="0013609B"/>
    <w:rsid w:val="0013630A"/>
    <w:rsid w:val="0013665B"/>
    <w:rsid w:val="0013679D"/>
    <w:rsid w:val="001369F7"/>
    <w:rsid w:val="00136A36"/>
    <w:rsid w:val="00136DBE"/>
    <w:rsid w:val="00136F23"/>
    <w:rsid w:val="00137213"/>
    <w:rsid w:val="00137258"/>
    <w:rsid w:val="00137260"/>
    <w:rsid w:val="0013764B"/>
    <w:rsid w:val="001378A5"/>
    <w:rsid w:val="001378AA"/>
    <w:rsid w:val="00137A03"/>
    <w:rsid w:val="00137A24"/>
    <w:rsid w:val="00137A67"/>
    <w:rsid w:val="00137BA0"/>
    <w:rsid w:val="00137E68"/>
    <w:rsid w:val="00137F24"/>
    <w:rsid w:val="001405F6"/>
    <w:rsid w:val="001406CA"/>
    <w:rsid w:val="001407DD"/>
    <w:rsid w:val="001408DC"/>
    <w:rsid w:val="001409FF"/>
    <w:rsid w:val="00140AFD"/>
    <w:rsid w:val="00140DFD"/>
    <w:rsid w:val="00141121"/>
    <w:rsid w:val="001414A7"/>
    <w:rsid w:val="0014161D"/>
    <w:rsid w:val="001417FF"/>
    <w:rsid w:val="00141A3A"/>
    <w:rsid w:val="00141FDF"/>
    <w:rsid w:val="00142251"/>
    <w:rsid w:val="001425DE"/>
    <w:rsid w:val="00142721"/>
    <w:rsid w:val="00142793"/>
    <w:rsid w:val="00142974"/>
    <w:rsid w:val="001429C0"/>
    <w:rsid w:val="00142BA8"/>
    <w:rsid w:val="00142D21"/>
    <w:rsid w:val="00142E7A"/>
    <w:rsid w:val="0014343C"/>
    <w:rsid w:val="00143457"/>
    <w:rsid w:val="0014374F"/>
    <w:rsid w:val="00143EE1"/>
    <w:rsid w:val="0014423E"/>
    <w:rsid w:val="001445D3"/>
    <w:rsid w:val="001446F9"/>
    <w:rsid w:val="00144787"/>
    <w:rsid w:val="00144CA6"/>
    <w:rsid w:val="00145C41"/>
    <w:rsid w:val="00145F74"/>
    <w:rsid w:val="0014603A"/>
    <w:rsid w:val="0014604E"/>
    <w:rsid w:val="001460D6"/>
    <w:rsid w:val="0014638C"/>
    <w:rsid w:val="001464D9"/>
    <w:rsid w:val="00146526"/>
    <w:rsid w:val="00146947"/>
    <w:rsid w:val="0014698E"/>
    <w:rsid w:val="00146BCB"/>
    <w:rsid w:val="00146DCC"/>
    <w:rsid w:val="001470B3"/>
    <w:rsid w:val="001470D7"/>
    <w:rsid w:val="00147141"/>
    <w:rsid w:val="0014722D"/>
    <w:rsid w:val="001472F6"/>
    <w:rsid w:val="00147435"/>
    <w:rsid w:val="001474D9"/>
    <w:rsid w:val="00147988"/>
    <w:rsid w:val="00147A68"/>
    <w:rsid w:val="00147B60"/>
    <w:rsid w:val="001502D4"/>
    <w:rsid w:val="00150736"/>
    <w:rsid w:val="00150746"/>
    <w:rsid w:val="00150811"/>
    <w:rsid w:val="00150B02"/>
    <w:rsid w:val="00150F12"/>
    <w:rsid w:val="00150F9E"/>
    <w:rsid w:val="00151331"/>
    <w:rsid w:val="00151440"/>
    <w:rsid w:val="001515F5"/>
    <w:rsid w:val="00151B9D"/>
    <w:rsid w:val="00151BF0"/>
    <w:rsid w:val="0015254A"/>
    <w:rsid w:val="001529D9"/>
    <w:rsid w:val="00152DC6"/>
    <w:rsid w:val="00152E41"/>
    <w:rsid w:val="00152F8F"/>
    <w:rsid w:val="001530C0"/>
    <w:rsid w:val="0015330C"/>
    <w:rsid w:val="001536B2"/>
    <w:rsid w:val="00153839"/>
    <w:rsid w:val="0015386E"/>
    <w:rsid w:val="001538EE"/>
    <w:rsid w:val="00153BCA"/>
    <w:rsid w:val="0015405B"/>
    <w:rsid w:val="00154113"/>
    <w:rsid w:val="001541AB"/>
    <w:rsid w:val="00154283"/>
    <w:rsid w:val="001542A5"/>
    <w:rsid w:val="00154313"/>
    <w:rsid w:val="001545D6"/>
    <w:rsid w:val="0015465F"/>
    <w:rsid w:val="001546CF"/>
    <w:rsid w:val="001548CE"/>
    <w:rsid w:val="00154DCB"/>
    <w:rsid w:val="00155192"/>
    <w:rsid w:val="001551C6"/>
    <w:rsid w:val="001553AF"/>
    <w:rsid w:val="00155936"/>
    <w:rsid w:val="00155B41"/>
    <w:rsid w:val="00155B79"/>
    <w:rsid w:val="00155D01"/>
    <w:rsid w:val="00155E1E"/>
    <w:rsid w:val="00155E68"/>
    <w:rsid w:val="00155EC7"/>
    <w:rsid w:val="00156344"/>
    <w:rsid w:val="00156406"/>
    <w:rsid w:val="001565D2"/>
    <w:rsid w:val="0015669A"/>
    <w:rsid w:val="001566F6"/>
    <w:rsid w:val="0015697E"/>
    <w:rsid w:val="00156BC1"/>
    <w:rsid w:val="00157068"/>
    <w:rsid w:val="001571C1"/>
    <w:rsid w:val="0015720E"/>
    <w:rsid w:val="001573C7"/>
    <w:rsid w:val="001574B6"/>
    <w:rsid w:val="0015755F"/>
    <w:rsid w:val="001578DF"/>
    <w:rsid w:val="00157BEC"/>
    <w:rsid w:val="00157EC5"/>
    <w:rsid w:val="00157F04"/>
    <w:rsid w:val="00160065"/>
    <w:rsid w:val="001609B4"/>
    <w:rsid w:val="00160C09"/>
    <w:rsid w:val="00160EA5"/>
    <w:rsid w:val="0016107B"/>
    <w:rsid w:val="00161132"/>
    <w:rsid w:val="00161183"/>
    <w:rsid w:val="001611D7"/>
    <w:rsid w:val="001613C8"/>
    <w:rsid w:val="00161450"/>
    <w:rsid w:val="00161A18"/>
    <w:rsid w:val="00161BB8"/>
    <w:rsid w:val="00161CC2"/>
    <w:rsid w:val="00161DFE"/>
    <w:rsid w:val="00161F63"/>
    <w:rsid w:val="00161FE5"/>
    <w:rsid w:val="00162412"/>
    <w:rsid w:val="00162439"/>
    <w:rsid w:val="00162508"/>
    <w:rsid w:val="0016271B"/>
    <w:rsid w:val="00162956"/>
    <w:rsid w:val="00162E14"/>
    <w:rsid w:val="00162E97"/>
    <w:rsid w:val="00162EBC"/>
    <w:rsid w:val="00162EED"/>
    <w:rsid w:val="00162FF9"/>
    <w:rsid w:val="0016336A"/>
    <w:rsid w:val="00163627"/>
    <w:rsid w:val="00163746"/>
    <w:rsid w:val="001638F7"/>
    <w:rsid w:val="00163A5B"/>
    <w:rsid w:val="00163A88"/>
    <w:rsid w:val="00163BA9"/>
    <w:rsid w:val="00163F73"/>
    <w:rsid w:val="00164012"/>
    <w:rsid w:val="00164078"/>
    <w:rsid w:val="001640D2"/>
    <w:rsid w:val="001640EF"/>
    <w:rsid w:val="001643E4"/>
    <w:rsid w:val="001644C7"/>
    <w:rsid w:val="001646F1"/>
    <w:rsid w:val="00164716"/>
    <w:rsid w:val="00164883"/>
    <w:rsid w:val="00164901"/>
    <w:rsid w:val="00164A05"/>
    <w:rsid w:val="00164B6C"/>
    <w:rsid w:val="00164C92"/>
    <w:rsid w:val="001651B6"/>
    <w:rsid w:val="00165A90"/>
    <w:rsid w:val="00165E60"/>
    <w:rsid w:val="00166097"/>
    <w:rsid w:val="001660B4"/>
    <w:rsid w:val="0016613C"/>
    <w:rsid w:val="00166181"/>
    <w:rsid w:val="00166476"/>
    <w:rsid w:val="00166924"/>
    <w:rsid w:val="00166A3C"/>
    <w:rsid w:val="00166DAD"/>
    <w:rsid w:val="00166E6D"/>
    <w:rsid w:val="00166FB5"/>
    <w:rsid w:val="00167022"/>
    <w:rsid w:val="0016718E"/>
    <w:rsid w:val="00167BAC"/>
    <w:rsid w:val="001703FA"/>
    <w:rsid w:val="0017060B"/>
    <w:rsid w:val="00170644"/>
    <w:rsid w:val="00170701"/>
    <w:rsid w:val="00170931"/>
    <w:rsid w:val="00170D9A"/>
    <w:rsid w:val="001710C5"/>
    <w:rsid w:val="00171402"/>
    <w:rsid w:val="00171434"/>
    <w:rsid w:val="00171920"/>
    <w:rsid w:val="001719AF"/>
    <w:rsid w:val="001719E7"/>
    <w:rsid w:val="00171A88"/>
    <w:rsid w:val="00171B71"/>
    <w:rsid w:val="00171C7C"/>
    <w:rsid w:val="00172139"/>
    <w:rsid w:val="00172574"/>
    <w:rsid w:val="00172637"/>
    <w:rsid w:val="001726D4"/>
    <w:rsid w:val="001726DC"/>
    <w:rsid w:val="001728A3"/>
    <w:rsid w:val="001728B5"/>
    <w:rsid w:val="00172E84"/>
    <w:rsid w:val="00173252"/>
    <w:rsid w:val="0017336D"/>
    <w:rsid w:val="001733E5"/>
    <w:rsid w:val="0017348A"/>
    <w:rsid w:val="0017354C"/>
    <w:rsid w:val="00173639"/>
    <w:rsid w:val="00173CA0"/>
    <w:rsid w:val="00173F1A"/>
    <w:rsid w:val="00174052"/>
    <w:rsid w:val="0017431E"/>
    <w:rsid w:val="001745C2"/>
    <w:rsid w:val="001745CE"/>
    <w:rsid w:val="0017465E"/>
    <w:rsid w:val="00174B69"/>
    <w:rsid w:val="00174C81"/>
    <w:rsid w:val="00174DE0"/>
    <w:rsid w:val="00174E84"/>
    <w:rsid w:val="00174EA1"/>
    <w:rsid w:val="00174F5D"/>
    <w:rsid w:val="001750A0"/>
    <w:rsid w:val="00175118"/>
    <w:rsid w:val="00175182"/>
    <w:rsid w:val="00175230"/>
    <w:rsid w:val="001758A0"/>
    <w:rsid w:val="001759BA"/>
    <w:rsid w:val="00175A41"/>
    <w:rsid w:val="00175DCC"/>
    <w:rsid w:val="001762F3"/>
    <w:rsid w:val="001762F7"/>
    <w:rsid w:val="0017636B"/>
    <w:rsid w:val="001766D2"/>
    <w:rsid w:val="001768FA"/>
    <w:rsid w:val="001769A8"/>
    <w:rsid w:val="00176C7A"/>
    <w:rsid w:val="00177179"/>
    <w:rsid w:val="0017749D"/>
    <w:rsid w:val="00177728"/>
    <w:rsid w:val="001778A7"/>
    <w:rsid w:val="00177E81"/>
    <w:rsid w:val="00177F02"/>
    <w:rsid w:val="00180176"/>
    <w:rsid w:val="00180625"/>
    <w:rsid w:val="001806B5"/>
    <w:rsid w:val="0018095B"/>
    <w:rsid w:val="00180A84"/>
    <w:rsid w:val="00180E57"/>
    <w:rsid w:val="00180E8D"/>
    <w:rsid w:val="00180FF8"/>
    <w:rsid w:val="001810AA"/>
    <w:rsid w:val="001812C7"/>
    <w:rsid w:val="001813B0"/>
    <w:rsid w:val="001818D8"/>
    <w:rsid w:val="00181D59"/>
    <w:rsid w:val="0018203F"/>
    <w:rsid w:val="001822C5"/>
    <w:rsid w:val="0018239D"/>
    <w:rsid w:val="00182547"/>
    <w:rsid w:val="001827CC"/>
    <w:rsid w:val="001827DF"/>
    <w:rsid w:val="00182A95"/>
    <w:rsid w:val="00182B47"/>
    <w:rsid w:val="00183096"/>
    <w:rsid w:val="00183285"/>
    <w:rsid w:val="0018352E"/>
    <w:rsid w:val="001835D2"/>
    <w:rsid w:val="0018426D"/>
    <w:rsid w:val="00184490"/>
    <w:rsid w:val="001844C6"/>
    <w:rsid w:val="001845AA"/>
    <w:rsid w:val="001845EF"/>
    <w:rsid w:val="00184B03"/>
    <w:rsid w:val="00184B3D"/>
    <w:rsid w:val="00184E08"/>
    <w:rsid w:val="001851FC"/>
    <w:rsid w:val="00185414"/>
    <w:rsid w:val="00185BF1"/>
    <w:rsid w:val="00186159"/>
    <w:rsid w:val="00186186"/>
    <w:rsid w:val="0018625D"/>
    <w:rsid w:val="001864CE"/>
    <w:rsid w:val="001865D3"/>
    <w:rsid w:val="0018661D"/>
    <w:rsid w:val="0018679F"/>
    <w:rsid w:val="00186A77"/>
    <w:rsid w:val="00186A82"/>
    <w:rsid w:val="00186B88"/>
    <w:rsid w:val="00186CA5"/>
    <w:rsid w:val="00186DB0"/>
    <w:rsid w:val="00186EE5"/>
    <w:rsid w:val="001870B4"/>
    <w:rsid w:val="001874D7"/>
    <w:rsid w:val="00187884"/>
    <w:rsid w:val="00187B92"/>
    <w:rsid w:val="00187B9E"/>
    <w:rsid w:val="00187CAF"/>
    <w:rsid w:val="00187E0E"/>
    <w:rsid w:val="001900C7"/>
    <w:rsid w:val="001903F5"/>
    <w:rsid w:val="00190649"/>
    <w:rsid w:val="00190D1D"/>
    <w:rsid w:val="001910A2"/>
    <w:rsid w:val="00191188"/>
    <w:rsid w:val="001911BB"/>
    <w:rsid w:val="00191308"/>
    <w:rsid w:val="001916C2"/>
    <w:rsid w:val="00191A9E"/>
    <w:rsid w:val="00191D42"/>
    <w:rsid w:val="00191DC2"/>
    <w:rsid w:val="00192DC6"/>
    <w:rsid w:val="00192DE5"/>
    <w:rsid w:val="00192F5C"/>
    <w:rsid w:val="001931D6"/>
    <w:rsid w:val="0019368F"/>
    <w:rsid w:val="00193C8F"/>
    <w:rsid w:val="00194013"/>
    <w:rsid w:val="0019412E"/>
    <w:rsid w:val="001942E7"/>
    <w:rsid w:val="001945C8"/>
    <w:rsid w:val="00194A76"/>
    <w:rsid w:val="00194AAE"/>
    <w:rsid w:val="00194B60"/>
    <w:rsid w:val="00194D27"/>
    <w:rsid w:val="00194DB7"/>
    <w:rsid w:val="00194EA4"/>
    <w:rsid w:val="001951CC"/>
    <w:rsid w:val="001953A9"/>
    <w:rsid w:val="00195522"/>
    <w:rsid w:val="0019570B"/>
    <w:rsid w:val="0019584E"/>
    <w:rsid w:val="00195A45"/>
    <w:rsid w:val="00195D19"/>
    <w:rsid w:val="00195DF5"/>
    <w:rsid w:val="00195F0C"/>
    <w:rsid w:val="00196062"/>
    <w:rsid w:val="00196163"/>
    <w:rsid w:val="00196465"/>
    <w:rsid w:val="00196919"/>
    <w:rsid w:val="00196A24"/>
    <w:rsid w:val="00196E13"/>
    <w:rsid w:val="00196E33"/>
    <w:rsid w:val="00197373"/>
    <w:rsid w:val="0019756C"/>
    <w:rsid w:val="00197D54"/>
    <w:rsid w:val="00197ECA"/>
    <w:rsid w:val="001A00AF"/>
    <w:rsid w:val="001A0867"/>
    <w:rsid w:val="001A0C37"/>
    <w:rsid w:val="001A0EE6"/>
    <w:rsid w:val="001A0FC3"/>
    <w:rsid w:val="001A1177"/>
    <w:rsid w:val="001A12EE"/>
    <w:rsid w:val="001A1303"/>
    <w:rsid w:val="001A1414"/>
    <w:rsid w:val="001A1479"/>
    <w:rsid w:val="001A154F"/>
    <w:rsid w:val="001A1B29"/>
    <w:rsid w:val="001A1B4B"/>
    <w:rsid w:val="001A1BF1"/>
    <w:rsid w:val="001A1E4F"/>
    <w:rsid w:val="001A1E8A"/>
    <w:rsid w:val="001A1F5C"/>
    <w:rsid w:val="001A235F"/>
    <w:rsid w:val="001A2691"/>
    <w:rsid w:val="001A26B9"/>
    <w:rsid w:val="001A27B3"/>
    <w:rsid w:val="001A2810"/>
    <w:rsid w:val="001A2933"/>
    <w:rsid w:val="001A2BF2"/>
    <w:rsid w:val="001A2DF3"/>
    <w:rsid w:val="001A2F96"/>
    <w:rsid w:val="001A300A"/>
    <w:rsid w:val="001A3090"/>
    <w:rsid w:val="001A30C8"/>
    <w:rsid w:val="001A327A"/>
    <w:rsid w:val="001A3352"/>
    <w:rsid w:val="001A352E"/>
    <w:rsid w:val="001A3695"/>
    <w:rsid w:val="001A387E"/>
    <w:rsid w:val="001A39AD"/>
    <w:rsid w:val="001A3C7D"/>
    <w:rsid w:val="001A3D5E"/>
    <w:rsid w:val="001A4052"/>
    <w:rsid w:val="001A436B"/>
    <w:rsid w:val="001A4407"/>
    <w:rsid w:val="001A44AA"/>
    <w:rsid w:val="001A4880"/>
    <w:rsid w:val="001A4A74"/>
    <w:rsid w:val="001A4BA7"/>
    <w:rsid w:val="001A4BBA"/>
    <w:rsid w:val="001A4E2A"/>
    <w:rsid w:val="001A4EB7"/>
    <w:rsid w:val="001A5111"/>
    <w:rsid w:val="001A5221"/>
    <w:rsid w:val="001A5476"/>
    <w:rsid w:val="001A59BB"/>
    <w:rsid w:val="001A5A0F"/>
    <w:rsid w:val="001A5A22"/>
    <w:rsid w:val="001A5B24"/>
    <w:rsid w:val="001A5B3F"/>
    <w:rsid w:val="001A5C62"/>
    <w:rsid w:val="001A5CD5"/>
    <w:rsid w:val="001A5DFF"/>
    <w:rsid w:val="001A63B0"/>
    <w:rsid w:val="001A6B09"/>
    <w:rsid w:val="001A6B1D"/>
    <w:rsid w:val="001A6C14"/>
    <w:rsid w:val="001A6D61"/>
    <w:rsid w:val="001A7246"/>
    <w:rsid w:val="001A756C"/>
    <w:rsid w:val="001A7783"/>
    <w:rsid w:val="001A77F8"/>
    <w:rsid w:val="001B0108"/>
    <w:rsid w:val="001B017B"/>
    <w:rsid w:val="001B05EA"/>
    <w:rsid w:val="001B0616"/>
    <w:rsid w:val="001B0851"/>
    <w:rsid w:val="001B08FF"/>
    <w:rsid w:val="001B0A31"/>
    <w:rsid w:val="001B0A88"/>
    <w:rsid w:val="001B0D0B"/>
    <w:rsid w:val="001B0D7F"/>
    <w:rsid w:val="001B0FA5"/>
    <w:rsid w:val="001B1062"/>
    <w:rsid w:val="001B1106"/>
    <w:rsid w:val="001B1256"/>
    <w:rsid w:val="001B168B"/>
    <w:rsid w:val="001B1992"/>
    <w:rsid w:val="001B1B2B"/>
    <w:rsid w:val="001B1CD9"/>
    <w:rsid w:val="001B204A"/>
    <w:rsid w:val="001B2266"/>
    <w:rsid w:val="001B2370"/>
    <w:rsid w:val="001B23AC"/>
    <w:rsid w:val="001B2581"/>
    <w:rsid w:val="001B2881"/>
    <w:rsid w:val="001B29D8"/>
    <w:rsid w:val="001B2A90"/>
    <w:rsid w:val="001B2AD7"/>
    <w:rsid w:val="001B2B0A"/>
    <w:rsid w:val="001B2B75"/>
    <w:rsid w:val="001B2D49"/>
    <w:rsid w:val="001B2ED0"/>
    <w:rsid w:val="001B32D1"/>
    <w:rsid w:val="001B330C"/>
    <w:rsid w:val="001B332D"/>
    <w:rsid w:val="001B34D3"/>
    <w:rsid w:val="001B36F4"/>
    <w:rsid w:val="001B387D"/>
    <w:rsid w:val="001B3EB6"/>
    <w:rsid w:val="001B409C"/>
    <w:rsid w:val="001B45A7"/>
    <w:rsid w:val="001B4684"/>
    <w:rsid w:val="001B4916"/>
    <w:rsid w:val="001B4E0F"/>
    <w:rsid w:val="001B4F78"/>
    <w:rsid w:val="001B4FF4"/>
    <w:rsid w:val="001B57E8"/>
    <w:rsid w:val="001B593C"/>
    <w:rsid w:val="001B65F8"/>
    <w:rsid w:val="001B6624"/>
    <w:rsid w:val="001B664A"/>
    <w:rsid w:val="001B6A72"/>
    <w:rsid w:val="001B6D41"/>
    <w:rsid w:val="001B6E7E"/>
    <w:rsid w:val="001B6ED3"/>
    <w:rsid w:val="001B711A"/>
    <w:rsid w:val="001B71D2"/>
    <w:rsid w:val="001B7947"/>
    <w:rsid w:val="001B7B35"/>
    <w:rsid w:val="001B7B44"/>
    <w:rsid w:val="001B7B5B"/>
    <w:rsid w:val="001B7C04"/>
    <w:rsid w:val="001B7CF9"/>
    <w:rsid w:val="001B7E36"/>
    <w:rsid w:val="001B7E65"/>
    <w:rsid w:val="001B7F31"/>
    <w:rsid w:val="001C0141"/>
    <w:rsid w:val="001C0351"/>
    <w:rsid w:val="001C045F"/>
    <w:rsid w:val="001C047F"/>
    <w:rsid w:val="001C07A5"/>
    <w:rsid w:val="001C07CD"/>
    <w:rsid w:val="001C0842"/>
    <w:rsid w:val="001C09D8"/>
    <w:rsid w:val="001C0E41"/>
    <w:rsid w:val="001C1266"/>
    <w:rsid w:val="001C145F"/>
    <w:rsid w:val="001C158E"/>
    <w:rsid w:val="001C15EA"/>
    <w:rsid w:val="001C1611"/>
    <w:rsid w:val="001C17C9"/>
    <w:rsid w:val="001C1AE6"/>
    <w:rsid w:val="001C1B2E"/>
    <w:rsid w:val="001C1C26"/>
    <w:rsid w:val="001C1DA3"/>
    <w:rsid w:val="001C2103"/>
    <w:rsid w:val="001C2198"/>
    <w:rsid w:val="001C2489"/>
    <w:rsid w:val="001C2510"/>
    <w:rsid w:val="001C2788"/>
    <w:rsid w:val="001C286B"/>
    <w:rsid w:val="001C294A"/>
    <w:rsid w:val="001C29AC"/>
    <w:rsid w:val="001C2CCA"/>
    <w:rsid w:val="001C31C0"/>
    <w:rsid w:val="001C35C1"/>
    <w:rsid w:val="001C370D"/>
    <w:rsid w:val="001C3788"/>
    <w:rsid w:val="001C3B55"/>
    <w:rsid w:val="001C3FEF"/>
    <w:rsid w:val="001C40E3"/>
    <w:rsid w:val="001C435A"/>
    <w:rsid w:val="001C4657"/>
    <w:rsid w:val="001C4823"/>
    <w:rsid w:val="001C4D22"/>
    <w:rsid w:val="001C4F96"/>
    <w:rsid w:val="001C5162"/>
    <w:rsid w:val="001C5242"/>
    <w:rsid w:val="001C5290"/>
    <w:rsid w:val="001C553A"/>
    <w:rsid w:val="001C562D"/>
    <w:rsid w:val="001C58E2"/>
    <w:rsid w:val="001C5990"/>
    <w:rsid w:val="001C5BFC"/>
    <w:rsid w:val="001C5E6E"/>
    <w:rsid w:val="001C602B"/>
    <w:rsid w:val="001C6434"/>
    <w:rsid w:val="001C647B"/>
    <w:rsid w:val="001C6672"/>
    <w:rsid w:val="001C66DE"/>
    <w:rsid w:val="001C67BD"/>
    <w:rsid w:val="001C6807"/>
    <w:rsid w:val="001C6A3D"/>
    <w:rsid w:val="001C6AF5"/>
    <w:rsid w:val="001C70D3"/>
    <w:rsid w:val="001C710B"/>
    <w:rsid w:val="001C71FB"/>
    <w:rsid w:val="001C72A9"/>
    <w:rsid w:val="001C735C"/>
    <w:rsid w:val="001C73A0"/>
    <w:rsid w:val="001C73ED"/>
    <w:rsid w:val="001C756B"/>
    <w:rsid w:val="001C78A3"/>
    <w:rsid w:val="001C7D93"/>
    <w:rsid w:val="001C7EB4"/>
    <w:rsid w:val="001C7F38"/>
    <w:rsid w:val="001D011D"/>
    <w:rsid w:val="001D01D1"/>
    <w:rsid w:val="001D047F"/>
    <w:rsid w:val="001D064C"/>
    <w:rsid w:val="001D0865"/>
    <w:rsid w:val="001D0889"/>
    <w:rsid w:val="001D0CAF"/>
    <w:rsid w:val="001D11E7"/>
    <w:rsid w:val="001D134B"/>
    <w:rsid w:val="001D15F7"/>
    <w:rsid w:val="001D1DAB"/>
    <w:rsid w:val="001D20E6"/>
    <w:rsid w:val="001D223D"/>
    <w:rsid w:val="001D2444"/>
    <w:rsid w:val="001D2458"/>
    <w:rsid w:val="001D2525"/>
    <w:rsid w:val="001D2684"/>
    <w:rsid w:val="001D2793"/>
    <w:rsid w:val="001D2B7C"/>
    <w:rsid w:val="001D2D53"/>
    <w:rsid w:val="001D2F46"/>
    <w:rsid w:val="001D3445"/>
    <w:rsid w:val="001D34EA"/>
    <w:rsid w:val="001D39F8"/>
    <w:rsid w:val="001D3AEC"/>
    <w:rsid w:val="001D3B02"/>
    <w:rsid w:val="001D3FCD"/>
    <w:rsid w:val="001D4042"/>
    <w:rsid w:val="001D420B"/>
    <w:rsid w:val="001D4560"/>
    <w:rsid w:val="001D46AE"/>
    <w:rsid w:val="001D47F4"/>
    <w:rsid w:val="001D49B3"/>
    <w:rsid w:val="001D4BC0"/>
    <w:rsid w:val="001D4FE4"/>
    <w:rsid w:val="001D536D"/>
    <w:rsid w:val="001D5480"/>
    <w:rsid w:val="001D5543"/>
    <w:rsid w:val="001D5BDB"/>
    <w:rsid w:val="001D5D1A"/>
    <w:rsid w:val="001D5D48"/>
    <w:rsid w:val="001D5E1B"/>
    <w:rsid w:val="001D5FC7"/>
    <w:rsid w:val="001D6092"/>
    <w:rsid w:val="001D6139"/>
    <w:rsid w:val="001D6167"/>
    <w:rsid w:val="001D63D0"/>
    <w:rsid w:val="001D660B"/>
    <w:rsid w:val="001D6615"/>
    <w:rsid w:val="001D66D1"/>
    <w:rsid w:val="001D6714"/>
    <w:rsid w:val="001D6796"/>
    <w:rsid w:val="001D67A6"/>
    <w:rsid w:val="001D6A81"/>
    <w:rsid w:val="001D6B55"/>
    <w:rsid w:val="001D6D35"/>
    <w:rsid w:val="001D6D81"/>
    <w:rsid w:val="001D7428"/>
    <w:rsid w:val="001D74A8"/>
    <w:rsid w:val="001D76AB"/>
    <w:rsid w:val="001D78C3"/>
    <w:rsid w:val="001E01C6"/>
    <w:rsid w:val="001E04BC"/>
    <w:rsid w:val="001E04F9"/>
    <w:rsid w:val="001E06AA"/>
    <w:rsid w:val="001E0766"/>
    <w:rsid w:val="001E093C"/>
    <w:rsid w:val="001E0BF3"/>
    <w:rsid w:val="001E0D5C"/>
    <w:rsid w:val="001E150A"/>
    <w:rsid w:val="001E151A"/>
    <w:rsid w:val="001E15C8"/>
    <w:rsid w:val="001E174B"/>
    <w:rsid w:val="001E179D"/>
    <w:rsid w:val="001E190C"/>
    <w:rsid w:val="001E1D0E"/>
    <w:rsid w:val="001E1D9C"/>
    <w:rsid w:val="001E1DB7"/>
    <w:rsid w:val="001E1E00"/>
    <w:rsid w:val="001E1E4D"/>
    <w:rsid w:val="001E1E74"/>
    <w:rsid w:val="001E2098"/>
    <w:rsid w:val="001E2412"/>
    <w:rsid w:val="001E24CD"/>
    <w:rsid w:val="001E261C"/>
    <w:rsid w:val="001E28B4"/>
    <w:rsid w:val="001E2E11"/>
    <w:rsid w:val="001E2E7A"/>
    <w:rsid w:val="001E2FC8"/>
    <w:rsid w:val="001E3097"/>
    <w:rsid w:val="001E3163"/>
    <w:rsid w:val="001E3293"/>
    <w:rsid w:val="001E3330"/>
    <w:rsid w:val="001E3495"/>
    <w:rsid w:val="001E3601"/>
    <w:rsid w:val="001E3629"/>
    <w:rsid w:val="001E3BB5"/>
    <w:rsid w:val="001E3E6C"/>
    <w:rsid w:val="001E43CC"/>
    <w:rsid w:val="001E445E"/>
    <w:rsid w:val="001E48EA"/>
    <w:rsid w:val="001E4926"/>
    <w:rsid w:val="001E4E98"/>
    <w:rsid w:val="001E4F06"/>
    <w:rsid w:val="001E4FD0"/>
    <w:rsid w:val="001E51A2"/>
    <w:rsid w:val="001E57CA"/>
    <w:rsid w:val="001E5894"/>
    <w:rsid w:val="001E59A1"/>
    <w:rsid w:val="001E5C6D"/>
    <w:rsid w:val="001E5CD5"/>
    <w:rsid w:val="001E6421"/>
    <w:rsid w:val="001E65DB"/>
    <w:rsid w:val="001E6674"/>
    <w:rsid w:val="001E6794"/>
    <w:rsid w:val="001E67C2"/>
    <w:rsid w:val="001E692D"/>
    <w:rsid w:val="001E6E7C"/>
    <w:rsid w:val="001E6F78"/>
    <w:rsid w:val="001E6FA6"/>
    <w:rsid w:val="001E70EA"/>
    <w:rsid w:val="001E7242"/>
    <w:rsid w:val="001E76D0"/>
    <w:rsid w:val="001E7BF3"/>
    <w:rsid w:val="001E7D1F"/>
    <w:rsid w:val="001E7D96"/>
    <w:rsid w:val="001E7F20"/>
    <w:rsid w:val="001E7FE0"/>
    <w:rsid w:val="001F01E4"/>
    <w:rsid w:val="001F0604"/>
    <w:rsid w:val="001F0748"/>
    <w:rsid w:val="001F0774"/>
    <w:rsid w:val="001F0A72"/>
    <w:rsid w:val="001F0D0F"/>
    <w:rsid w:val="001F15F4"/>
    <w:rsid w:val="001F1DE7"/>
    <w:rsid w:val="001F218C"/>
    <w:rsid w:val="001F2252"/>
    <w:rsid w:val="001F2309"/>
    <w:rsid w:val="001F2393"/>
    <w:rsid w:val="001F273D"/>
    <w:rsid w:val="001F2822"/>
    <w:rsid w:val="001F2852"/>
    <w:rsid w:val="001F2903"/>
    <w:rsid w:val="001F2930"/>
    <w:rsid w:val="001F2A50"/>
    <w:rsid w:val="001F2C32"/>
    <w:rsid w:val="001F2CD3"/>
    <w:rsid w:val="001F3000"/>
    <w:rsid w:val="001F302E"/>
    <w:rsid w:val="001F303F"/>
    <w:rsid w:val="001F31AC"/>
    <w:rsid w:val="001F321F"/>
    <w:rsid w:val="001F3545"/>
    <w:rsid w:val="001F35A0"/>
    <w:rsid w:val="001F35AF"/>
    <w:rsid w:val="001F35BB"/>
    <w:rsid w:val="001F3A7E"/>
    <w:rsid w:val="001F3C46"/>
    <w:rsid w:val="001F3FDD"/>
    <w:rsid w:val="001F41B7"/>
    <w:rsid w:val="001F41DA"/>
    <w:rsid w:val="001F42D3"/>
    <w:rsid w:val="001F4303"/>
    <w:rsid w:val="001F44D3"/>
    <w:rsid w:val="001F4547"/>
    <w:rsid w:val="001F4765"/>
    <w:rsid w:val="001F4ABC"/>
    <w:rsid w:val="001F4C68"/>
    <w:rsid w:val="001F4D56"/>
    <w:rsid w:val="001F4EF4"/>
    <w:rsid w:val="001F4FCD"/>
    <w:rsid w:val="001F5040"/>
    <w:rsid w:val="001F54E5"/>
    <w:rsid w:val="001F569C"/>
    <w:rsid w:val="001F58E8"/>
    <w:rsid w:val="001F5A12"/>
    <w:rsid w:val="001F5BF9"/>
    <w:rsid w:val="001F5C11"/>
    <w:rsid w:val="001F5CD1"/>
    <w:rsid w:val="001F60D5"/>
    <w:rsid w:val="001F618A"/>
    <w:rsid w:val="001F61BB"/>
    <w:rsid w:val="001F6381"/>
    <w:rsid w:val="001F644A"/>
    <w:rsid w:val="001F6460"/>
    <w:rsid w:val="001F6593"/>
    <w:rsid w:val="001F67C6"/>
    <w:rsid w:val="001F6826"/>
    <w:rsid w:val="001F6D54"/>
    <w:rsid w:val="001F6DCE"/>
    <w:rsid w:val="001F6DFE"/>
    <w:rsid w:val="001F6E03"/>
    <w:rsid w:val="001F6FE2"/>
    <w:rsid w:val="001F7359"/>
    <w:rsid w:val="001F7585"/>
    <w:rsid w:val="001F75CA"/>
    <w:rsid w:val="001F75D2"/>
    <w:rsid w:val="001F75DA"/>
    <w:rsid w:val="001F797E"/>
    <w:rsid w:val="001F79DC"/>
    <w:rsid w:val="001F7BC3"/>
    <w:rsid w:val="001F7D7A"/>
    <w:rsid w:val="001F7E29"/>
    <w:rsid w:val="00200618"/>
    <w:rsid w:val="00200671"/>
    <w:rsid w:val="00200C84"/>
    <w:rsid w:val="00201174"/>
    <w:rsid w:val="00201327"/>
    <w:rsid w:val="002017CE"/>
    <w:rsid w:val="002018AA"/>
    <w:rsid w:val="00201B12"/>
    <w:rsid w:val="00201CDB"/>
    <w:rsid w:val="00201D95"/>
    <w:rsid w:val="00201F6D"/>
    <w:rsid w:val="0020221B"/>
    <w:rsid w:val="002024AB"/>
    <w:rsid w:val="0020269C"/>
    <w:rsid w:val="0020272B"/>
    <w:rsid w:val="0020297C"/>
    <w:rsid w:val="00202C52"/>
    <w:rsid w:val="00202D57"/>
    <w:rsid w:val="00202F7A"/>
    <w:rsid w:val="002031AA"/>
    <w:rsid w:val="002032A1"/>
    <w:rsid w:val="0020352B"/>
    <w:rsid w:val="002036FE"/>
    <w:rsid w:val="002038BE"/>
    <w:rsid w:val="00203C1B"/>
    <w:rsid w:val="00203CB5"/>
    <w:rsid w:val="00203F91"/>
    <w:rsid w:val="00203FB5"/>
    <w:rsid w:val="002042D5"/>
    <w:rsid w:val="0020439F"/>
    <w:rsid w:val="002046FB"/>
    <w:rsid w:val="002047FF"/>
    <w:rsid w:val="002048EC"/>
    <w:rsid w:val="0020496E"/>
    <w:rsid w:val="00204AB5"/>
    <w:rsid w:val="00204B9C"/>
    <w:rsid w:val="00204C72"/>
    <w:rsid w:val="00204CAF"/>
    <w:rsid w:val="00204E23"/>
    <w:rsid w:val="002054D7"/>
    <w:rsid w:val="00205B11"/>
    <w:rsid w:val="00205F08"/>
    <w:rsid w:val="002062AB"/>
    <w:rsid w:val="00206360"/>
    <w:rsid w:val="002066B3"/>
    <w:rsid w:val="002067B9"/>
    <w:rsid w:val="00206A3F"/>
    <w:rsid w:val="00206D77"/>
    <w:rsid w:val="00206E8D"/>
    <w:rsid w:val="002071C2"/>
    <w:rsid w:val="00207269"/>
    <w:rsid w:val="0020742C"/>
    <w:rsid w:val="00207596"/>
    <w:rsid w:val="00207A02"/>
    <w:rsid w:val="00207D50"/>
    <w:rsid w:val="00207E74"/>
    <w:rsid w:val="00207FA6"/>
    <w:rsid w:val="00210037"/>
    <w:rsid w:val="00210085"/>
    <w:rsid w:val="00210111"/>
    <w:rsid w:val="00210137"/>
    <w:rsid w:val="002103D2"/>
    <w:rsid w:val="00210A33"/>
    <w:rsid w:val="00210B5C"/>
    <w:rsid w:val="00210C96"/>
    <w:rsid w:val="00210D2E"/>
    <w:rsid w:val="00210F56"/>
    <w:rsid w:val="00211075"/>
    <w:rsid w:val="0021119C"/>
    <w:rsid w:val="00211747"/>
    <w:rsid w:val="002117DD"/>
    <w:rsid w:val="002119F3"/>
    <w:rsid w:val="00211AC7"/>
    <w:rsid w:val="00211C98"/>
    <w:rsid w:val="00212101"/>
    <w:rsid w:val="00212459"/>
    <w:rsid w:val="0021258C"/>
    <w:rsid w:val="0021293D"/>
    <w:rsid w:val="00212B3F"/>
    <w:rsid w:val="00212D8B"/>
    <w:rsid w:val="00212EAB"/>
    <w:rsid w:val="00213074"/>
    <w:rsid w:val="0021308F"/>
    <w:rsid w:val="00213177"/>
    <w:rsid w:val="002131AB"/>
    <w:rsid w:val="002131C8"/>
    <w:rsid w:val="0021322C"/>
    <w:rsid w:val="00213490"/>
    <w:rsid w:val="00213727"/>
    <w:rsid w:val="002137F9"/>
    <w:rsid w:val="00213867"/>
    <w:rsid w:val="00213A3F"/>
    <w:rsid w:val="00213B2D"/>
    <w:rsid w:val="00213C59"/>
    <w:rsid w:val="00213CC2"/>
    <w:rsid w:val="00214099"/>
    <w:rsid w:val="00214138"/>
    <w:rsid w:val="002143CB"/>
    <w:rsid w:val="002146AD"/>
    <w:rsid w:val="002146FB"/>
    <w:rsid w:val="00214B49"/>
    <w:rsid w:val="00214B83"/>
    <w:rsid w:val="00214F53"/>
    <w:rsid w:val="00215061"/>
    <w:rsid w:val="0021523C"/>
    <w:rsid w:val="002152A5"/>
    <w:rsid w:val="002152B3"/>
    <w:rsid w:val="00215741"/>
    <w:rsid w:val="00215A33"/>
    <w:rsid w:val="00215E28"/>
    <w:rsid w:val="00215E95"/>
    <w:rsid w:val="00216245"/>
    <w:rsid w:val="0021635D"/>
    <w:rsid w:val="00216414"/>
    <w:rsid w:val="00216486"/>
    <w:rsid w:val="0021653F"/>
    <w:rsid w:val="00216558"/>
    <w:rsid w:val="002165C3"/>
    <w:rsid w:val="00216607"/>
    <w:rsid w:val="002167E2"/>
    <w:rsid w:val="00216940"/>
    <w:rsid w:val="00216ABC"/>
    <w:rsid w:val="00216C71"/>
    <w:rsid w:val="00216F32"/>
    <w:rsid w:val="002174E7"/>
    <w:rsid w:val="002177D1"/>
    <w:rsid w:val="00217836"/>
    <w:rsid w:val="002178D5"/>
    <w:rsid w:val="002201E2"/>
    <w:rsid w:val="00220237"/>
    <w:rsid w:val="00220335"/>
    <w:rsid w:val="002204F3"/>
    <w:rsid w:val="002205DB"/>
    <w:rsid w:val="00220782"/>
    <w:rsid w:val="00220C25"/>
    <w:rsid w:val="00221061"/>
    <w:rsid w:val="002212E2"/>
    <w:rsid w:val="00221741"/>
    <w:rsid w:val="00221950"/>
    <w:rsid w:val="00221971"/>
    <w:rsid w:val="00221A92"/>
    <w:rsid w:val="00221BF7"/>
    <w:rsid w:val="00221D9D"/>
    <w:rsid w:val="00221E74"/>
    <w:rsid w:val="00222175"/>
    <w:rsid w:val="00222640"/>
    <w:rsid w:val="00222825"/>
    <w:rsid w:val="00222F2D"/>
    <w:rsid w:val="0022327F"/>
    <w:rsid w:val="0022339A"/>
    <w:rsid w:val="00223856"/>
    <w:rsid w:val="002239F4"/>
    <w:rsid w:val="00223F2A"/>
    <w:rsid w:val="00223F91"/>
    <w:rsid w:val="002247B9"/>
    <w:rsid w:val="0022483C"/>
    <w:rsid w:val="0022498E"/>
    <w:rsid w:val="00224D5C"/>
    <w:rsid w:val="00224E36"/>
    <w:rsid w:val="0022530D"/>
    <w:rsid w:val="002253CB"/>
    <w:rsid w:val="002255AF"/>
    <w:rsid w:val="0022574D"/>
    <w:rsid w:val="002259B1"/>
    <w:rsid w:val="00225FF3"/>
    <w:rsid w:val="00226017"/>
    <w:rsid w:val="00226225"/>
    <w:rsid w:val="00226277"/>
    <w:rsid w:val="0022661F"/>
    <w:rsid w:val="002266BB"/>
    <w:rsid w:val="00226823"/>
    <w:rsid w:val="00226A73"/>
    <w:rsid w:val="00226BF6"/>
    <w:rsid w:val="00226D85"/>
    <w:rsid w:val="00226ECF"/>
    <w:rsid w:val="00227018"/>
    <w:rsid w:val="00227340"/>
    <w:rsid w:val="00227503"/>
    <w:rsid w:val="00227663"/>
    <w:rsid w:val="0022768E"/>
    <w:rsid w:val="0022797F"/>
    <w:rsid w:val="002279DA"/>
    <w:rsid w:val="00227AB5"/>
    <w:rsid w:val="00227F47"/>
    <w:rsid w:val="00227FA2"/>
    <w:rsid w:val="002300C1"/>
    <w:rsid w:val="002301D1"/>
    <w:rsid w:val="00230259"/>
    <w:rsid w:val="00230822"/>
    <w:rsid w:val="00230B2F"/>
    <w:rsid w:val="00230BD8"/>
    <w:rsid w:val="00230C9D"/>
    <w:rsid w:val="00230E78"/>
    <w:rsid w:val="0023102A"/>
    <w:rsid w:val="002310A3"/>
    <w:rsid w:val="00231162"/>
    <w:rsid w:val="0023117B"/>
    <w:rsid w:val="00231477"/>
    <w:rsid w:val="002319D8"/>
    <w:rsid w:val="00231B2C"/>
    <w:rsid w:val="00231B63"/>
    <w:rsid w:val="00231BDE"/>
    <w:rsid w:val="00231E7D"/>
    <w:rsid w:val="0023202C"/>
    <w:rsid w:val="00232295"/>
    <w:rsid w:val="002323B0"/>
    <w:rsid w:val="002324A5"/>
    <w:rsid w:val="002324A7"/>
    <w:rsid w:val="0023294F"/>
    <w:rsid w:val="00232C4C"/>
    <w:rsid w:val="00232D3E"/>
    <w:rsid w:val="00233475"/>
    <w:rsid w:val="002335AF"/>
    <w:rsid w:val="0023380D"/>
    <w:rsid w:val="002339CB"/>
    <w:rsid w:val="002339EF"/>
    <w:rsid w:val="00233B50"/>
    <w:rsid w:val="00233D6B"/>
    <w:rsid w:val="00234011"/>
    <w:rsid w:val="00234297"/>
    <w:rsid w:val="0023429F"/>
    <w:rsid w:val="0023473C"/>
    <w:rsid w:val="00234763"/>
    <w:rsid w:val="00234774"/>
    <w:rsid w:val="0023491A"/>
    <w:rsid w:val="00234C6B"/>
    <w:rsid w:val="00235122"/>
    <w:rsid w:val="002353F9"/>
    <w:rsid w:val="00235540"/>
    <w:rsid w:val="00235612"/>
    <w:rsid w:val="00235711"/>
    <w:rsid w:val="00235C2B"/>
    <w:rsid w:val="00235CD3"/>
    <w:rsid w:val="00235D09"/>
    <w:rsid w:val="00236179"/>
    <w:rsid w:val="002361E7"/>
    <w:rsid w:val="0023624D"/>
    <w:rsid w:val="0023687C"/>
    <w:rsid w:val="00236A82"/>
    <w:rsid w:val="00236F09"/>
    <w:rsid w:val="00236F3A"/>
    <w:rsid w:val="00236F82"/>
    <w:rsid w:val="002373DE"/>
    <w:rsid w:val="002378AA"/>
    <w:rsid w:val="002378CD"/>
    <w:rsid w:val="002379E3"/>
    <w:rsid w:val="00237A4A"/>
    <w:rsid w:val="00237BAA"/>
    <w:rsid w:val="00237D9D"/>
    <w:rsid w:val="00237E25"/>
    <w:rsid w:val="0024006D"/>
    <w:rsid w:val="00240316"/>
    <w:rsid w:val="00240884"/>
    <w:rsid w:val="002408CA"/>
    <w:rsid w:val="002409B0"/>
    <w:rsid w:val="00240B13"/>
    <w:rsid w:val="00240F40"/>
    <w:rsid w:val="0024117E"/>
    <w:rsid w:val="0024178C"/>
    <w:rsid w:val="0024188B"/>
    <w:rsid w:val="00241BC8"/>
    <w:rsid w:val="00242057"/>
    <w:rsid w:val="002421DA"/>
    <w:rsid w:val="002423B7"/>
    <w:rsid w:val="00242490"/>
    <w:rsid w:val="00242651"/>
    <w:rsid w:val="00242779"/>
    <w:rsid w:val="00242821"/>
    <w:rsid w:val="002428C5"/>
    <w:rsid w:val="002429C2"/>
    <w:rsid w:val="00242AA1"/>
    <w:rsid w:val="00242BBE"/>
    <w:rsid w:val="00242CD8"/>
    <w:rsid w:val="00242DCD"/>
    <w:rsid w:val="00243090"/>
    <w:rsid w:val="0024334E"/>
    <w:rsid w:val="00243399"/>
    <w:rsid w:val="00243431"/>
    <w:rsid w:val="0024358C"/>
    <w:rsid w:val="002436E1"/>
    <w:rsid w:val="00243A45"/>
    <w:rsid w:val="00243CF9"/>
    <w:rsid w:val="00243E1D"/>
    <w:rsid w:val="002443A2"/>
    <w:rsid w:val="002445E5"/>
    <w:rsid w:val="002448CB"/>
    <w:rsid w:val="00244987"/>
    <w:rsid w:val="0024522B"/>
    <w:rsid w:val="0024528C"/>
    <w:rsid w:val="00245460"/>
    <w:rsid w:val="00245C05"/>
    <w:rsid w:val="00245EE0"/>
    <w:rsid w:val="00245FAA"/>
    <w:rsid w:val="002460F3"/>
    <w:rsid w:val="002467EC"/>
    <w:rsid w:val="002468C0"/>
    <w:rsid w:val="002469E9"/>
    <w:rsid w:val="00246B20"/>
    <w:rsid w:val="00246EE3"/>
    <w:rsid w:val="00246FF0"/>
    <w:rsid w:val="00247233"/>
    <w:rsid w:val="00247627"/>
    <w:rsid w:val="0024784D"/>
    <w:rsid w:val="00247A43"/>
    <w:rsid w:val="00247A71"/>
    <w:rsid w:val="00247B03"/>
    <w:rsid w:val="00247C47"/>
    <w:rsid w:val="00247DAF"/>
    <w:rsid w:val="00247FFA"/>
    <w:rsid w:val="00250033"/>
    <w:rsid w:val="002505EC"/>
    <w:rsid w:val="002507F1"/>
    <w:rsid w:val="002508AB"/>
    <w:rsid w:val="00250A59"/>
    <w:rsid w:val="00250AA0"/>
    <w:rsid w:val="0025105B"/>
    <w:rsid w:val="00251255"/>
    <w:rsid w:val="002512E6"/>
    <w:rsid w:val="002512EC"/>
    <w:rsid w:val="00251326"/>
    <w:rsid w:val="0025187A"/>
    <w:rsid w:val="00251AD4"/>
    <w:rsid w:val="00252280"/>
    <w:rsid w:val="002525B0"/>
    <w:rsid w:val="00252B3B"/>
    <w:rsid w:val="00252DEC"/>
    <w:rsid w:val="00252F50"/>
    <w:rsid w:val="002533C2"/>
    <w:rsid w:val="002536AC"/>
    <w:rsid w:val="0025376B"/>
    <w:rsid w:val="00253C6D"/>
    <w:rsid w:val="00253E0F"/>
    <w:rsid w:val="00253F68"/>
    <w:rsid w:val="00253FDA"/>
    <w:rsid w:val="0025402C"/>
    <w:rsid w:val="002540CC"/>
    <w:rsid w:val="00254209"/>
    <w:rsid w:val="0025426B"/>
    <w:rsid w:val="002545B7"/>
    <w:rsid w:val="00254865"/>
    <w:rsid w:val="00254A18"/>
    <w:rsid w:val="00254EBE"/>
    <w:rsid w:val="00254F12"/>
    <w:rsid w:val="002554D6"/>
    <w:rsid w:val="0025562D"/>
    <w:rsid w:val="00255632"/>
    <w:rsid w:val="00255AE6"/>
    <w:rsid w:val="00255E74"/>
    <w:rsid w:val="0025626D"/>
    <w:rsid w:val="002563A9"/>
    <w:rsid w:val="00256560"/>
    <w:rsid w:val="00256591"/>
    <w:rsid w:val="00256624"/>
    <w:rsid w:val="002566A2"/>
    <w:rsid w:val="00256745"/>
    <w:rsid w:val="002567C5"/>
    <w:rsid w:val="002573A3"/>
    <w:rsid w:val="00257488"/>
    <w:rsid w:val="00257549"/>
    <w:rsid w:val="00257645"/>
    <w:rsid w:val="00257B66"/>
    <w:rsid w:val="00257C24"/>
    <w:rsid w:val="00257D03"/>
    <w:rsid w:val="00257F30"/>
    <w:rsid w:val="00257FED"/>
    <w:rsid w:val="002600A1"/>
    <w:rsid w:val="0026043C"/>
    <w:rsid w:val="002607A5"/>
    <w:rsid w:val="002607D8"/>
    <w:rsid w:val="0026099A"/>
    <w:rsid w:val="00260CB3"/>
    <w:rsid w:val="002614F0"/>
    <w:rsid w:val="00261699"/>
    <w:rsid w:val="0026181D"/>
    <w:rsid w:val="002619CD"/>
    <w:rsid w:val="00261B1F"/>
    <w:rsid w:val="00261B73"/>
    <w:rsid w:val="00261BCC"/>
    <w:rsid w:val="00261BE8"/>
    <w:rsid w:val="00261C7F"/>
    <w:rsid w:val="00261EE0"/>
    <w:rsid w:val="00262168"/>
    <w:rsid w:val="002622B0"/>
    <w:rsid w:val="0026258F"/>
    <w:rsid w:val="00262774"/>
    <w:rsid w:val="002627BF"/>
    <w:rsid w:val="00262844"/>
    <w:rsid w:val="002629DD"/>
    <w:rsid w:val="00262ACE"/>
    <w:rsid w:val="00262B31"/>
    <w:rsid w:val="00262D2B"/>
    <w:rsid w:val="00262DA2"/>
    <w:rsid w:val="00262EE2"/>
    <w:rsid w:val="002633AF"/>
    <w:rsid w:val="002634D6"/>
    <w:rsid w:val="002635FC"/>
    <w:rsid w:val="00263A79"/>
    <w:rsid w:val="00263CC4"/>
    <w:rsid w:val="00263CE4"/>
    <w:rsid w:val="00263EE7"/>
    <w:rsid w:val="00264B11"/>
    <w:rsid w:val="00264C6B"/>
    <w:rsid w:val="00264C82"/>
    <w:rsid w:val="00264D22"/>
    <w:rsid w:val="00264DC1"/>
    <w:rsid w:val="00264FD6"/>
    <w:rsid w:val="0026517F"/>
    <w:rsid w:val="00265327"/>
    <w:rsid w:val="00265569"/>
    <w:rsid w:val="0026557C"/>
    <w:rsid w:val="00265933"/>
    <w:rsid w:val="00265C0D"/>
    <w:rsid w:val="00265D70"/>
    <w:rsid w:val="00265DE2"/>
    <w:rsid w:val="00265ED3"/>
    <w:rsid w:val="0026655E"/>
    <w:rsid w:val="0026668C"/>
    <w:rsid w:val="00266DAF"/>
    <w:rsid w:val="00266F97"/>
    <w:rsid w:val="002671CE"/>
    <w:rsid w:val="00267282"/>
    <w:rsid w:val="0026756C"/>
    <w:rsid w:val="002676DE"/>
    <w:rsid w:val="00267733"/>
    <w:rsid w:val="00267AFF"/>
    <w:rsid w:val="00267C4E"/>
    <w:rsid w:val="0027011C"/>
    <w:rsid w:val="00270243"/>
    <w:rsid w:val="002702A8"/>
    <w:rsid w:val="00270398"/>
    <w:rsid w:val="00270403"/>
    <w:rsid w:val="0027075B"/>
    <w:rsid w:val="00270817"/>
    <w:rsid w:val="00270869"/>
    <w:rsid w:val="0027086E"/>
    <w:rsid w:val="0027087B"/>
    <w:rsid w:val="0027094B"/>
    <w:rsid w:val="00270A89"/>
    <w:rsid w:val="00270FD3"/>
    <w:rsid w:val="0027116D"/>
    <w:rsid w:val="00271304"/>
    <w:rsid w:val="002715E9"/>
    <w:rsid w:val="0027194F"/>
    <w:rsid w:val="00271A5A"/>
    <w:rsid w:val="00271CC2"/>
    <w:rsid w:val="0027216F"/>
    <w:rsid w:val="00272360"/>
    <w:rsid w:val="0027240B"/>
    <w:rsid w:val="002724AE"/>
    <w:rsid w:val="00272580"/>
    <w:rsid w:val="002725C1"/>
    <w:rsid w:val="002726AA"/>
    <w:rsid w:val="002726F9"/>
    <w:rsid w:val="00272792"/>
    <w:rsid w:val="00272A50"/>
    <w:rsid w:val="00272CC3"/>
    <w:rsid w:val="0027305A"/>
    <w:rsid w:val="00273546"/>
    <w:rsid w:val="0027369C"/>
    <w:rsid w:val="002737F3"/>
    <w:rsid w:val="0027394E"/>
    <w:rsid w:val="00273AC0"/>
    <w:rsid w:val="00273C00"/>
    <w:rsid w:val="00273C98"/>
    <w:rsid w:val="002743CC"/>
    <w:rsid w:val="00274616"/>
    <w:rsid w:val="0027468E"/>
    <w:rsid w:val="00274B04"/>
    <w:rsid w:val="00274C38"/>
    <w:rsid w:val="00274DED"/>
    <w:rsid w:val="00275141"/>
    <w:rsid w:val="0027533E"/>
    <w:rsid w:val="002753CD"/>
    <w:rsid w:val="00275582"/>
    <w:rsid w:val="002755B5"/>
    <w:rsid w:val="002755F3"/>
    <w:rsid w:val="00275778"/>
    <w:rsid w:val="002757AB"/>
    <w:rsid w:val="00275960"/>
    <w:rsid w:val="00275ED3"/>
    <w:rsid w:val="002762AD"/>
    <w:rsid w:val="002765B4"/>
    <w:rsid w:val="002766D2"/>
    <w:rsid w:val="002769B4"/>
    <w:rsid w:val="00276A9F"/>
    <w:rsid w:val="0027709F"/>
    <w:rsid w:val="0027759D"/>
    <w:rsid w:val="00277699"/>
    <w:rsid w:val="00277CC4"/>
    <w:rsid w:val="002800C8"/>
    <w:rsid w:val="002800EC"/>
    <w:rsid w:val="002802FA"/>
    <w:rsid w:val="0028079C"/>
    <w:rsid w:val="002807EE"/>
    <w:rsid w:val="00280869"/>
    <w:rsid w:val="00280A7B"/>
    <w:rsid w:val="00280AA8"/>
    <w:rsid w:val="00280AC9"/>
    <w:rsid w:val="00280B21"/>
    <w:rsid w:val="00280F16"/>
    <w:rsid w:val="002810E7"/>
    <w:rsid w:val="002812CE"/>
    <w:rsid w:val="002813DE"/>
    <w:rsid w:val="00281BF3"/>
    <w:rsid w:val="00281C53"/>
    <w:rsid w:val="00281D45"/>
    <w:rsid w:val="00281EBC"/>
    <w:rsid w:val="002820A0"/>
    <w:rsid w:val="002823A4"/>
    <w:rsid w:val="002823F1"/>
    <w:rsid w:val="0028253E"/>
    <w:rsid w:val="0028260A"/>
    <w:rsid w:val="002826B7"/>
    <w:rsid w:val="00282716"/>
    <w:rsid w:val="002829A0"/>
    <w:rsid w:val="002829B5"/>
    <w:rsid w:val="00282B59"/>
    <w:rsid w:val="00282E14"/>
    <w:rsid w:val="00283015"/>
    <w:rsid w:val="002830BD"/>
    <w:rsid w:val="00283AC7"/>
    <w:rsid w:val="00283C02"/>
    <w:rsid w:val="00283EA9"/>
    <w:rsid w:val="00283F74"/>
    <w:rsid w:val="002840C5"/>
    <w:rsid w:val="00284177"/>
    <w:rsid w:val="00284287"/>
    <w:rsid w:val="002842B1"/>
    <w:rsid w:val="00284456"/>
    <w:rsid w:val="00284922"/>
    <w:rsid w:val="00284B9E"/>
    <w:rsid w:val="00284C77"/>
    <w:rsid w:val="00284D5B"/>
    <w:rsid w:val="00285325"/>
    <w:rsid w:val="00285350"/>
    <w:rsid w:val="0028553F"/>
    <w:rsid w:val="002856A2"/>
    <w:rsid w:val="002856D1"/>
    <w:rsid w:val="002857D1"/>
    <w:rsid w:val="00285C2D"/>
    <w:rsid w:val="00285E27"/>
    <w:rsid w:val="0028623C"/>
    <w:rsid w:val="002863AC"/>
    <w:rsid w:val="0028671C"/>
    <w:rsid w:val="00286A97"/>
    <w:rsid w:val="00286BBE"/>
    <w:rsid w:val="00286C42"/>
    <w:rsid w:val="00286C88"/>
    <w:rsid w:val="00286CD4"/>
    <w:rsid w:val="00286E08"/>
    <w:rsid w:val="00286F19"/>
    <w:rsid w:val="002870E1"/>
    <w:rsid w:val="002873AE"/>
    <w:rsid w:val="00287757"/>
    <w:rsid w:val="00287881"/>
    <w:rsid w:val="00287AD4"/>
    <w:rsid w:val="00287DF1"/>
    <w:rsid w:val="00287E0B"/>
    <w:rsid w:val="002901CD"/>
    <w:rsid w:val="00290206"/>
    <w:rsid w:val="002902D6"/>
    <w:rsid w:val="00290549"/>
    <w:rsid w:val="002908BA"/>
    <w:rsid w:val="00290A59"/>
    <w:rsid w:val="00290C29"/>
    <w:rsid w:val="00290CBC"/>
    <w:rsid w:val="00291105"/>
    <w:rsid w:val="00291279"/>
    <w:rsid w:val="00291513"/>
    <w:rsid w:val="00291557"/>
    <w:rsid w:val="002917DA"/>
    <w:rsid w:val="002917E1"/>
    <w:rsid w:val="00291865"/>
    <w:rsid w:val="00291AB8"/>
    <w:rsid w:val="00291CB7"/>
    <w:rsid w:val="00292182"/>
    <w:rsid w:val="0029241A"/>
    <w:rsid w:val="00292442"/>
    <w:rsid w:val="00292945"/>
    <w:rsid w:val="00292951"/>
    <w:rsid w:val="00292AF5"/>
    <w:rsid w:val="00293237"/>
    <w:rsid w:val="002932B2"/>
    <w:rsid w:val="0029377A"/>
    <w:rsid w:val="00293C9F"/>
    <w:rsid w:val="00293D9B"/>
    <w:rsid w:val="00293DA6"/>
    <w:rsid w:val="002947E7"/>
    <w:rsid w:val="002948CB"/>
    <w:rsid w:val="00294A1B"/>
    <w:rsid w:val="00294B76"/>
    <w:rsid w:val="00294BD5"/>
    <w:rsid w:val="00294E5C"/>
    <w:rsid w:val="0029507F"/>
    <w:rsid w:val="00295108"/>
    <w:rsid w:val="002953E2"/>
    <w:rsid w:val="002956B8"/>
    <w:rsid w:val="0029579B"/>
    <w:rsid w:val="00295B4A"/>
    <w:rsid w:val="00295CE4"/>
    <w:rsid w:val="00295F38"/>
    <w:rsid w:val="00295FA2"/>
    <w:rsid w:val="00296255"/>
    <w:rsid w:val="00296456"/>
    <w:rsid w:val="00296617"/>
    <w:rsid w:val="00296716"/>
    <w:rsid w:val="00296ABF"/>
    <w:rsid w:val="00296C8A"/>
    <w:rsid w:val="00296DF6"/>
    <w:rsid w:val="00296EA7"/>
    <w:rsid w:val="0029721B"/>
    <w:rsid w:val="002975D7"/>
    <w:rsid w:val="002977C9"/>
    <w:rsid w:val="00297960"/>
    <w:rsid w:val="002979CE"/>
    <w:rsid w:val="00297C2D"/>
    <w:rsid w:val="00297EAF"/>
    <w:rsid w:val="002A0097"/>
    <w:rsid w:val="002A0121"/>
    <w:rsid w:val="002A012A"/>
    <w:rsid w:val="002A04A0"/>
    <w:rsid w:val="002A0A44"/>
    <w:rsid w:val="002A0E5B"/>
    <w:rsid w:val="002A0E64"/>
    <w:rsid w:val="002A0E98"/>
    <w:rsid w:val="002A0F0D"/>
    <w:rsid w:val="002A1002"/>
    <w:rsid w:val="002A11B8"/>
    <w:rsid w:val="002A120A"/>
    <w:rsid w:val="002A16B3"/>
    <w:rsid w:val="002A175E"/>
    <w:rsid w:val="002A17F0"/>
    <w:rsid w:val="002A18AD"/>
    <w:rsid w:val="002A18E9"/>
    <w:rsid w:val="002A1929"/>
    <w:rsid w:val="002A1ACC"/>
    <w:rsid w:val="002A1CD7"/>
    <w:rsid w:val="002A1E04"/>
    <w:rsid w:val="002A1FAD"/>
    <w:rsid w:val="002A22FC"/>
    <w:rsid w:val="002A262F"/>
    <w:rsid w:val="002A26A8"/>
    <w:rsid w:val="002A2C3D"/>
    <w:rsid w:val="002A2E5A"/>
    <w:rsid w:val="002A2EB3"/>
    <w:rsid w:val="002A3124"/>
    <w:rsid w:val="002A3299"/>
    <w:rsid w:val="002A344D"/>
    <w:rsid w:val="002A38CE"/>
    <w:rsid w:val="002A3D3F"/>
    <w:rsid w:val="002A3ECB"/>
    <w:rsid w:val="002A3F4F"/>
    <w:rsid w:val="002A460D"/>
    <w:rsid w:val="002A476D"/>
    <w:rsid w:val="002A4E2C"/>
    <w:rsid w:val="002A4E68"/>
    <w:rsid w:val="002A4F2A"/>
    <w:rsid w:val="002A50E7"/>
    <w:rsid w:val="002A55E4"/>
    <w:rsid w:val="002A5C1C"/>
    <w:rsid w:val="002A5DE1"/>
    <w:rsid w:val="002A5F7A"/>
    <w:rsid w:val="002A6225"/>
    <w:rsid w:val="002A648F"/>
    <w:rsid w:val="002A64D9"/>
    <w:rsid w:val="002A65AC"/>
    <w:rsid w:val="002A65DF"/>
    <w:rsid w:val="002A6863"/>
    <w:rsid w:val="002A6BC9"/>
    <w:rsid w:val="002A6D47"/>
    <w:rsid w:val="002A73A1"/>
    <w:rsid w:val="002A75E3"/>
    <w:rsid w:val="002A7718"/>
    <w:rsid w:val="002A7858"/>
    <w:rsid w:val="002A7ACA"/>
    <w:rsid w:val="002A7B80"/>
    <w:rsid w:val="002A7D81"/>
    <w:rsid w:val="002A7FE1"/>
    <w:rsid w:val="002B001D"/>
    <w:rsid w:val="002B00A0"/>
    <w:rsid w:val="002B0480"/>
    <w:rsid w:val="002B06D1"/>
    <w:rsid w:val="002B0874"/>
    <w:rsid w:val="002B0881"/>
    <w:rsid w:val="002B08D7"/>
    <w:rsid w:val="002B09B1"/>
    <w:rsid w:val="002B0D60"/>
    <w:rsid w:val="002B118F"/>
    <w:rsid w:val="002B129F"/>
    <w:rsid w:val="002B140A"/>
    <w:rsid w:val="002B16D2"/>
    <w:rsid w:val="002B178C"/>
    <w:rsid w:val="002B18C6"/>
    <w:rsid w:val="002B1A9B"/>
    <w:rsid w:val="002B1D36"/>
    <w:rsid w:val="002B23F8"/>
    <w:rsid w:val="002B270E"/>
    <w:rsid w:val="002B38D1"/>
    <w:rsid w:val="002B3A5B"/>
    <w:rsid w:val="002B3B49"/>
    <w:rsid w:val="002B3C54"/>
    <w:rsid w:val="002B3E05"/>
    <w:rsid w:val="002B3F94"/>
    <w:rsid w:val="002B4590"/>
    <w:rsid w:val="002B4647"/>
    <w:rsid w:val="002B4681"/>
    <w:rsid w:val="002B4840"/>
    <w:rsid w:val="002B4A7C"/>
    <w:rsid w:val="002B4BDC"/>
    <w:rsid w:val="002B54EF"/>
    <w:rsid w:val="002B561A"/>
    <w:rsid w:val="002B568E"/>
    <w:rsid w:val="002B5AA4"/>
    <w:rsid w:val="002B5C76"/>
    <w:rsid w:val="002B5C9D"/>
    <w:rsid w:val="002B5D60"/>
    <w:rsid w:val="002B5EB8"/>
    <w:rsid w:val="002B60CC"/>
    <w:rsid w:val="002B60ED"/>
    <w:rsid w:val="002B63C6"/>
    <w:rsid w:val="002B6635"/>
    <w:rsid w:val="002B6ADC"/>
    <w:rsid w:val="002B6B22"/>
    <w:rsid w:val="002B6B96"/>
    <w:rsid w:val="002B7185"/>
    <w:rsid w:val="002B7235"/>
    <w:rsid w:val="002B7286"/>
    <w:rsid w:val="002B742D"/>
    <w:rsid w:val="002B78A9"/>
    <w:rsid w:val="002B78E8"/>
    <w:rsid w:val="002B790E"/>
    <w:rsid w:val="002B7945"/>
    <w:rsid w:val="002B79D7"/>
    <w:rsid w:val="002B7AA5"/>
    <w:rsid w:val="002B7B5A"/>
    <w:rsid w:val="002B7CF9"/>
    <w:rsid w:val="002B7D64"/>
    <w:rsid w:val="002B7E1A"/>
    <w:rsid w:val="002B7FBB"/>
    <w:rsid w:val="002C02B3"/>
    <w:rsid w:val="002C03AB"/>
    <w:rsid w:val="002C03EE"/>
    <w:rsid w:val="002C0558"/>
    <w:rsid w:val="002C0569"/>
    <w:rsid w:val="002C0B2D"/>
    <w:rsid w:val="002C0D0A"/>
    <w:rsid w:val="002C0D58"/>
    <w:rsid w:val="002C0E91"/>
    <w:rsid w:val="002C1035"/>
    <w:rsid w:val="002C1328"/>
    <w:rsid w:val="002C13AE"/>
    <w:rsid w:val="002C13E8"/>
    <w:rsid w:val="002C14DB"/>
    <w:rsid w:val="002C181C"/>
    <w:rsid w:val="002C196A"/>
    <w:rsid w:val="002C19FC"/>
    <w:rsid w:val="002C1A34"/>
    <w:rsid w:val="002C1D37"/>
    <w:rsid w:val="002C1FE4"/>
    <w:rsid w:val="002C22CB"/>
    <w:rsid w:val="002C261B"/>
    <w:rsid w:val="002C273C"/>
    <w:rsid w:val="002C274D"/>
    <w:rsid w:val="002C2A2B"/>
    <w:rsid w:val="002C2A75"/>
    <w:rsid w:val="002C2B3E"/>
    <w:rsid w:val="002C3122"/>
    <w:rsid w:val="002C34B2"/>
    <w:rsid w:val="002C35FF"/>
    <w:rsid w:val="002C363D"/>
    <w:rsid w:val="002C37A5"/>
    <w:rsid w:val="002C3D5C"/>
    <w:rsid w:val="002C3FD9"/>
    <w:rsid w:val="002C4037"/>
    <w:rsid w:val="002C43E9"/>
    <w:rsid w:val="002C446F"/>
    <w:rsid w:val="002C49FA"/>
    <w:rsid w:val="002C4EBE"/>
    <w:rsid w:val="002C4FF0"/>
    <w:rsid w:val="002C55A7"/>
    <w:rsid w:val="002C5B87"/>
    <w:rsid w:val="002C5C72"/>
    <w:rsid w:val="002C5D9A"/>
    <w:rsid w:val="002C6247"/>
    <w:rsid w:val="002C6412"/>
    <w:rsid w:val="002C6612"/>
    <w:rsid w:val="002C6761"/>
    <w:rsid w:val="002C67BA"/>
    <w:rsid w:val="002C6858"/>
    <w:rsid w:val="002C687F"/>
    <w:rsid w:val="002C68A9"/>
    <w:rsid w:val="002C6A2D"/>
    <w:rsid w:val="002C6BBF"/>
    <w:rsid w:val="002C6D32"/>
    <w:rsid w:val="002C7056"/>
    <w:rsid w:val="002C7140"/>
    <w:rsid w:val="002C7147"/>
    <w:rsid w:val="002C730D"/>
    <w:rsid w:val="002C76FE"/>
    <w:rsid w:val="002C7731"/>
    <w:rsid w:val="002C7BBE"/>
    <w:rsid w:val="002C7BD4"/>
    <w:rsid w:val="002D0070"/>
    <w:rsid w:val="002D0681"/>
    <w:rsid w:val="002D0773"/>
    <w:rsid w:val="002D078E"/>
    <w:rsid w:val="002D07E6"/>
    <w:rsid w:val="002D0843"/>
    <w:rsid w:val="002D08B2"/>
    <w:rsid w:val="002D09DA"/>
    <w:rsid w:val="002D0CBB"/>
    <w:rsid w:val="002D0FCB"/>
    <w:rsid w:val="002D10C1"/>
    <w:rsid w:val="002D11F9"/>
    <w:rsid w:val="002D1BB5"/>
    <w:rsid w:val="002D1F35"/>
    <w:rsid w:val="002D21C9"/>
    <w:rsid w:val="002D2577"/>
    <w:rsid w:val="002D28A2"/>
    <w:rsid w:val="002D2A80"/>
    <w:rsid w:val="002D2AB4"/>
    <w:rsid w:val="002D2AFC"/>
    <w:rsid w:val="002D2B6D"/>
    <w:rsid w:val="002D2C78"/>
    <w:rsid w:val="002D2D1D"/>
    <w:rsid w:val="002D2EBD"/>
    <w:rsid w:val="002D2EF5"/>
    <w:rsid w:val="002D3567"/>
    <w:rsid w:val="002D3607"/>
    <w:rsid w:val="002D3A51"/>
    <w:rsid w:val="002D3E4D"/>
    <w:rsid w:val="002D469D"/>
    <w:rsid w:val="002D4732"/>
    <w:rsid w:val="002D4766"/>
    <w:rsid w:val="002D48D3"/>
    <w:rsid w:val="002D4B23"/>
    <w:rsid w:val="002D4CDC"/>
    <w:rsid w:val="002D536B"/>
    <w:rsid w:val="002D5456"/>
    <w:rsid w:val="002D5995"/>
    <w:rsid w:val="002D5F71"/>
    <w:rsid w:val="002D5F87"/>
    <w:rsid w:val="002D6B45"/>
    <w:rsid w:val="002D6EAB"/>
    <w:rsid w:val="002D71FC"/>
    <w:rsid w:val="002D7530"/>
    <w:rsid w:val="002D7612"/>
    <w:rsid w:val="002D7718"/>
    <w:rsid w:val="002D785F"/>
    <w:rsid w:val="002D787A"/>
    <w:rsid w:val="002D7AA5"/>
    <w:rsid w:val="002D7EED"/>
    <w:rsid w:val="002D7F08"/>
    <w:rsid w:val="002E0002"/>
    <w:rsid w:val="002E00DE"/>
    <w:rsid w:val="002E00E2"/>
    <w:rsid w:val="002E0116"/>
    <w:rsid w:val="002E01AA"/>
    <w:rsid w:val="002E02A0"/>
    <w:rsid w:val="002E03B0"/>
    <w:rsid w:val="002E07F1"/>
    <w:rsid w:val="002E0AA8"/>
    <w:rsid w:val="002E0CD8"/>
    <w:rsid w:val="002E0E3E"/>
    <w:rsid w:val="002E0ED2"/>
    <w:rsid w:val="002E1062"/>
    <w:rsid w:val="002E1116"/>
    <w:rsid w:val="002E1470"/>
    <w:rsid w:val="002E17B9"/>
    <w:rsid w:val="002E17D7"/>
    <w:rsid w:val="002E18E0"/>
    <w:rsid w:val="002E1AF0"/>
    <w:rsid w:val="002E1F01"/>
    <w:rsid w:val="002E1F33"/>
    <w:rsid w:val="002E2024"/>
    <w:rsid w:val="002E209C"/>
    <w:rsid w:val="002E22BE"/>
    <w:rsid w:val="002E2396"/>
    <w:rsid w:val="002E2436"/>
    <w:rsid w:val="002E2519"/>
    <w:rsid w:val="002E27A7"/>
    <w:rsid w:val="002E2A06"/>
    <w:rsid w:val="002E2C7C"/>
    <w:rsid w:val="002E3000"/>
    <w:rsid w:val="002E31E7"/>
    <w:rsid w:val="002E34C5"/>
    <w:rsid w:val="002E36C6"/>
    <w:rsid w:val="002E37C2"/>
    <w:rsid w:val="002E3829"/>
    <w:rsid w:val="002E3B4B"/>
    <w:rsid w:val="002E3B71"/>
    <w:rsid w:val="002E3B94"/>
    <w:rsid w:val="002E3F24"/>
    <w:rsid w:val="002E4127"/>
    <w:rsid w:val="002E417A"/>
    <w:rsid w:val="002E42AA"/>
    <w:rsid w:val="002E4B0F"/>
    <w:rsid w:val="002E4B4B"/>
    <w:rsid w:val="002E4CA6"/>
    <w:rsid w:val="002E4E4D"/>
    <w:rsid w:val="002E5337"/>
    <w:rsid w:val="002E54AF"/>
    <w:rsid w:val="002E54D6"/>
    <w:rsid w:val="002E5553"/>
    <w:rsid w:val="002E56C2"/>
    <w:rsid w:val="002E585E"/>
    <w:rsid w:val="002E5B85"/>
    <w:rsid w:val="002E5D2F"/>
    <w:rsid w:val="002E5D33"/>
    <w:rsid w:val="002E5E0C"/>
    <w:rsid w:val="002E6125"/>
    <w:rsid w:val="002E6414"/>
    <w:rsid w:val="002E6528"/>
    <w:rsid w:val="002E681F"/>
    <w:rsid w:val="002E69AD"/>
    <w:rsid w:val="002E69F8"/>
    <w:rsid w:val="002E6C79"/>
    <w:rsid w:val="002E6F09"/>
    <w:rsid w:val="002E6F38"/>
    <w:rsid w:val="002E6F6E"/>
    <w:rsid w:val="002E7236"/>
    <w:rsid w:val="002E7415"/>
    <w:rsid w:val="002E7557"/>
    <w:rsid w:val="002E769D"/>
    <w:rsid w:val="002E7784"/>
    <w:rsid w:val="002E7AF6"/>
    <w:rsid w:val="002E7BB7"/>
    <w:rsid w:val="002E7E83"/>
    <w:rsid w:val="002F0183"/>
    <w:rsid w:val="002F07A6"/>
    <w:rsid w:val="002F0C2C"/>
    <w:rsid w:val="002F0C7F"/>
    <w:rsid w:val="002F0C9B"/>
    <w:rsid w:val="002F0FDE"/>
    <w:rsid w:val="002F115E"/>
    <w:rsid w:val="002F129C"/>
    <w:rsid w:val="002F1322"/>
    <w:rsid w:val="002F13C5"/>
    <w:rsid w:val="002F1484"/>
    <w:rsid w:val="002F1502"/>
    <w:rsid w:val="002F15F9"/>
    <w:rsid w:val="002F198D"/>
    <w:rsid w:val="002F1E3D"/>
    <w:rsid w:val="002F1FBC"/>
    <w:rsid w:val="002F2402"/>
    <w:rsid w:val="002F2A86"/>
    <w:rsid w:val="002F2BAF"/>
    <w:rsid w:val="002F2CE4"/>
    <w:rsid w:val="002F2D90"/>
    <w:rsid w:val="002F2DC3"/>
    <w:rsid w:val="002F369F"/>
    <w:rsid w:val="002F3731"/>
    <w:rsid w:val="002F3957"/>
    <w:rsid w:val="002F3C78"/>
    <w:rsid w:val="002F3E51"/>
    <w:rsid w:val="002F41ED"/>
    <w:rsid w:val="002F4394"/>
    <w:rsid w:val="002F4448"/>
    <w:rsid w:val="002F4521"/>
    <w:rsid w:val="002F4C0A"/>
    <w:rsid w:val="002F4FC7"/>
    <w:rsid w:val="002F5105"/>
    <w:rsid w:val="002F5213"/>
    <w:rsid w:val="002F5718"/>
    <w:rsid w:val="002F5853"/>
    <w:rsid w:val="002F58AE"/>
    <w:rsid w:val="002F613F"/>
    <w:rsid w:val="002F61BE"/>
    <w:rsid w:val="002F647B"/>
    <w:rsid w:val="002F6510"/>
    <w:rsid w:val="002F66B8"/>
    <w:rsid w:val="002F6B41"/>
    <w:rsid w:val="002F6E1A"/>
    <w:rsid w:val="002F71FA"/>
    <w:rsid w:val="002F7513"/>
    <w:rsid w:val="002F7A0A"/>
    <w:rsid w:val="002F7E61"/>
    <w:rsid w:val="0030009F"/>
    <w:rsid w:val="00300137"/>
    <w:rsid w:val="003001F3"/>
    <w:rsid w:val="00300581"/>
    <w:rsid w:val="00300A07"/>
    <w:rsid w:val="00300C79"/>
    <w:rsid w:val="00300DB5"/>
    <w:rsid w:val="003010C8"/>
    <w:rsid w:val="0030113D"/>
    <w:rsid w:val="00301647"/>
    <w:rsid w:val="003017A9"/>
    <w:rsid w:val="00301914"/>
    <w:rsid w:val="0030192B"/>
    <w:rsid w:val="0030196C"/>
    <w:rsid w:val="0030259D"/>
    <w:rsid w:val="003026F3"/>
    <w:rsid w:val="00302822"/>
    <w:rsid w:val="00302A0C"/>
    <w:rsid w:val="00302ACE"/>
    <w:rsid w:val="00302B66"/>
    <w:rsid w:val="00302E6A"/>
    <w:rsid w:val="00302ED5"/>
    <w:rsid w:val="003032FA"/>
    <w:rsid w:val="003033AF"/>
    <w:rsid w:val="00303508"/>
    <w:rsid w:val="00303A87"/>
    <w:rsid w:val="00303F74"/>
    <w:rsid w:val="00304070"/>
    <w:rsid w:val="00304182"/>
    <w:rsid w:val="0030427C"/>
    <w:rsid w:val="00304AC1"/>
    <w:rsid w:val="00304B96"/>
    <w:rsid w:val="003055C4"/>
    <w:rsid w:val="00305779"/>
    <w:rsid w:val="00305796"/>
    <w:rsid w:val="00305B2B"/>
    <w:rsid w:val="003060A8"/>
    <w:rsid w:val="00306252"/>
    <w:rsid w:val="0030636D"/>
    <w:rsid w:val="0030641F"/>
    <w:rsid w:val="00306562"/>
    <w:rsid w:val="00306727"/>
    <w:rsid w:val="003070DE"/>
    <w:rsid w:val="0030716F"/>
    <w:rsid w:val="00307DCB"/>
    <w:rsid w:val="00307DFA"/>
    <w:rsid w:val="00307EFB"/>
    <w:rsid w:val="0031015A"/>
    <w:rsid w:val="0031041C"/>
    <w:rsid w:val="00310461"/>
    <w:rsid w:val="0031053E"/>
    <w:rsid w:val="00310618"/>
    <w:rsid w:val="003106D1"/>
    <w:rsid w:val="003109BC"/>
    <w:rsid w:val="00310CC1"/>
    <w:rsid w:val="00311133"/>
    <w:rsid w:val="00311257"/>
    <w:rsid w:val="0031173D"/>
    <w:rsid w:val="003119B0"/>
    <w:rsid w:val="0031211F"/>
    <w:rsid w:val="0031257D"/>
    <w:rsid w:val="00312668"/>
    <w:rsid w:val="0031266F"/>
    <w:rsid w:val="00312A7C"/>
    <w:rsid w:val="00312EB3"/>
    <w:rsid w:val="00313153"/>
    <w:rsid w:val="0031324B"/>
    <w:rsid w:val="003134AD"/>
    <w:rsid w:val="00313761"/>
    <w:rsid w:val="00313A38"/>
    <w:rsid w:val="00313DB3"/>
    <w:rsid w:val="00313F3C"/>
    <w:rsid w:val="00314088"/>
    <w:rsid w:val="00314115"/>
    <w:rsid w:val="00314235"/>
    <w:rsid w:val="003146E7"/>
    <w:rsid w:val="003148FC"/>
    <w:rsid w:val="00314B3B"/>
    <w:rsid w:val="00314C72"/>
    <w:rsid w:val="00315198"/>
    <w:rsid w:val="003151C6"/>
    <w:rsid w:val="003153A1"/>
    <w:rsid w:val="00315A19"/>
    <w:rsid w:val="00315B21"/>
    <w:rsid w:val="00315DC5"/>
    <w:rsid w:val="00315F1B"/>
    <w:rsid w:val="003162F4"/>
    <w:rsid w:val="00316561"/>
    <w:rsid w:val="00316B78"/>
    <w:rsid w:val="00316CB9"/>
    <w:rsid w:val="00316DFD"/>
    <w:rsid w:val="00316E1E"/>
    <w:rsid w:val="00316EE4"/>
    <w:rsid w:val="00316FE3"/>
    <w:rsid w:val="00317157"/>
    <w:rsid w:val="003172A7"/>
    <w:rsid w:val="003172AC"/>
    <w:rsid w:val="0031751E"/>
    <w:rsid w:val="003175EE"/>
    <w:rsid w:val="0031765A"/>
    <w:rsid w:val="003178C3"/>
    <w:rsid w:val="00317D2D"/>
    <w:rsid w:val="00317DF6"/>
    <w:rsid w:val="00317F17"/>
    <w:rsid w:val="0032008A"/>
    <w:rsid w:val="003202E9"/>
    <w:rsid w:val="0032032F"/>
    <w:rsid w:val="003203E6"/>
    <w:rsid w:val="0032094A"/>
    <w:rsid w:val="00320BBD"/>
    <w:rsid w:val="00320BBE"/>
    <w:rsid w:val="00320F62"/>
    <w:rsid w:val="00321095"/>
    <w:rsid w:val="003214C0"/>
    <w:rsid w:val="00321517"/>
    <w:rsid w:val="0032157F"/>
    <w:rsid w:val="003216CD"/>
    <w:rsid w:val="00321840"/>
    <w:rsid w:val="00321891"/>
    <w:rsid w:val="00321A79"/>
    <w:rsid w:val="00321BD8"/>
    <w:rsid w:val="00321EA7"/>
    <w:rsid w:val="00321EF1"/>
    <w:rsid w:val="00321F45"/>
    <w:rsid w:val="00322A08"/>
    <w:rsid w:val="00322D98"/>
    <w:rsid w:val="00322DC2"/>
    <w:rsid w:val="00322F65"/>
    <w:rsid w:val="003230C5"/>
    <w:rsid w:val="0032341C"/>
    <w:rsid w:val="0032392B"/>
    <w:rsid w:val="00323975"/>
    <w:rsid w:val="00323B3A"/>
    <w:rsid w:val="00323EFB"/>
    <w:rsid w:val="00323F9E"/>
    <w:rsid w:val="00323FD1"/>
    <w:rsid w:val="00324492"/>
    <w:rsid w:val="00324524"/>
    <w:rsid w:val="003246ED"/>
    <w:rsid w:val="0032487E"/>
    <w:rsid w:val="003249D6"/>
    <w:rsid w:val="00324F98"/>
    <w:rsid w:val="00325018"/>
    <w:rsid w:val="00325069"/>
    <w:rsid w:val="00325697"/>
    <w:rsid w:val="003256EF"/>
    <w:rsid w:val="00325A41"/>
    <w:rsid w:val="00325A9E"/>
    <w:rsid w:val="00325BB2"/>
    <w:rsid w:val="00325BF5"/>
    <w:rsid w:val="00325C2E"/>
    <w:rsid w:val="00325E0A"/>
    <w:rsid w:val="003260BD"/>
    <w:rsid w:val="00326132"/>
    <w:rsid w:val="0032622C"/>
    <w:rsid w:val="003262AE"/>
    <w:rsid w:val="003267D2"/>
    <w:rsid w:val="00326A25"/>
    <w:rsid w:val="00326A6E"/>
    <w:rsid w:val="00326E64"/>
    <w:rsid w:val="00327019"/>
    <w:rsid w:val="003270C2"/>
    <w:rsid w:val="0032727B"/>
    <w:rsid w:val="0032772B"/>
    <w:rsid w:val="003278BA"/>
    <w:rsid w:val="00327AA5"/>
    <w:rsid w:val="00327AC2"/>
    <w:rsid w:val="00327ED5"/>
    <w:rsid w:val="00327F13"/>
    <w:rsid w:val="00330560"/>
    <w:rsid w:val="003306A2"/>
    <w:rsid w:val="0033079A"/>
    <w:rsid w:val="00330D46"/>
    <w:rsid w:val="00331625"/>
    <w:rsid w:val="0033166B"/>
    <w:rsid w:val="00331931"/>
    <w:rsid w:val="003319A3"/>
    <w:rsid w:val="00331A9F"/>
    <w:rsid w:val="00331C3A"/>
    <w:rsid w:val="00331F4B"/>
    <w:rsid w:val="00331FD2"/>
    <w:rsid w:val="003320A5"/>
    <w:rsid w:val="00332299"/>
    <w:rsid w:val="003322D0"/>
    <w:rsid w:val="0033234E"/>
    <w:rsid w:val="0033286B"/>
    <w:rsid w:val="00332F2C"/>
    <w:rsid w:val="00332FCC"/>
    <w:rsid w:val="00332FDD"/>
    <w:rsid w:val="00333033"/>
    <w:rsid w:val="0033314C"/>
    <w:rsid w:val="00333179"/>
    <w:rsid w:val="003337C6"/>
    <w:rsid w:val="00333D25"/>
    <w:rsid w:val="00333D4A"/>
    <w:rsid w:val="00333FF0"/>
    <w:rsid w:val="003340B8"/>
    <w:rsid w:val="00334377"/>
    <w:rsid w:val="0033440F"/>
    <w:rsid w:val="00334457"/>
    <w:rsid w:val="003347F7"/>
    <w:rsid w:val="00334875"/>
    <w:rsid w:val="003348C6"/>
    <w:rsid w:val="00334AFA"/>
    <w:rsid w:val="00334C80"/>
    <w:rsid w:val="00334D1B"/>
    <w:rsid w:val="0033557A"/>
    <w:rsid w:val="0033582B"/>
    <w:rsid w:val="00335A9B"/>
    <w:rsid w:val="00335DF2"/>
    <w:rsid w:val="0033628F"/>
    <w:rsid w:val="003363DF"/>
    <w:rsid w:val="0033649B"/>
    <w:rsid w:val="003366A4"/>
    <w:rsid w:val="0033686F"/>
    <w:rsid w:val="0033688B"/>
    <w:rsid w:val="00337093"/>
    <w:rsid w:val="00337111"/>
    <w:rsid w:val="003371AE"/>
    <w:rsid w:val="0033734C"/>
    <w:rsid w:val="00337408"/>
    <w:rsid w:val="00337585"/>
    <w:rsid w:val="00337868"/>
    <w:rsid w:val="0033797E"/>
    <w:rsid w:val="00337F40"/>
    <w:rsid w:val="00340621"/>
    <w:rsid w:val="003408F0"/>
    <w:rsid w:val="00340C2E"/>
    <w:rsid w:val="00340F88"/>
    <w:rsid w:val="0034114D"/>
    <w:rsid w:val="003411FE"/>
    <w:rsid w:val="003413EE"/>
    <w:rsid w:val="003419DD"/>
    <w:rsid w:val="00341B82"/>
    <w:rsid w:val="00341CDA"/>
    <w:rsid w:val="00341D4C"/>
    <w:rsid w:val="00341E5A"/>
    <w:rsid w:val="00341F59"/>
    <w:rsid w:val="0034207F"/>
    <w:rsid w:val="00342297"/>
    <w:rsid w:val="00342316"/>
    <w:rsid w:val="003423F2"/>
    <w:rsid w:val="0034248C"/>
    <w:rsid w:val="00342565"/>
    <w:rsid w:val="003425C3"/>
    <w:rsid w:val="003425DD"/>
    <w:rsid w:val="00342E83"/>
    <w:rsid w:val="00342F0B"/>
    <w:rsid w:val="00343100"/>
    <w:rsid w:val="0034312E"/>
    <w:rsid w:val="00343142"/>
    <w:rsid w:val="00343382"/>
    <w:rsid w:val="00343537"/>
    <w:rsid w:val="003435E9"/>
    <w:rsid w:val="00343AA5"/>
    <w:rsid w:val="00343DDD"/>
    <w:rsid w:val="00343E89"/>
    <w:rsid w:val="00343F93"/>
    <w:rsid w:val="0034400E"/>
    <w:rsid w:val="003441B3"/>
    <w:rsid w:val="003442DA"/>
    <w:rsid w:val="00344669"/>
    <w:rsid w:val="00344793"/>
    <w:rsid w:val="0034494D"/>
    <w:rsid w:val="00344AB7"/>
    <w:rsid w:val="00344C88"/>
    <w:rsid w:val="00344D6E"/>
    <w:rsid w:val="00345177"/>
    <w:rsid w:val="003456FF"/>
    <w:rsid w:val="003457F1"/>
    <w:rsid w:val="00345AF4"/>
    <w:rsid w:val="00345CC6"/>
    <w:rsid w:val="00345FCD"/>
    <w:rsid w:val="003461A6"/>
    <w:rsid w:val="003463CC"/>
    <w:rsid w:val="003466F7"/>
    <w:rsid w:val="003467A5"/>
    <w:rsid w:val="00346ADF"/>
    <w:rsid w:val="00346BCB"/>
    <w:rsid w:val="00346CF2"/>
    <w:rsid w:val="00346D03"/>
    <w:rsid w:val="00347043"/>
    <w:rsid w:val="0034715E"/>
    <w:rsid w:val="0034731D"/>
    <w:rsid w:val="00347579"/>
    <w:rsid w:val="00347812"/>
    <w:rsid w:val="00347866"/>
    <w:rsid w:val="00347C3F"/>
    <w:rsid w:val="00347C4B"/>
    <w:rsid w:val="00347C97"/>
    <w:rsid w:val="00347D73"/>
    <w:rsid w:val="003500C4"/>
    <w:rsid w:val="003504AD"/>
    <w:rsid w:val="00350512"/>
    <w:rsid w:val="0035068B"/>
    <w:rsid w:val="003507E6"/>
    <w:rsid w:val="00350826"/>
    <w:rsid w:val="00350B70"/>
    <w:rsid w:val="003514FA"/>
    <w:rsid w:val="003518FD"/>
    <w:rsid w:val="00351996"/>
    <w:rsid w:val="00351B0C"/>
    <w:rsid w:val="00351C28"/>
    <w:rsid w:val="0035206E"/>
    <w:rsid w:val="003521D1"/>
    <w:rsid w:val="003525D0"/>
    <w:rsid w:val="003527E0"/>
    <w:rsid w:val="003527FE"/>
    <w:rsid w:val="00352827"/>
    <w:rsid w:val="003529A4"/>
    <w:rsid w:val="00352E5F"/>
    <w:rsid w:val="00352E74"/>
    <w:rsid w:val="0035351B"/>
    <w:rsid w:val="00353887"/>
    <w:rsid w:val="00353E5F"/>
    <w:rsid w:val="00353F0D"/>
    <w:rsid w:val="00353F59"/>
    <w:rsid w:val="00353F68"/>
    <w:rsid w:val="003541B7"/>
    <w:rsid w:val="003544C2"/>
    <w:rsid w:val="003545B2"/>
    <w:rsid w:val="003548E0"/>
    <w:rsid w:val="00354A7F"/>
    <w:rsid w:val="00354BA9"/>
    <w:rsid w:val="00354CBE"/>
    <w:rsid w:val="00354F01"/>
    <w:rsid w:val="00355335"/>
    <w:rsid w:val="00355826"/>
    <w:rsid w:val="00355864"/>
    <w:rsid w:val="003558F6"/>
    <w:rsid w:val="00355FA7"/>
    <w:rsid w:val="0035601F"/>
    <w:rsid w:val="00356026"/>
    <w:rsid w:val="0035609C"/>
    <w:rsid w:val="0035610D"/>
    <w:rsid w:val="003563B4"/>
    <w:rsid w:val="00356445"/>
    <w:rsid w:val="00356A79"/>
    <w:rsid w:val="00356F41"/>
    <w:rsid w:val="00356F98"/>
    <w:rsid w:val="0035748A"/>
    <w:rsid w:val="00357B16"/>
    <w:rsid w:val="00360094"/>
    <w:rsid w:val="00360175"/>
    <w:rsid w:val="0036022E"/>
    <w:rsid w:val="003609C1"/>
    <w:rsid w:val="00360DE0"/>
    <w:rsid w:val="00360EF8"/>
    <w:rsid w:val="00361013"/>
    <w:rsid w:val="0036126C"/>
    <w:rsid w:val="0036135C"/>
    <w:rsid w:val="003613CD"/>
    <w:rsid w:val="00361940"/>
    <w:rsid w:val="00361ECA"/>
    <w:rsid w:val="0036200D"/>
    <w:rsid w:val="0036258B"/>
    <w:rsid w:val="00362602"/>
    <w:rsid w:val="00362676"/>
    <w:rsid w:val="00362729"/>
    <w:rsid w:val="003629CD"/>
    <w:rsid w:val="00362A66"/>
    <w:rsid w:val="00362A68"/>
    <w:rsid w:val="00362BE1"/>
    <w:rsid w:val="00362E2B"/>
    <w:rsid w:val="00362EFD"/>
    <w:rsid w:val="003635DD"/>
    <w:rsid w:val="003636D0"/>
    <w:rsid w:val="003636D4"/>
    <w:rsid w:val="00363BA9"/>
    <w:rsid w:val="00363E35"/>
    <w:rsid w:val="00363F02"/>
    <w:rsid w:val="0036415B"/>
    <w:rsid w:val="003641AB"/>
    <w:rsid w:val="0036442B"/>
    <w:rsid w:val="00364559"/>
    <w:rsid w:val="003646B0"/>
    <w:rsid w:val="00364E4B"/>
    <w:rsid w:val="00364FA3"/>
    <w:rsid w:val="0036512C"/>
    <w:rsid w:val="003658F1"/>
    <w:rsid w:val="0036592A"/>
    <w:rsid w:val="00365E86"/>
    <w:rsid w:val="00365FE5"/>
    <w:rsid w:val="0036600D"/>
    <w:rsid w:val="0036608F"/>
    <w:rsid w:val="003664B0"/>
    <w:rsid w:val="00366B4B"/>
    <w:rsid w:val="00366E1B"/>
    <w:rsid w:val="00366F57"/>
    <w:rsid w:val="0036739A"/>
    <w:rsid w:val="003673A9"/>
    <w:rsid w:val="0036747C"/>
    <w:rsid w:val="0036747E"/>
    <w:rsid w:val="00367848"/>
    <w:rsid w:val="00367BA5"/>
    <w:rsid w:val="00367C4A"/>
    <w:rsid w:val="00367C4D"/>
    <w:rsid w:val="00370000"/>
    <w:rsid w:val="00370065"/>
    <w:rsid w:val="0037030E"/>
    <w:rsid w:val="0037045F"/>
    <w:rsid w:val="00370497"/>
    <w:rsid w:val="00370861"/>
    <w:rsid w:val="00370C5B"/>
    <w:rsid w:val="00371420"/>
    <w:rsid w:val="0037149E"/>
    <w:rsid w:val="003714DE"/>
    <w:rsid w:val="00371766"/>
    <w:rsid w:val="003718C3"/>
    <w:rsid w:val="00371A0A"/>
    <w:rsid w:val="00371A85"/>
    <w:rsid w:val="00371E29"/>
    <w:rsid w:val="00371ED9"/>
    <w:rsid w:val="00372188"/>
    <w:rsid w:val="00372278"/>
    <w:rsid w:val="003722AF"/>
    <w:rsid w:val="0037249E"/>
    <w:rsid w:val="003727CD"/>
    <w:rsid w:val="00372C17"/>
    <w:rsid w:val="00372DA3"/>
    <w:rsid w:val="00372FE0"/>
    <w:rsid w:val="003731E8"/>
    <w:rsid w:val="0037329C"/>
    <w:rsid w:val="00373451"/>
    <w:rsid w:val="00373597"/>
    <w:rsid w:val="00373BBE"/>
    <w:rsid w:val="00373CE1"/>
    <w:rsid w:val="00373F30"/>
    <w:rsid w:val="003743B3"/>
    <w:rsid w:val="003744AE"/>
    <w:rsid w:val="0037468F"/>
    <w:rsid w:val="003749AE"/>
    <w:rsid w:val="003749DD"/>
    <w:rsid w:val="00374A58"/>
    <w:rsid w:val="00374B14"/>
    <w:rsid w:val="00374D5A"/>
    <w:rsid w:val="003751B6"/>
    <w:rsid w:val="003753F7"/>
    <w:rsid w:val="003756A1"/>
    <w:rsid w:val="0037592B"/>
    <w:rsid w:val="00375A62"/>
    <w:rsid w:val="00375A74"/>
    <w:rsid w:val="00375AA4"/>
    <w:rsid w:val="00375B4B"/>
    <w:rsid w:val="00375C5B"/>
    <w:rsid w:val="00375DE3"/>
    <w:rsid w:val="00376369"/>
    <w:rsid w:val="003763C4"/>
    <w:rsid w:val="003766EC"/>
    <w:rsid w:val="00376EF3"/>
    <w:rsid w:val="00376FAE"/>
    <w:rsid w:val="00376FEE"/>
    <w:rsid w:val="0037727C"/>
    <w:rsid w:val="0037737E"/>
    <w:rsid w:val="00377487"/>
    <w:rsid w:val="003778E3"/>
    <w:rsid w:val="00377A63"/>
    <w:rsid w:val="00377A99"/>
    <w:rsid w:val="00377A9B"/>
    <w:rsid w:val="003803CA"/>
    <w:rsid w:val="00380438"/>
    <w:rsid w:val="0038051D"/>
    <w:rsid w:val="00380A2A"/>
    <w:rsid w:val="00380BCA"/>
    <w:rsid w:val="00380BE2"/>
    <w:rsid w:val="003811F9"/>
    <w:rsid w:val="003812E7"/>
    <w:rsid w:val="0038146C"/>
    <w:rsid w:val="0038159E"/>
    <w:rsid w:val="003815E1"/>
    <w:rsid w:val="003815F1"/>
    <w:rsid w:val="003817EC"/>
    <w:rsid w:val="00381A66"/>
    <w:rsid w:val="00381AF8"/>
    <w:rsid w:val="003820EB"/>
    <w:rsid w:val="003823FF"/>
    <w:rsid w:val="003824AA"/>
    <w:rsid w:val="00382AA9"/>
    <w:rsid w:val="00383052"/>
    <w:rsid w:val="00383367"/>
    <w:rsid w:val="003837A0"/>
    <w:rsid w:val="003839B2"/>
    <w:rsid w:val="00383B18"/>
    <w:rsid w:val="00383FF6"/>
    <w:rsid w:val="0038400F"/>
    <w:rsid w:val="00384122"/>
    <w:rsid w:val="003845FB"/>
    <w:rsid w:val="00384A37"/>
    <w:rsid w:val="00384ADF"/>
    <w:rsid w:val="00384B36"/>
    <w:rsid w:val="00384B37"/>
    <w:rsid w:val="00384BCB"/>
    <w:rsid w:val="00384E94"/>
    <w:rsid w:val="00384E97"/>
    <w:rsid w:val="00384F1E"/>
    <w:rsid w:val="00384FF4"/>
    <w:rsid w:val="0038559E"/>
    <w:rsid w:val="003859F9"/>
    <w:rsid w:val="00385BA9"/>
    <w:rsid w:val="00385C14"/>
    <w:rsid w:val="0038637D"/>
    <w:rsid w:val="003863F1"/>
    <w:rsid w:val="003868A0"/>
    <w:rsid w:val="00386B09"/>
    <w:rsid w:val="00386D47"/>
    <w:rsid w:val="00386D61"/>
    <w:rsid w:val="00387193"/>
    <w:rsid w:val="00387232"/>
    <w:rsid w:val="003874F7"/>
    <w:rsid w:val="00387871"/>
    <w:rsid w:val="00387B27"/>
    <w:rsid w:val="00387B6A"/>
    <w:rsid w:val="00390583"/>
    <w:rsid w:val="0039102F"/>
    <w:rsid w:val="003911E0"/>
    <w:rsid w:val="0039129C"/>
    <w:rsid w:val="003912A1"/>
    <w:rsid w:val="00391701"/>
    <w:rsid w:val="00391D16"/>
    <w:rsid w:val="00392300"/>
    <w:rsid w:val="00392593"/>
    <w:rsid w:val="003927CB"/>
    <w:rsid w:val="0039293E"/>
    <w:rsid w:val="00392B47"/>
    <w:rsid w:val="00392B82"/>
    <w:rsid w:val="00392C47"/>
    <w:rsid w:val="00392DD9"/>
    <w:rsid w:val="00392F4B"/>
    <w:rsid w:val="0039314E"/>
    <w:rsid w:val="003934E8"/>
    <w:rsid w:val="00393841"/>
    <w:rsid w:val="0039390C"/>
    <w:rsid w:val="00393E36"/>
    <w:rsid w:val="00393FAA"/>
    <w:rsid w:val="003940AC"/>
    <w:rsid w:val="0039415F"/>
    <w:rsid w:val="00394307"/>
    <w:rsid w:val="0039477E"/>
    <w:rsid w:val="00394873"/>
    <w:rsid w:val="003948BD"/>
    <w:rsid w:val="00394A53"/>
    <w:rsid w:val="00394E92"/>
    <w:rsid w:val="00395144"/>
    <w:rsid w:val="003952D1"/>
    <w:rsid w:val="00395358"/>
    <w:rsid w:val="003954A4"/>
    <w:rsid w:val="00395581"/>
    <w:rsid w:val="003955D9"/>
    <w:rsid w:val="00395818"/>
    <w:rsid w:val="0039693E"/>
    <w:rsid w:val="003969E0"/>
    <w:rsid w:val="00396BD0"/>
    <w:rsid w:val="00396C39"/>
    <w:rsid w:val="00396D03"/>
    <w:rsid w:val="003970D2"/>
    <w:rsid w:val="003972D7"/>
    <w:rsid w:val="003972DF"/>
    <w:rsid w:val="003974B1"/>
    <w:rsid w:val="003975FB"/>
    <w:rsid w:val="003978F8"/>
    <w:rsid w:val="00397903"/>
    <w:rsid w:val="0039792D"/>
    <w:rsid w:val="003A0018"/>
    <w:rsid w:val="003A040B"/>
    <w:rsid w:val="003A0468"/>
    <w:rsid w:val="003A0705"/>
    <w:rsid w:val="003A07B3"/>
    <w:rsid w:val="003A08E0"/>
    <w:rsid w:val="003A0BC4"/>
    <w:rsid w:val="003A1206"/>
    <w:rsid w:val="003A15EA"/>
    <w:rsid w:val="003A16AA"/>
    <w:rsid w:val="003A1988"/>
    <w:rsid w:val="003A19ED"/>
    <w:rsid w:val="003A1CC4"/>
    <w:rsid w:val="003A1D25"/>
    <w:rsid w:val="003A1D92"/>
    <w:rsid w:val="003A2643"/>
    <w:rsid w:val="003A2BFF"/>
    <w:rsid w:val="003A2CC6"/>
    <w:rsid w:val="003A2F50"/>
    <w:rsid w:val="003A2FE3"/>
    <w:rsid w:val="003A3301"/>
    <w:rsid w:val="003A373B"/>
    <w:rsid w:val="003A37AA"/>
    <w:rsid w:val="003A3855"/>
    <w:rsid w:val="003A3ACA"/>
    <w:rsid w:val="003A3D15"/>
    <w:rsid w:val="003A3D8A"/>
    <w:rsid w:val="003A3E19"/>
    <w:rsid w:val="003A3E40"/>
    <w:rsid w:val="003A3E80"/>
    <w:rsid w:val="003A3E85"/>
    <w:rsid w:val="003A3F2F"/>
    <w:rsid w:val="003A3F88"/>
    <w:rsid w:val="003A3FCE"/>
    <w:rsid w:val="003A402A"/>
    <w:rsid w:val="003A40C9"/>
    <w:rsid w:val="003A414F"/>
    <w:rsid w:val="003A4211"/>
    <w:rsid w:val="003A44C7"/>
    <w:rsid w:val="003A4515"/>
    <w:rsid w:val="003A4666"/>
    <w:rsid w:val="003A4816"/>
    <w:rsid w:val="003A4896"/>
    <w:rsid w:val="003A48B5"/>
    <w:rsid w:val="003A4C25"/>
    <w:rsid w:val="003A4C4E"/>
    <w:rsid w:val="003A4E80"/>
    <w:rsid w:val="003A4FCB"/>
    <w:rsid w:val="003A5108"/>
    <w:rsid w:val="003A51DD"/>
    <w:rsid w:val="003A52C2"/>
    <w:rsid w:val="003A532D"/>
    <w:rsid w:val="003A538F"/>
    <w:rsid w:val="003A5777"/>
    <w:rsid w:val="003A5792"/>
    <w:rsid w:val="003A5DC8"/>
    <w:rsid w:val="003A5E0B"/>
    <w:rsid w:val="003A5E3B"/>
    <w:rsid w:val="003A607D"/>
    <w:rsid w:val="003A6752"/>
    <w:rsid w:val="003A69F5"/>
    <w:rsid w:val="003A712B"/>
    <w:rsid w:val="003A7302"/>
    <w:rsid w:val="003A73B6"/>
    <w:rsid w:val="003A751C"/>
    <w:rsid w:val="003A75E6"/>
    <w:rsid w:val="003A76AF"/>
    <w:rsid w:val="003A7A8E"/>
    <w:rsid w:val="003A7AFC"/>
    <w:rsid w:val="003A7D48"/>
    <w:rsid w:val="003A7D99"/>
    <w:rsid w:val="003A7E54"/>
    <w:rsid w:val="003A7E6D"/>
    <w:rsid w:val="003B0139"/>
    <w:rsid w:val="003B0350"/>
    <w:rsid w:val="003B04A4"/>
    <w:rsid w:val="003B06EC"/>
    <w:rsid w:val="003B08F1"/>
    <w:rsid w:val="003B0A33"/>
    <w:rsid w:val="003B0AC8"/>
    <w:rsid w:val="003B0FCB"/>
    <w:rsid w:val="003B1310"/>
    <w:rsid w:val="003B1460"/>
    <w:rsid w:val="003B1493"/>
    <w:rsid w:val="003B1499"/>
    <w:rsid w:val="003B15D7"/>
    <w:rsid w:val="003B1604"/>
    <w:rsid w:val="003B1775"/>
    <w:rsid w:val="003B1782"/>
    <w:rsid w:val="003B17D2"/>
    <w:rsid w:val="003B18E9"/>
    <w:rsid w:val="003B1966"/>
    <w:rsid w:val="003B1A16"/>
    <w:rsid w:val="003B1BDB"/>
    <w:rsid w:val="003B1D62"/>
    <w:rsid w:val="003B1E79"/>
    <w:rsid w:val="003B1F7B"/>
    <w:rsid w:val="003B2020"/>
    <w:rsid w:val="003B21FD"/>
    <w:rsid w:val="003B2810"/>
    <w:rsid w:val="003B287B"/>
    <w:rsid w:val="003B29C1"/>
    <w:rsid w:val="003B2C2B"/>
    <w:rsid w:val="003B2E0D"/>
    <w:rsid w:val="003B2F05"/>
    <w:rsid w:val="003B2F4B"/>
    <w:rsid w:val="003B3687"/>
    <w:rsid w:val="003B3A12"/>
    <w:rsid w:val="003B3AD7"/>
    <w:rsid w:val="003B3D40"/>
    <w:rsid w:val="003B4215"/>
    <w:rsid w:val="003B4259"/>
    <w:rsid w:val="003B4328"/>
    <w:rsid w:val="003B4342"/>
    <w:rsid w:val="003B443D"/>
    <w:rsid w:val="003B4750"/>
    <w:rsid w:val="003B47C3"/>
    <w:rsid w:val="003B4B3A"/>
    <w:rsid w:val="003B4B9E"/>
    <w:rsid w:val="003B4F02"/>
    <w:rsid w:val="003B53BD"/>
    <w:rsid w:val="003B558E"/>
    <w:rsid w:val="003B5600"/>
    <w:rsid w:val="003B5678"/>
    <w:rsid w:val="003B57ED"/>
    <w:rsid w:val="003B5908"/>
    <w:rsid w:val="003B68B1"/>
    <w:rsid w:val="003B68DA"/>
    <w:rsid w:val="003B6B0D"/>
    <w:rsid w:val="003B6C7F"/>
    <w:rsid w:val="003B6C97"/>
    <w:rsid w:val="003B71A1"/>
    <w:rsid w:val="003B7362"/>
    <w:rsid w:val="003B74BE"/>
    <w:rsid w:val="003B75ED"/>
    <w:rsid w:val="003B76EF"/>
    <w:rsid w:val="003B7771"/>
    <w:rsid w:val="003B781C"/>
    <w:rsid w:val="003C0011"/>
    <w:rsid w:val="003C0214"/>
    <w:rsid w:val="003C0722"/>
    <w:rsid w:val="003C0743"/>
    <w:rsid w:val="003C07DF"/>
    <w:rsid w:val="003C0A6C"/>
    <w:rsid w:val="003C0C59"/>
    <w:rsid w:val="003C117A"/>
    <w:rsid w:val="003C1787"/>
    <w:rsid w:val="003C1F69"/>
    <w:rsid w:val="003C2045"/>
    <w:rsid w:val="003C209C"/>
    <w:rsid w:val="003C25F9"/>
    <w:rsid w:val="003C267F"/>
    <w:rsid w:val="003C2BDA"/>
    <w:rsid w:val="003C2C0D"/>
    <w:rsid w:val="003C2C66"/>
    <w:rsid w:val="003C300B"/>
    <w:rsid w:val="003C3064"/>
    <w:rsid w:val="003C30EC"/>
    <w:rsid w:val="003C3680"/>
    <w:rsid w:val="003C384C"/>
    <w:rsid w:val="003C390B"/>
    <w:rsid w:val="003C3A3B"/>
    <w:rsid w:val="003C3B57"/>
    <w:rsid w:val="003C3EFD"/>
    <w:rsid w:val="003C3F89"/>
    <w:rsid w:val="003C407D"/>
    <w:rsid w:val="003C4BDF"/>
    <w:rsid w:val="003C4DBF"/>
    <w:rsid w:val="003C4DCF"/>
    <w:rsid w:val="003C4FA3"/>
    <w:rsid w:val="003C5140"/>
    <w:rsid w:val="003C522B"/>
    <w:rsid w:val="003C52E7"/>
    <w:rsid w:val="003C5A7C"/>
    <w:rsid w:val="003C5C7D"/>
    <w:rsid w:val="003C615A"/>
    <w:rsid w:val="003C6914"/>
    <w:rsid w:val="003C6979"/>
    <w:rsid w:val="003C6A81"/>
    <w:rsid w:val="003C6AD5"/>
    <w:rsid w:val="003C6ECF"/>
    <w:rsid w:val="003C70FB"/>
    <w:rsid w:val="003C75D1"/>
    <w:rsid w:val="003C75EF"/>
    <w:rsid w:val="003C768C"/>
    <w:rsid w:val="003C76FF"/>
    <w:rsid w:val="003C7903"/>
    <w:rsid w:val="003C7BF6"/>
    <w:rsid w:val="003C7C08"/>
    <w:rsid w:val="003C7D07"/>
    <w:rsid w:val="003D0221"/>
    <w:rsid w:val="003D05F7"/>
    <w:rsid w:val="003D0755"/>
    <w:rsid w:val="003D0788"/>
    <w:rsid w:val="003D079C"/>
    <w:rsid w:val="003D0F39"/>
    <w:rsid w:val="003D0F78"/>
    <w:rsid w:val="003D1186"/>
    <w:rsid w:val="003D16A4"/>
    <w:rsid w:val="003D1B95"/>
    <w:rsid w:val="003D222A"/>
    <w:rsid w:val="003D2616"/>
    <w:rsid w:val="003D2738"/>
    <w:rsid w:val="003D289D"/>
    <w:rsid w:val="003D2A34"/>
    <w:rsid w:val="003D2B0E"/>
    <w:rsid w:val="003D2FC3"/>
    <w:rsid w:val="003D3028"/>
    <w:rsid w:val="003D3572"/>
    <w:rsid w:val="003D38BF"/>
    <w:rsid w:val="003D3EA6"/>
    <w:rsid w:val="003D3FBD"/>
    <w:rsid w:val="003D4029"/>
    <w:rsid w:val="003D4195"/>
    <w:rsid w:val="003D432D"/>
    <w:rsid w:val="003D444F"/>
    <w:rsid w:val="003D44EC"/>
    <w:rsid w:val="003D47D2"/>
    <w:rsid w:val="003D4A3C"/>
    <w:rsid w:val="003D4BC2"/>
    <w:rsid w:val="003D4DF2"/>
    <w:rsid w:val="003D4E8A"/>
    <w:rsid w:val="003D4F8B"/>
    <w:rsid w:val="003D51B0"/>
    <w:rsid w:val="003D5307"/>
    <w:rsid w:val="003D5A07"/>
    <w:rsid w:val="003D6112"/>
    <w:rsid w:val="003D62B0"/>
    <w:rsid w:val="003D6316"/>
    <w:rsid w:val="003D6672"/>
    <w:rsid w:val="003D66C9"/>
    <w:rsid w:val="003D6804"/>
    <w:rsid w:val="003D68BB"/>
    <w:rsid w:val="003D68BE"/>
    <w:rsid w:val="003D6B48"/>
    <w:rsid w:val="003D6E0E"/>
    <w:rsid w:val="003D7007"/>
    <w:rsid w:val="003D70B4"/>
    <w:rsid w:val="003D70C8"/>
    <w:rsid w:val="003D740B"/>
    <w:rsid w:val="003D75AF"/>
    <w:rsid w:val="003D785E"/>
    <w:rsid w:val="003D79FC"/>
    <w:rsid w:val="003D7C21"/>
    <w:rsid w:val="003D7C57"/>
    <w:rsid w:val="003D7DFA"/>
    <w:rsid w:val="003E00FF"/>
    <w:rsid w:val="003E01B8"/>
    <w:rsid w:val="003E0427"/>
    <w:rsid w:val="003E07D5"/>
    <w:rsid w:val="003E0F7A"/>
    <w:rsid w:val="003E0F81"/>
    <w:rsid w:val="003E111D"/>
    <w:rsid w:val="003E11F5"/>
    <w:rsid w:val="003E13A4"/>
    <w:rsid w:val="003E1457"/>
    <w:rsid w:val="003E194B"/>
    <w:rsid w:val="003E1A1A"/>
    <w:rsid w:val="003E1BAD"/>
    <w:rsid w:val="003E1C32"/>
    <w:rsid w:val="003E1D91"/>
    <w:rsid w:val="003E1EF1"/>
    <w:rsid w:val="003E20D5"/>
    <w:rsid w:val="003E2125"/>
    <w:rsid w:val="003E240E"/>
    <w:rsid w:val="003E2451"/>
    <w:rsid w:val="003E2524"/>
    <w:rsid w:val="003E26E7"/>
    <w:rsid w:val="003E2B57"/>
    <w:rsid w:val="003E2EB9"/>
    <w:rsid w:val="003E2FEB"/>
    <w:rsid w:val="003E329B"/>
    <w:rsid w:val="003E36D6"/>
    <w:rsid w:val="003E379F"/>
    <w:rsid w:val="003E3AD8"/>
    <w:rsid w:val="003E3AE0"/>
    <w:rsid w:val="003E3F1F"/>
    <w:rsid w:val="003E3F3F"/>
    <w:rsid w:val="003E40A9"/>
    <w:rsid w:val="003E4149"/>
    <w:rsid w:val="003E432C"/>
    <w:rsid w:val="003E44F4"/>
    <w:rsid w:val="003E4645"/>
    <w:rsid w:val="003E473C"/>
    <w:rsid w:val="003E47C1"/>
    <w:rsid w:val="003E47FB"/>
    <w:rsid w:val="003E4809"/>
    <w:rsid w:val="003E482A"/>
    <w:rsid w:val="003E48F1"/>
    <w:rsid w:val="003E4935"/>
    <w:rsid w:val="003E4A6E"/>
    <w:rsid w:val="003E4B0A"/>
    <w:rsid w:val="003E4C2C"/>
    <w:rsid w:val="003E5011"/>
    <w:rsid w:val="003E548A"/>
    <w:rsid w:val="003E55A4"/>
    <w:rsid w:val="003E567D"/>
    <w:rsid w:val="003E5A44"/>
    <w:rsid w:val="003E5A73"/>
    <w:rsid w:val="003E6080"/>
    <w:rsid w:val="003E63BD"/>
    <w:rsid w:val="003E6915"/>
    <w:rsid w:val="003E6A26"/>
    <w:rsid w:val="003E6A94"/>
    <w:rsid w:val="003E6DB7"/>
    <w:rsid w:val="003E6E76"/>
    <w:rsid w:val="003E6E8A"/>
    <w:rsid w:val="003E7083"/>
    <w:rsid w:val="003E7163"/>
    <w:rsid w:val="003E7911"/>
    <w:rsid w:val="003E7AB1"/>
    <w:rsid w:val="003E7C16"/>
    <w:rsid w:val="003E7DAE"/>
    <w:rsid w:val="003E7E3B"/>
    <w:rsid w:val="003F009A"/>
    <w:rsid w:val="003F00E8"/>
    <w:rsid w:val="003F023B"/>
    <w:rsid w:val="003F0601"/>
    <w:rsid w:val="003F065A"/>
    <w:rsid w:val="003F0817"/>
    <w:rsid w:val="003F09E2"/>
    <w:rsid w:val="003F0C2C"/>
    <w:rsid w:val="003F0C6C"/>
    <w:rsid w:val="003F0E9C"/>
    <w:rsid w:val="003F0EE5"/>
    <w:rsid w:val="003F0EEE"/>
    <w:rsid w:val="003F10A9"/>
    <w:rsid w:val="003F10CF"/>
    <w:rsid w:val="003F17A1"/>
    <w:rsid w:val="003F1A32"/>
    <w:rsid w:val="003F1A90"/>
    <w:rsid w:val="003F1C36"/>
    <w:rsid w:val="003F1C5B"/>
    <w:rsid w:val="003F1DFD"/>
    <w:rsid w:val="003F1ED4"/>
    <w:rsid w:val="003F1F3E"/>
    <w:rsid w:val="003F228F"/>
    <w:rsid w:val="003F25E8"/>
    <w:rsid w:val="003F29A8"/>
    <w:rsid w:val="003F2B19"/>
    <w:rsid w:val="003F2B9C"/>
    <w:rsid w:val="003F2F97"/>
    <w:rsid w:val="003F3164"/>
    <w:rsid w:val="003F32FB"/>
    <w:rsid w:val="003F3345"/>
    <w:rsid w:val="003F3506"/>
    <w:rsid w:val="003F360A"/>
    <w:rsid w:val="003F387F"/>
    <w:rsid w:val="003F38A2"/>
    <w:rsid w:val="003F3A15"/>
    <w:rsid w:val="003F3BBC"/>
    <w:rsid w:val="003F3E86"/>
    <w:rsid w:val="003F3EEF"/>
    <w:rsid w:val="003F3FCF"/>
    <w:rsid w:val="003F4291"/>
    <w:rsid w:val="003F43E9"/>
    <w:rsid w:val="003F449D"/>
    <w:rsid w:val="003F48B5"/>
    <w:rsid w:val="003F493C"/>
    <w:rsid w:val="003F4B19"/>
    <w:rsid w:val="003F5080"/>
    <w:rsid w:val="003F5238"/>
    <w:rsid w:val="003F596E"/>
    <w:rsid w:val="003F5A35"/>
    <w:rsid w:val="003F5A90"/>
    <w:rsid w:val="003F5B2E"/>
    <w:rsid w:val="003F5B72"/>
    <w:rsid w:val="003F5B7D"/>
    <w:rsid w:val="003F5E1D"/>
    <w:rsid w:val="003F5E44"/>
    <w:rsid w:val="003F616E"/>
    <w:rsid w:val="003F6637"/>
    <w:rsid w:val="003F67EE"/>
    <w:rsid w:val="003F6979"/>
    <w:rsid w:val="003F6AB6"/>
    <w:rsid w:val="003F6BDD"/>
    <w:rsid w:val="003F6E1D"/>
    <w:rsid w:val="003F6F4B"/>
    <w:rsid w:val="003F71AF"/>
    <w:rsid w:val="003F71C1"/>
    <w:rsid w:val="003F7344"/>
    <w:rsid w:val="003F774D"/>
    <w:rsid w:val="003F782D"/>
    <w:rsid w:val="003F7C1A"/>
    <w:rsid w:val="003F7EFB"/>
    <w:rsid w:val="00400036"/>
    <w:rsid w:val="00400258"/>
    <w:rsid w:val="0040062D"/>
    <w:rsid w:val="0040064E"/>
    <w:rsid w:val="00400831"/>
    <w:rsid w:val="004008DF"/>
    <w:rsid w:val="0040092A"/>
    <w:rsid w:val="00400A54"/>
    <w:rsid w:val="00400AAF"/>
    <w:rsid w:val="00400D73"/>
    <w:rsid w:val="00400F59"/>
    <w:rsid w:val="0040105E"/>
    <w:rsid w:val="00401193"/>
    <w:rsid w:val="004012A4"/>
    <w:rsid w:val="00401528"/>
    <w:rsid w:val="00401BF0"/>
    <w:rsid w:val="00401FF1"/>
    <w:rsid w:val="00402141"/>
    <w:rsid w:val="0040216D"/>
    <w:rsid w:val="0040219D"/>
    <w:rsid w:val="0040229F"/>
    <w:rsid w:val="004023ED"/>
    <w:rsid w:val="004024A9"/>
    <w:rsid w:val="004028A1"/>
    <w:rsid w:val="004028D1"/>
    <w:rsid w:val="0040292D"/>
    <w:rsid w:val="00402A47"/>
    <w:rsid w:val="00402AAA"/>
    <w:rsid w:val="00402CE5"/>
    <w:rsid w:val="00402D35"/>
    <w:rsid w:val="004030D9"/>
    <w:rsid w:val="0040337A"/>
    <w:rsid w:val="00403413"/>
    <w:rsid w:val="004034E3"/>
    <w:rsid w:val="00403A20"/>
    <w:rsid w:val="00403B47"/>
    <w:rsid w:val="00403C26"/>
    <w:rsid w:val="00403D9C"/>
    <w:rsid w:val="00403F6D"/>
    <w:rsid w:val="00403FDC"/>
    <w:rsid w:val="0040438E"/>
    <w:rsid w:val="0040439E"/>
    <w:rsid w:val="00404524"/>
    <w:rsid w:val="00404CBD"/>
    <w:rsid w:val="00404DEE"/>
    <w:rsid w:val="004051DF"/>
    <w:rsid w:val="0040551E"/>
    <w:rsid w:val="00405A58"/>
    <w:rsid w:val="00405AD2"/>
    <w:rsid w:val="004060BB"/>
    <w:rsid w:val="00406352"/>
    <w:rsid w:val="00406508"/>
    <w:rsid w:val="00406650"/>
    <w:rsid w:val="0040698A"/>
    <w:rsid w:val="00407430"/>
    <w:rsid w:val="0040743E"/>
    <w:rsid w:val="004075D4"/>
    <w:rsid w:val="0040777B"/>
    <w:rsid w:val="00407885"/>
    <w:rsid w:val="00407943"/>
    <w:rsid w:val="00407D2D"/>
    <w:rsid w:val="004100F2"/>
    <w:rsid w:val="004100F3"/>
    <w:rsid w:val="004105D9"/>
    <w:rsid w:val="00410659"/>
    <w:rsid w:val="00410E9B"/>
    <w:rsid w:val="00410FEC"/>
    <w:rsid w:val="00411008"/>
    <w:rsid w:val="0041101D"/>
    <w:rsid w:val="004114CB"/>
    <w:rsid w:val="004115C6"/>
    <w:rsid w:val="00411642"/>
    <w:rsid w:val="004116F8"/>
    <w:rsid w:val="004118B2"/>
    <w:rsid w:val="00411AF5"/>
    <w:rsid w:val="00411D6C"/>
    <w:rsid w:val="00412958"/>
    <w:rsid w:val="00412978"/>
    <w:rsid w:val="004129E3"/>
    <w:rsid w:val="00412A85"/>
    <w:rsid w:val="00412DFC"/>
    <w:rsid w:val="0041336D"/>
    <w:rsid w:val="004133EE"/>
    <w:rsid w:val="00413445"/>
    <w:rsid w:val="00413995"/>
    <w:rsid w:val="00413AAE"/>
    <w:rsid w:val="00413F4A"/>
    <w:rsid w:val="00414024"/>
    <w:rsid w:val="0041436F"/>
    <w:rsid w:val="0041437B"/>
    <w:rsid w:val="004144C0"/>
    <w:rsid w:val="00414713"/>
    <w:rsid w:val="00414C7D"/>
    <w:rsid w:val="00414F4F"/>
    <w:rsid w:val="004155FE"/>
    <w:rsid w:val="00415642"/>
    <w:rsid w:val="00415843"/>
    <w:rsid w:val="00415B2D"/>
    <w:rsid w:val="00415C5F"/>
    <w:rsid w:val="00415CA4"/>
    <w:rsid w:val="00415D09"/>
    <w:rsid w:val="00415FF0"/>
    <w:rsid w:val="00416026"/>
    <w:rsid w:val="00416180"/>
    <w:rsid w:val="00416230"/>
    <w:rsid w:val="00416661"/>
    <w:rsid w:val="00416945"/>
    <w:rsid w:val="00416B19"/>
    <w:rsid w:val="00416B32"/>
    <w:rsid w:val="00416CD2"/>
    <w:rsid w:val="00416D48"/>
    <w:rsid w:val="00416FC0"/>
    <w:rsid w:val="00417036"/>
    <w:rsid w:val="00417039"/>
    <w:rsid w:val="004172A5"/>
    <w:rsid w:val="00417333"/>
    <w:rsid w:val="00417354"/>
    <w:rsid w:val="00417738"/>
    <w:rsid w:val="004178B0"/>
    <w:rsid w:val="00417A8F"/>
    <w:rsid w:val="00417BBD"/>
    <w:rsid w:val="00417EBE"/>
    <w:rsid w:val="00417FA6"/>
    <w:rsid w:val="004202EC"/>
    <w:rsid w:val="00420898"/>
    <w:rsid w:val="00420983"/>
    <w:rsid w:val="00420BE8"/>
    <w:rsid w:val="00420E14"/>
    <w:rsid w:val="00421224"/>
    <w:rsid w:val="00421279"/>
    <w:rsid w:val="004213A6"/>
    <w:rsid w:val="00421D9C"/>
    <w:rsid w:val="00421FC8"/>
    <w:rsid w:val="0042204B"/>
    <w:rsid w:val="004222DD"/>
    <w:rsid w:val="00422B55"/>
    <w:rsid w:val="00422BF8"/>
    <w:rsid w:val="00422E1C"/>
    <w:rsid w:val="0042303B"/>
    <w:rsid w:val="0042359A"/>
    <w:rsid w:val="004235CA"/>
    <w:rsid w:val="0042392C"/>
    <w:rsid w:val="00423BC4"/>
    <w:rsid w:val="00423CA1"/>
    <w:rsid w:val="00423F1F"/>
    <w:rsid w:val="0042404A"/>
    <w:rsid w:val="0042406F"/>
    <w:rsid w:val="00424085"/>
    <w:rsid w:val="004241FB"/>
    <w:rsid w:val="0042438C"/>
    <w:rsid w:val="004245F7"/>
    <w:rsid w:val="004247A7"/>
    <w:rsid w:val="00424B01"/>
    <w:rsid w:val="00424B70"/>
    <w:rsid w:val="00424BD2"/>
    <w:rsid w:val="00424E68"/>
    <w:rsid w:val="004250D8"/>
    <w:rsid w:val="00425114"/>
    <w:rsid w:val="004251C7"/>
    <w:rsid w:val="0042527F"/>
    <w:rsid w:val="004253CE"/>
    <w:rsid w:val="004255B5"/>
    <w:rsid w:val="0042583F"/>
    <w:rsid w:val="004258F2"/>
    <w:rsid w:val="00425908"/>
    <w:rsid w:val="0042596B"/>
    <w:rsid w:val="00425A28"/>
    <w:rsid w:val="00425FE5"/>
    <w:rsid w:val="00426153"/>
    <w:rsid w:val="00426526"/>
    <w:rsid w:val="00426675"/>
    <w:rsid w:val="0042691B"/>
    <w:rsid w:val="0042691C"/>
    <w:rsid w:val="00426985"/>
    <w:rsid w:val="004269CD"/>
    <w:rsid w:val="00426A40"/>
    <w:rsid w:val="00426A94"/>
    <w:rsid w:val="00426B93"/>
    <w:rsid w:val="00426C8A"/>
    <w:rsid w:val="00427021"/>
    <w:rsid w:val="004270D7"/>
    <w:rsid w:val="00427211"/>
    <w:rsid w:val="00427279"/>
    <w:rsid w:val="00427555"/>
    <w:rsid w:val="00427633"/>
    <w:rsid w:val="0042774E"/>
    <w:rsid w:val="00427786"/>
    <w:rsid w:val="00427DA1"/>
    <w:rsid w:val="004302B1"/>
    <w:rsid w:val="00430302"/>
    <w:rsid w:val="0043079E"/>
    <w:rsid w:val="00430C5A"/>
    <w:rsid w:val="00430D33"/>
    <w:rsid w:val="00430EFD"/>
    <w:rsid w:val="00430F70"/>
    <w:rsid w:val="004310D5"/>
    <w:rsid w:val="00431170"/>
    <w:rsid w:val="0043117D"/>
    <w:rsid w:val="00431351"/>
    <w:rsid w:val="004315C7"/>
    <w:rsid w:val="0043171D"/>
    <w:rsid w:val="00431825"/>
    <w:rsid w:val="004319B7"/>
    <w:rsid w:val="00431AF5"/>
    <w:rsid w:val="00431B82"/>
    <w:rsid w:val="00431B86"/>
    <w:rsid w:val="00431CDB"/>
    <w:rsid w:val="00431DFD"/>
    <w:rsid w:val="00431EF3"/>
    <w:rsid w:val="004323D4"/>
    <w:rsid w:val="0043270B"/>
    <w:rsid w:val="004328CE"/>
    <w:rsid w:val="0043293F"/>
    <w:rsid w:val="00432E2E"/>
    <w:rsid w:val="00433010"/>
    <w:rsid w:val="0043354E"/>
    <w:rsid w:val="0043359B"/>
    <w:rsid w:val="004335DB"/>
    <w:rsid w:val="00433853"/>
    <w:rsid w:val="00433A8A"/>
    <w:rsid w:val="00433BC1"/>
    <w:rsid w:val="00433BD5"/>
    <w:rsid w:val="00433CEF"/>
    <w:rsid w:val="00433F43"/>
    <w:rsid w:val="004342DF"/>
    <w:rsid w:val="004343B1"/>
    <w:rsid w:val="0043446C"/>
    <w:rsid w:val="0043481A"/>
    <w:rsid w:val="004348E6"/>
    <w:rsid w:val="00434A81"/>
    <w:rsid w:val="00434ACE"/>
    <w:rsid w:val="00434C34"/>
    <w:rsid w:val="00434D53"/>
    <w:rsid w:val="00434D8A"/>
    <w:rsid w:val="00434F5A"/>
    <w:rsid w:val="00434FB1"/>
    <w:rsid w:val="0043507E"/>
    <w:rsid w:val="0043522D"/>
    <w:rsid w:val="004352A7"/>
    <w:rsid w:val="004357B8"/>
    <w:rsid w:val="004359A2"/>
    <w:rsid w:val="00435F95"/>
    <w:rsid w:val="00436175"/>
    <w:rsid w:val="004362A7"/>
    <w:rsid w:val="00436860"/>
    <w:rsid w:val="00436B5F"/>
    <w:rsid w:val="00436DD6"/>
    <w:rsid w:val="004371A0"/>
    <w:rsid w:val="00437284"/>
    <w:rsid w:val="00437842"/>
    <w:rsid w:val="0043794F"/>
    <w:rsid w:val="00437B35"/>
    <w:rsid w:val="00437C9B"/>
    <w:rsid w:val="00437E73"/>
    <w:rsid w:val="00437F3B"/>
    <w:rsid w:val="00440146"/>
    <w:rsid w:val="004401D7"/>
    <w:rsid w:val="00440B30"/>
    <w:rsid w:val="0044145F"/>
    <w:rsid w:val="0044148B"/>
    <w:rsid w:val="004415AD"/>
    <w:rsid w:val="004415B7"/>
    <w:rsid w:val="00441A87"/>
    <w:rsid w:val="00441B71"/>
    <w:rsid w:val="00441D94"/>
    <w:rsid w:val="0044218D"/>
    <w:rsid w:val="0044223A"/>
    <w:rsid w:val="0044278C"/>
    <w:rsid w:val="00442B8D"/>
    <w:rsid w:val="00442E38"/>
    <w:rsid w:val="00442FFA"/>
    <w:rsid w:val="00443440"/>
    <w:rsid w:val="004435BE"/>
    <w:rsid w:val="004436CB"/>
    <w:rsid w:val="004439FC"/>
    <w:rsid w:val="00443F49"/>
    <w:rsid w:val="00443F62"/>
    <w:rsid w:val="00444235"/>
    <w:rsid w:val="00444286"/>
    <w:rsid w:val="0044444F"/>
    <w:rsid w:val="0044488F"/>
    <w:rsid w:val="00444B64"/>
    <w:rsid w:val="00444D80"/>
    <w:rsid w:val="004451D2"/>
    <w:rsid w:val="004455DB"/>
    <w:rsid w:val="00445724"/>
    <w:rsid w:val="00445A23"/>
    <w:rsid w:val="00445AA2"/>
    <w:rsid w:val="00445B0B"/>
    <w:rsid w:val="00445C2A"/>
    <w:rsid w:val="00445E5E"/>
    <w:rsid w:val="0044611A"/>
    <w:rsid w:val="004461AB"/>
    <w:rsid w:val="004463E1"/>
    <w:rsid w:val="00446664"/>
    <w:rsid w:val="00446B9A"/>
    <w:rsid w:val="00446DB6"/>
    <w:rsid w:val="00447078"/>
    <w:rsid w:val="00447172"/>
    <w:rsid w:val="004474A0"/>
    <w:rsid w:val="0044752A"/>
    <w:rsid w:val="004502B8"/>
    <w:rsid w:val="004502DD"/>
    <w:rsid w:val="00450439"/>
    <w:rsid w:val="00450571"/>
    <w:rsid w:val="00450C74"/>
    <w:rsid w:val="00451149"/>
    <w:rsid w:val="004511A4"/>
    <w:rsid w:val="004515BE"/>
    <w:rsid w:val="0045167E"/>
    <w:rsid w:val="004517DE"/>
    <w:rsid w:val="0045185B"/>
    <w:rsid w:val="00451A3C"/>
    <w:rsid w:val="00451B3D"/>
    <w:rsid w:val="00451D86"/>
    <w:rsid w:val="004521BF"/>
    <w:rsid w:val="00452294"/>
    <w:rsid w:val="004522C8"/>
    <w:rsid w:val="00452568"/>
    <w:rsid w:val="0045287E"/>
    <w:rsid w:val="00452A73"/>
    <w:rsid w:val="00452B88"/>
    <w:rsid w:val="00452C67"/>
    <w:rsid w:val="00452F1C"/>
    <w:rsid w:val="00452FEF"/>
    <w:rsid w:val="004530E9"/>
    <w:rsid w:val="00453216"/>
    <w:rsid w:val="00453399"/>
    <w:rsid w:val="00453511"/>
    <w:rsid w:val="0045363D"/>
    <w:rsid w:val="004536F4"/>
    <w:rsid w:val="0045376B"/>
    <w:rsid w:val="00453B3B"/>
    <w:rsid w:val="00453DED"/>
    <w:rsid w:val="00453EEA"/>
    <w:rsid w:val="00454104"/>
    <w:rsid w:val="004546C8"/>
    <w:rsid w:val="00454784"/>
    <w:rsid w:val="004547DD"/>
    <w:rsid w:val="004549CC"/>
    <w:rsid w:val="00454D17"/>
    <w:rsid w:val="00454E6C"/>
    <w:rsid w:val="004550C6"/>
    <w:rsid w:val="004551B7"/>
    <w:rsid w:val="004551FD"/>
    <w:rsid w:val="0045537A"/>
    <w:rsid w:val="00455422"/>
    <w:rsid w:val="00455597"/>
    <w:rsid w:val="00455994"/>
    <w:rsid w:val="00455C07"/>
    <w:rsid w:val="00455C1A"/>
    <w:rsid w:val="00455C1B"/>
    <w:rsid w:val="00455D8F"/>
    <w:rsid w:val="00455DD0"/>
    <w:rsid w:val="00455EE1"/>
    <w:rsid w:val="00455F49"/>
    <w:rsid w:val="00455FB7"/>
    <w:rsid w:val="0045620C"/>
    <w:rsid w:val="00456293"/>
    <w:rsid w:val="004564C2"/>
    <w:rsid w:val="004565E0"/>
    <w:rsid w:val="004566BB"/>
    <w:rsid w:val="00456905"/>
    <w:rsid w:val="00456CF1"/>
    <w:rsid w:val="00456D93"/>
    <w:rsid w:val="00456E03"/>
    <w:rsid w:val="00456F3C"/>
    <w:rsid w:val="0045706A"/>
    <w:rsid w:val="004572BE"/>
    <w:rsid w:val="00457792"/>
    <w:rsid w:val="00457877"/>
    <w:rsid w:val="00457963"/>
    <w:rsid w:val="0045796F"/>
    <w:rsid w:val="00457BE5"/>
    <w:rsid w:val="004600F5"/>
    <w:rsid w:val="00460333"/>
    <w:rsid w:val="00460429"/>
    <w:rsid w:val="00460639"/>
    <w:rsid w:val="00460832"/>
    <w:rsid w:val="00460A74"/>
    <w:rsid w:val="00460B70"/>
    <w:rsid w:val="00460BCD"/>
    <w:rsid w:val="00460D89"/>
    <w:rsid w:val="00460EB8"/>
    <w:rsid w:val="004610AC"/>
    <w:rsid w:val="004611AF"/>
    <w:rsid w:val="004611BC"/>
    <w:rsid w:val="004611D7"/>
    <w:rsid w:val="004611F2"/>
    <w:rsid w:val="00461439"/>
    <w:rsid w:val="004615F8"/>
    <w:rsid w:val="004616F2"/>
    <w:rsid w:val="00461748"/>
    <w:rsid w:val="0046189B"/>
    <w:rsid w:val="00461991"/>
    <w:rsid w:val="004620C7"/>
    <w:rsid w:val="00462258"/>
    <w:rsid w:val="0046261A"/>
    <w:rsid w:val="00462C55"/>
    <w:rsid w:val="00462FF2"/>
    <w:rsid w:val="00463170"/>
    <w:rsid w:val="0046330B"/>
    <w:rsid w:val="00463436"/>
    <w:rsid w:val="004639BB"/>
    <w:rsid w:val="00463B9B"/>
    <w:rsid w:val="00463E1E"/>
    <w:rsid w:val="00463E43"/>
    <w:rsid w:val="00464136"/>
    <w:rsid w:val="0046413C"/>
    <w:rsid w:val="004642F1"/>
    <w:rsid w:val="00464398"/>
    <w:rsid w:val="004646F8"/>
    <w:rsid w:val="00464A44"/>
    <w:rsid w:val="00465059"/>
    <w:rsid w:val="0046505F"/>
    <w:rsid w:val="00465844"/>
    <w:rsid w:val="004658A0"/>
    <w:rsid w:val="00465F13"/>
    <w:rsid w:val="00466199"/>
    <w:rsid w:val="004661D9"/>
    <w:rsid w:val="004664F8"/>
    <w:rsid w:val="004668A6"/>
    <w:rsid w:val="00466EC2"/>
    <w:rsid w:val="00467141"/>
    <w:rsid w:val="00467277"/>
    <w:rsid w:val="004672B1"/>
    <w:rsid w:val="004672D3"/>
    <w:rsid w:val="004673DE"/>
    <w:rsid w:val="004675D7"/>
    <w:rsid w:val="00467742"/>
    <w:rsid w:val="004678AC"/>
    <w:rsid w:val="004679E5"/>
    <w:rsid w:val="00467B0C"/>
    <w:rsid w:val="00467BF7"/>
    <w:rsid w:val="00467CE3"/>
    <w:rsid w:val="00467E43"/>
    <w:rsid w:val="00467F00"/>
    <w:rsid w:val="00470039"/>
    <w:rsid w:val="0047006A"/>
    <w:rsid w:val="004701F1"/>
    <w:rsid w:val="004704E2"/>
    <w:rsid w:val="004704F1"/>
    <w:rsid w:val="0047080B"/>
    <w:rsid w:val="00470869"/>
    <w:rsid w:val="00470A1D"/>
    <w:rsid w:val="00470B17"/>
    <w:rsid w:val="00470B65"/>
    <w:rsid w:val="00470C2C"/>
    <w:rsid w:val="00471311"/>
    <w:rsid w:val="00471378"/>
    <w:rsid w:val="00471446"/>
    <w:rsid w:val="00471652"/>
    <w:rsid w:val="00471675"/>
    <w:rsid w:val="0047175B"/>
    <w:rsid w:val="0047191B"/>
    <w:rsid w:val="00471963"/>
    <w:rsid w:val="0047196B"/>
    <w:rsid w:val="00472016"/>
    <w:rsid w:val="00472451"/>
    <w:rsid w:val="0047246D"/>
    <w:rsid w:val="004724E8"/>
    <w:rsid w:val="004727C4"/>
    <w:rsid w:val="00472A20"/>
    <w:rsid w:val="00472EC8"/>
    <w:rsid w:val="00472F53"/>
    <w:rsid w:val="00473009"/>
    <w:rsid w:val="00473027"/>
    <w:rsid w:val="00473074"/>
    <w:rsid w:val="00473078"/>
    <w:rsid w:val="004731A9"/>
    <w:rsid w:val="00473623"/>
    <w:rsid w:val="00473E66"/>
    <w:rsid w:val="00473EF1"/>
    <w:rsid w:val="00474212"/>
    <w:rsid w:val="00474214"/>
    <w:rsid w:val="00474411"/>
    <w:rsid w:val="004744DC"/>
    <w:rsid w:val="00474E0F"/>
    <w:rsid w:val="00474E78"/>
    <w:rsid w:val="00475145"/>
    <w:rsid w:val="004755C5"/>
    <w:rsid w:val="00475624"/>
    <w:rsid w:val="00475657"/>
    <w:rsid w:val="004756C3"/>
    <w:rsid w:val="00475765"/>
    <w:rsid w:val="0047576A"/>
    <w:rsid w:val="00475C5F"/>
    <w:rsid w:val="00475C60"/>
    <w:rsid w:val="00475CBB"/>
    <w:rsid w:val="00475F2F"/>
    <w:rsid w:val="00475FB2"/>
    <w:rsid w:val="00476141"/>
    <w:rsid w:val="00476168"/>
    <w:rsid w:val="00476419"/>
    <w:rsid w:val="00476790"/>
    <w:rsid w:val="0047679C"/>
    <w:rsid w:val="004767E4"/>
    <w:rsid w:val="004768BC"/>
    <w:rsid w:val="004768DF"/>
    <w:rsid w:val="00477040"/>
    <w:rsid w:val="004771F1"/>
    <w:rsid w:val="0047747D"/>
    <w:rsid w:val="004776A7"/>
    <w:rsid w:val="004777FB"/>
    <w:rsid w:val="00477F17"/>
    <w:rsid w:val="004800A5"/>
    <w:rsid w:val="0048018E"/>
    <w:rsid w:val="00480498"/>
    <w:rsid w:val="0048059B"/>
    <w:rsid w:val="0048073B"/>
    <w:rsid w:val="004808C5"/>
    <w:rsid w:val="00480D44"/>
    <w:rsid w:val="00480DC6"/>
    <w:rsid w:val="00481412"/>
    <w:rsid w:val="00481674"/>
    <w:rsid w:val="0048176D"/>
    <w:rsid w:val="00481819"/>
    <w:rsid w:val="00481A08"/>
    <w:rsid w:val="00481B2F"/>
    <w:rsid w:val="00481D82"/>
    <w:rsid w:val="00481DB8"/>
    <w:rsid w:val="00481EB7"/>
    <w:rsid w:val="00482114"/>
    <w:rsid w:val="004821EE"/>
    <w:rsid w:val="004822B8"/>
    <w:rsid w:val="004822D8"/>
    <w:rsid w:val="00482416"/>
    <w:rsid w:val="0048263F"/>
    <w:rsid w:val="00482677"/>
    <w:rsid w:val="00482D14"/>
    <w:rsid w:val="00482E90"/>
    <w:rsid w:val="0048304D"/>
    <w:rsid w:val="004831EE"/>
    <w:rsid w:val="00483272"/>
    <w:rsid w:val="00483312"/>
    <w:rsid w:val="004836CF"/>
    <w:rsid w:val="0048370C"/>
    <w:rsid w:val="0048381D"/>
    <w:rsid w:val="00483874"/>
    <w:rsid w:val="00483A82"/>
    <w:rsid w:val="00483C3A"/>
    <w:rsid w:val="00483D8C"/>
    <w:rsid w:val="004841AC"/>
    <w:rsid w:val="004843E4"/>
    <w:rsid w:val="004845A6"/>
    <w:rsid w:val="00484A43"/>
    <w:rsid w:val="00484A7D"/>
    <w:rsid w:val="00484B9A"/>
    <w:rsid w:val="00484D6B"/>
    <w:rsid w:val="00484D98"/>
    <w:rsid w:val="00484F7A"/>
    <w:rsid w:val="004853A2"/>
    <w:rsid w:val="00485450"/>
    <w:rsid w:val="004857BB"/>
    <w:rsid w:val="00485885"/>
    <w:rsid w:val="004859D4"/>
    <w:rsid w:val="00485B60"/>
    <w:rsid w:val="00485EEB"/>
    <w:rsid w:val="004861FE"/>
    <w:rsid w:val="00486221"/>
    <w:rsid w:val="00486301"/>
    <w:rsid w:val="00486444"/>
    <w:rsid w:val="0048667B"/>
    <w:rsid w:val="0048668F"/>
    <w:rsid w:val="00486691"/>
    <w:rsid w:val="004866B9"/>
    <w:rsid w:val="00486C14"/>
    <w:rsid w:val="00486DD6"/>
    <w:rsid w:val="00486FC3"/>
    <w:rsid w:val="00486FE9"/>
    <w:rsid w:val="0048718D"/>
    <w:rsid w:val="0048728F"/>
    <w:rsid w:val="004874B9"/>
    <w:rsid w:val="0048777B"/>
    <w:rsid w:val="00487817"/>
    <w:rsid w:val="00487902"/>
    <w:rsid w:val="00487A04"/>
    <w:rsid w:val="00487AC3"/>
    <w:rsid w:val="00487B28"/>
    <w:rsid w:val="00487B4F"/>
    <w:rsid w:val="00487C2C"/>
    <w:rsid w:val="004902CA"/>
    <w:rsid w:val="00490510"/>
    <w:rsid w:val="00490907"/>
    <w:rsid w:val="00490936"/>
    <w:rsid w:val="00490B4F"/>
    <w:rsid w:val="00490BA0"/>
    <w:rsid w:val="00490C15"/>
    <w:rsid w:val="00490C8A"/>
    <w:rsid w:val="004916FF"/>
    <w:rsid w:val="004918EE"/>
    <w:rsid w:val="00492233"/>
    <w:rsid w:val="0049232E"/>
    <w:rsid w:val="00492D48"/>
    <w:rsid w:val="00492DE1"/>
    <w:rsid w:val="00492FFA"/>
    <w:rsid w:val="00493124"/>
    <w:rsid w:val="0049312F"/>
    <w:rsid w:val="00493231"/>
    <w:rsid w:val="0049351D"/>
    <w:rsid w:val="004937A6"/>
    <w:rsid w:val="004939E0"/>
    <w:rsid w:val="00493BFB"/>
    <w:rsid w:val="00493C48"/>
    <w:rsid w:val="00493CDB"/>
    <w:rsid w:val="00493F24"/>
    <w:rsid w:val="00494138"/>
    <w:rsid w:val="00494252"/>
    <w:rsid w:val="004944B4"/>
    <w:rsid w:val="00494963"/>
    <w:rsid w:val="00494B85"/>
    <w:rsid w:val="00494D37"/>
    <w:rsid w:val="00494F94"/>
    <w:rsid w:val="004953E0"/>
    <w:rsid w:val="0049555A"/>
    <w:rsid w:val="0049582F"/>
    <w:rsid w:val="004959B3"/>
    <w:rsid w:val="00495A5D"/>
    <w:rsid w:val="00495C62"/>
    <w:rsid w:val="0049608C"/>
    <w:rsid w:val="00496146"/>
    <w:rsid w:val="00496313"/>
    <w:rsid w:val="004966E3"/>
    <w:rsid w:val="004968A0"/>
    <w:rsid w:val="00496933"/>
    <w:rsid w:val="004969C2"/>
    <w:rsid w:val="00496AAB"/>
    <w:rsid w:val="0049705E"/>
    <w:rsid w:val="004970B7"/>
    <w:rsid w:val="004970D8"/>
    <w:rsid w:val="004970E9"/>
    <w:rsid w:val="0049762C"/>
    <w:rsid w:val="00497643"/>
    <w:rsid w:val="00497A43"/>
    <w:rsid w:val="00497A91"/>
    <w:rsid w:val="00497D3A"/>
    <w:rsid w:val="00497F76"/>
    <w:rsid w:val="004A0058"/>
    <w:rsid w:val="004A0106"/>
    <w:rsid w:val="004A0129"/>
    <w:rsid w:val="004A0190"/>
    <w:rsid w:val="004A022A"/>
    <w:rsid w:val="004A0511"/>
    <w:rsid w:val="004A06F9"/>
    <w:rsid w:val="004A0913"/>
    <w:rsid w:val="004A09E8"/>
    <w:rsid w:val="004A0A81"/>
    <w:rsid w:val="004A0DF7"/>
    <w:rsid w:val="004A0E23"/>
    <w:rsid w:val="004A0EB5"/>
    <w:rsid w:val="004A0EBB"/>
    <w:rsid w:val="004A101F"/>
    <w:rsid w:val="004A1389"/>
    <w:rsid w:val="004A167F"/>
    <w:rsid w:val="004A17D8"/>
    <w:rsid w:val="004A1C1F"/>
    <w:rsid w:val="004A1F86"/>
    <w:rsid w:val="004A226C"/>
    <w:rsid w:val="004A246B"/>
    <w:rsid w:val="004A2AD0"/>
    <w:rsid w:val="004A2D3E"/>
    <w:rsid w:val="004A32E0"/>
    <w:rsid w:val="004A33A3"/>
    <w:rsid w:val="004A35B4"/>
    <w:rsid w:val="004A3A21"/>
    <w:rsid w:val="004A3A42"/>
    <w:rsid w:val="004A3B23"/>
    <w:rsid w:val="004A3C87"/>
    <w:rsid w:val="004A3F70"/>
    <w:rsid w:val="004A4000"/>
    <w:rsid w:val="004A4153"/>
    <w:rsid w:val="004A4378"/>
    <w:rsid w:val="004A46A6"/>
    <w:rsid w:val="004A49AE"/>
    <w:rsid w:val="004A4D43"/>
    <w:rsid w:val="004A54A4"/>
    <w:rsid w:val="004A54C0"/>
    <w:rsid w:val="004A562A"/>
    <w:rsid w:val="004A5BD7"/>
    <w:rsid w:val="004A5D5B"/>
    <w:rsid w:val="004A6110"/>
    <w:rsid w:val="004A6286"/>
    <w:rsid w:val="004A641C"/>
    <w:rsid w:val="004A6F63"/>
    <w:rsid w:val="004A731E"/>
    <w:rsid w:val="004A7370"/>
    <w:rsid w:val="004A7B73"/>
    <w:rsid w:val="004B012B"/>
    <w:rsid w:val="004B0266"/>
    <w:rsid w:val="004B106C"/>
    <w:rsid w:val="004B13E8"/>
    <w:rsid w:val="004B1547"/>
    <w:rsid w:val="004B171C"/>
    <w:rsid w:val="004B1B8B"/>
    <w:rsid w:val="004B1B9F"/>
    <w:rsid w:val="004B1D44"/>
    <w:rsid w:val="004B1E98"/>
    <w:rsid w:val="004B244E"/>
    <w:rsid w:val="004B24B9"/>
    <w:rsid w:val="004B26FF"/>
    <w:rsid w:val="004B2721"/>
    <w:rsid w:val="004B2751"/>
    <w:rsid w:val="004B27A5"/>
    <w:rsid w:val="004B281B"/>
    <w:rsid w:val="004B314F"/>
    <w:rsid w:val="004B349E"/>
    <w:rsid w:val="004B355D"/>
    <w:rsid w:val="004B3AFA"/>
    <w:rsid w:val="004B40AB"/>
    <w:rsid w:val="004B444C"/>
    <w:rsid w:val="004B4954"/>
    <w:rsid w:val="004B4CE1"/>
    <w:rsid w:val="004B513E"/>
    <w:rsid w:val="004B5154"/>
    <w:rsid w:val="004B525D"/>
    <w:rsid w:val="004B55BB"/>
    <w:rsid w:val="004B5875"/>
    <w:rsid w:val="004B5C76"/>
    <w:rsid w:val="004B5D93"/>
    <w:rsid w:val="004B600F"/>
    <w:rsid w:val="004B6302"/>
    <w:rsid w:val="004B66AE"/>
    <w:rsid w:val="004B6917"/>
    <w:rsid w:val="004B6A8D"/>
    <w:rsid w:val="004B6C25"/>
    <w:rsid w:val="004B70E7"/>
    <w:rsid w:val="004B7108"/>
    <w:rsid w:val="004B72CE"/>
    <w:rsid w:val="004B768D"/>
    <w:rsid w:val="004B76BA"/>
    <w:rsid w:val="004B77B4"/>
    <w:rsid w:val="004B797A"/>
    <w:rsid w:val="004B7D09"/>
    <w:rsid w:val="004B7ED6"/>
    <w:rsid w:val="004C020A"/>
    <w:rsid w:val="004C04E3"/>
    <w:rsid w:val="004C0668"/>
    <w:rsid w:val="004C0BDF"/>
    <w:rsid w:val="004C0F04"/>
    <w:rsid w:val="004C1056"/>
    <w:rsid w:val="004C118A"/>
    <w:rsid w:val="004C1624"/>
    <w:rsid w:val="004C1729"/>
    <w:rsid w:val="004C1BAC"/>
    <w:rsid w:val="004C1F02"/>
    <w:rsid w:val="004C1F61"/>
    <w:rsid w:val="004C1F6D"/>
    <w:rsid w:val="004C2263"/>
    <w:rsid w:val="004C22B7"/>
    <w:rsid w:val="004C2381"/>
    <w:rsid w:val="004C2589"/>
    <w:rsid w:val="004C270A"/>
    <w:rsid w:val="004C297A"/>
    <w:rsid w:val="004C2AB6"/>
    <w:rsid w:val="004C2CA5"/>
    <w:rsid w:val="004C2D67"/>
    <w:rsid w:val="004C2DF8"/>
    <w:rsid w:val="004C2EC4"/>
    <w:rsid w:val="004C300E"/>
    <w:rsid w:val="004C315D"/>
    <w:rsid w:val="004C335E"/>
    <w:rsid w:val="004C363F"/>
    <w:rsid w:val="004C39D4"/>
    <w:rsid w:val="004C3A30"/>
    <w:rsid w:val="004C3BEE"/>
    <w:rsid w:val="004C3D2D"/>
    <w:rsid w:val="004C4381"/>
    <w:rsid w:val="004C450C"/>
    <w:rsid w:val="004C457A"/>
    <w:rsid w:val="004C46E3"/>
    <w:rsid w:val="004C4701"/>
    <w:rsid w:val="004C47E5"/>
    <w:rsid w:val="004C5059"/>
    <w:rsid w:val="004C519C"/>
    <w:rsid w:val="004C5655"/>
    <w:rsid w:val="004C5672"/>
    <w:rsid w:val="004C57AD"/>
    <w:rsid w:val="004C5BE3"/>
    <w:rsid w:val="004C5CFD"/>
    <w:rsid w:val="004C5FD6"/>
    <w:rsid w:val="004C60F5"/>
    <w:rsid w:val="004C630B"/>
    <w:rsid w:val="004C6429"/>
    <w:rsid w:val="004C6494"/>
    <w:rsid w:val="004C66B1"/>
    <w:rsid w:val="004C66CE"/>
    <w:rsid w:val="004C66EB"/>
    <w:rsid w:val="004C6717"/>
    <w:rsid w:val="004C6A22"/>
    <w:rsid w:val="004C6A68"/>
    <w:rsid w:val="004C6B9B"/>
    <w:rsid w:val="004C6BD5"/>
    <w:rsid w:val="004C6E0D"/>
    <w:rsid w:val="004C705B"/>
    <w:rsid w:val="004C72DA"/>
    <w:rsid w:val="004C734B"/>
    <w:rsid w:val="004C774E"/>
    <w:rsid w:val="004C77C7"/>
    <w:rsid w:val="004C7867"/>
    <w:rsid w:val="004C78D6"/>
    <w:rsid w:val="004C79C1"/>
    <w:rsid w:val="004D085E"/>
    <w:rsid w:val="004D08DE"/>
    <w:rsid w:val="004D09C4"/>
    <w:rsid w:val="004D0B20"/>
    <w:rsid w:val="004D0C97"/>
    <w:rsid w:val="004D0D2A"/>
    <w:rsid w:val="004D0E09"/>
    <w:rsid w:val="004D13A7"/>
    <w:rsid w:val="004D17F8"/>
    <w:rsid w:val="004D1A13"/>
    <w:rsid w:val="004D1C51"/>
    <w:rsid w:val="004D1C60"/>
    <w:rsid w:val="004D1CD5"/>
    <w:rsid w:val="004D1F84"/>
    <w:rsid w:val="004D22D8"/>
    <w:rsid w:val="004D2361"/>
    <w:rsid w:val="004D266E"/>
    <w:rsid w:val="004D288F"/>
    <w:rsid w:val="004D29EE"/>
    <w:rsid w:val="004D2E08"/>
    <w:rsid w:val="004D35B7"/>
    <w:rsid w:val="004D3827"/>
    <w:rsid w:val="004D39FD"/>
    <w:rsid w:val="004D3AA5"/>
    <w:rsid w:val="004D3ACE"/>
    <w:rsid w:val="004D3AD1"/>
    <w:rsid w:val="004D3C26"/>
    <w:rsid w:val="004D3C87"/>
    <w:rsid w:val="004D3D1E"/>
    <w:rsid w:val="004D4288"/>
    <w:rsid w:val="004D4AE2"/>
    <w:rsid w:val="004D4E1A"/>
    <w:rsid w:val="004D4E40"/>
    <w:rsid w:val="004D4FBD"/>
    <w:rsid w:val="004D5882"/>
    <w:rsid w:val="004D5CF1"/>
    <w:rsid w:val="004D63A3"/>
    <w:rsid w:val="004D6496"/>
    <w:rsid w:val="004D65E3"/>
    <w:rsid w:val="004D6821"/>
    <w:rsid w:val="004D69E5"/>
    <w:rsid w:val="004D6CFA"/>
    <w:rsid w:val="004D7281"/>
    <w:rsid w:val="004D7452"/>
    <w:rsid w:val="004D752C"/>
    <w:rsid w:val="004D7626"/>
    <w:rsid w:val="004D76BB"/>
    <w:rsid w:val="004D77C7"/>
    <w:rsid w:val="004D7A0D"/>
    <w:rsid w:val="004E0302"/>
    <w:rsid w:val="004E0399"/>
    <w:rsid w:val="004E062C"/>
    <w:rsid w:val="004E08C8"/>
    <w:rsid w:val="004E08E2"/>
    <w:rsid w:val="004E0BDA"/>
    <w:rsid w:val="004E0E3E"/>
    <w:rsid w:val="004E1953"/>
    <w:rsid w:val="004E1C43"/>
    <w:rsid w:val="004E1CE0"/>
    <w:rsid w:val="004E1EEF"/>
    <w:rsid w:val="004E1FFF"/>
    <w:rsid w:val="004E22A8"/>
    <w:rsid w:val="004E236D"/>
    <w:rsid w:val="004E283A"/>
    <w:rsid w:val="004E298E"/>
    <w:rsid w:val="004E2A83"/>
    <w:rsid w:val="004E2A9E"/>
    <w:rsid w:val="004E2C28"/>
    <w:rsid w:val="004E2E7E"/>
    <w:rsid w:val="004E2F46"/>
    <w:rsid w:val="004E308A"/>
    <w:rsid w:val="004E34C6"/>
    <w:rsid w:val="004E3514"/>
    <w:rsid w:val="004E36DF"/>
    <w:rsid w:val="004E382C"/>
    <w:rsid w:val="004E3A3D"/>
    <w:rsid w:val="004E3AB4"/>
    <w:rsid w:val="004E3D8E"/>
    <w:rsid w:val="004E3DE7"/>
    <w:rsid w:val="004E3F1F"/>
    <w:rsid w:val="004E44A1"/>
    <w:rsid w:val="004E4930"/>
    <w:rsid w:val="004E5182"/>
    <w:rsid w:val="004E51DB"/>
    <w:rsid w:val="004E5484"/>
    <w:rsid w:val="004E5EA8"/>
    <w:rsid w:val="004E60F4"/>
    <w:rsid w:val="004E6306"/>
    <w:rsid w:val="004E6C3A"/>
    <w:rsid w:val="004E6C5F"/>
    <w:rsid w:val="004E6D2C"/>
    <w:rsid w:val="004E6DA8"/>
    <w:rsid w:val="004E6DDB"/>
    <w:rsid w:val="004E6EDB"/>
    <w:rsid w:val="004E7000"/>
    <w:rsid w:val="004E722A"/>
    <w:rsid w:val="004E7389"/>
    <w:rsid w:val="004E745F"/>
    <w:rsid w:val="004E7689"/>
    <w:rsid w:val="004E778B"/>
    <w:rsid w:val="004E78B5"/>
    <w:rsid w:val="004E7A32"/>
    <w:rsid w:val="004E7A6C"/>
    <w:rsid w:val="004E7CF9"/>
    <w:rsid w:val="004E7FB0"/>
    <w:rsid w:val="004E7FCC"/>
    <w:rsid w:val="004F0020"/>
    <w:rsid w:val="004F00A4"/>
    <w:rsid w:val="004F00E7"/>
    <w:rsid w:val="004F03F3"/>
    <w:rsid w:val="004F0669"/>
    <w:rsid w:val="004F0680"/>
    <w:rsid w:val="004F0740"/>
    <w:rsid w:val="004F0CAA"/>
    <w:rsid w:val="004F0D26"/>
    <w:rsid w:val="004F0DA3"/>
    <w:rsid w:val="004F0E0D"/>
    <w:rsid w:val="004F0FB3"/>
    <w:rsid w:val="004F113C"/>
    <w:rsid w:val="004F12C9"/>
    <w:rsid w:val="004F12E7"/>
    <w:rsid w:val="004F15EE"/>
    <w:rsid w:val="004F1919"/>
    <w:rsid w:val="004F1AE0"/>
    <w:rsid w:val="004F1C43"/>
    <w:rsid w:val="004F209C"/>
    <w:rsid w:val="004F22E4"/>
    <w:rsid w:val="004F267B"/>
    <w:rsid w:val="004F28B3"/>
    <w:rsid w:val="004F2B70"/>
    <w:rsid w:val="004F2F2C"/>
    <w:rsid w:val="004F3124"/>
    <w:rsid w:val="004F340D"/>
    <w:rsid w:val="004F3E8A"/>
    <w:rsid w:val="004F40E5"/>
    <w:rsid w:val="004F41A6"/>
    <w:rsid w:val="004F444A"/>
    <w:rsid w:val="004F44A9"/>
    <w:rsid w:val="004F469B"/>
    <w:rsid w:val="004F4C71"/>
    <w:rsid w:val="004F52D6"/>
    <w:rsid w:val="004F52E0"/>
    <w:rsid w:val="004F5359"/>
    <w:rsid w:val="004F53A6"/>
    <w:rsid w:val="004F5750"/>
    <w:rsid w:val="004F5DB0"/>
    <w:rsid w:val="004F5FD5"/>
    <w:rsid w:val="004F6047"/>
    <w:rsid w:val="004F60C9"/>
    <w:rsid w:val="004F6239"/>
    <w:rsid w:val="004F6341"/>
    <w:rsid w:val="004F6782"/>
    <w:rsid w:val="004F691D"/>
    <w:rsid w:val="004F6959"/>
    <w:rsid w:val="004F698C"/>
    <w:rsid w:val="004F6B8D"/>
    <w:rsid w:val="004F6BB7"/>
    <w:rsid w:val="004F6D6B"/>
    <w:rsid w:val="004F761A"/>
    <w:rsid w:val="004F7682"/>
    <w:rsid w:val="004F76ED"/>
    <w:rsid w:val="004F7BAE"/>
    <w:rsid w:val="004F7DA7"/>
    <w:rsid w:val="00500258"/>
    <w:rsid w:val="00500401"/>
    <w:rsid w:val="0050049D"/>
    <w:rsid w:val="0050070A"/>
    <w:rsid w:val="00500790"/>
    <w:rsid w:val="00500838"/>
    <w:rsid w:val="00500B94"/>
    <w:rsid w:val="00500C42"/>
    <w:rsid w:val="00500C6B"/>
    <w:rsid w:val="00500C99"/>
    <w:rsid w:val="00500E28"/>
    <w:rsid w:val="00500FF7"/>
    <w:rsid w:val="0050115A"/>
    <w:rsid w:val="00501177"/>
    <w:rsid w:val="00501210"/>
    <w:rsid w:val="005014F2"/>
    <w:rsid w:val="0050176A"/>
    <w:rsid w:val="005017D7"/>
    <w:rsid w:val="00501901"/>
    <w:rsid w:val="00501960"/>
    <w:rsid w:val="00501B03"/>
    <w:rsid w:val="0050214D"/>
    <w:rsid w:val="005021BD"/>
    <w:rsid w:val="00502393"/>
    <w:rsid w:val="005025F9"/>
    <w:rsid w:val="00502A96"/>
    <w:rsid w:val="00502AAE"/>
    <w:rsid w:val="00502F94"/>
    <w:rsid w:val="0050389E"/>
    <w:rsid w:val="005038D0"/>
    <w:rsid w:val="00503CC8"/>
    <w:rsid w:val="00503EB0"/>
    <w:rsid w:val="00503F05"/>
    <w:rsid w:val="00503FF3"/>
    <w:rsid w:val="00504037"/>
    <w:rsid w:val="005040D3"/>
    <w:rsid w:val="0050423A"/>
    <w:rsid w:val="005047D7"/>
    <w:rsid w:val="005048C6"/>
    <w:rsid w:val="005049EA"/>
    <w:rsid w:val="00504C27"/>
    <w:rsid w:val="00504D26"/>
    <w:rsid w:val="00504F6B"/>
    <w:rsid w:val="005052B0"/>
    <w:rsid w:val="00505D82"/>
    <w:rsid w:val="00505E4F"/>
    <w:rsid w:val="005061C4"/>
    <w:rsid w:val="00506261"/>
    <w:rsid w:val="0050655A"/>
    <w:rsid w:val="005068DE"/>
    <w:rsid w:val="0050698A"/>
    <w:rsid w:val="00506B38"/>
    <w:rsid w:val="00506BFC"/>
    <w:rsid w:val="00506CE1"/>
    <w:rsid w:val="00507541"/>
    <w:rsid w:val="00507966"/>
    <w:rsid w:val="00507B7B"/>
    <w:rsid w:val="00507E4A"/>
    <w:rsid w:val="00507F8E"/>
    <w:rsid w:val="00507FE8"/>
    <w:rsid w:val="00510502"/>
    <w:rsid w:val="00510836"/>
    <w:rsid w:val="00510C33"/>
    <w:rsid w:val="00510E09"/>
    <w:rsid w:val="00510EB4"/>
    <w:rsid w:val="005114CA"/>
    <w:rsid w:val="0051166C"/>
    <w:rsid w:val="00511DD3"/>
    <w:rsid w:val="00511EA0"/>
    <w:rsid w:val="00511F53"/>
    <w:rsid w:val="00511FD1"/>
    <w:rsid w:val="0051287F"/>
    <w:rsid w:val="0051312D"/>
    <w:rsid w:val="0051335C"/>
    <w:rsid w:val="005136E5"/>
    <w:rsid w:val="00513D22"/>
    <w:rsid w:val="00513D25"/>
    <w:rsid w:val="00513DE9"/>
    <w:rsid w:val="005141F2"/>
    <w:rsid w:val="005147E2"/>
    <w:rsid w:val="00514A12"/>
    <w:rsid w:val="00514A2F"/>
    <w:rsid w:val="00514C53"/>
    <w:rsid w:val="00514F92"/>
    <w:rsid w:val="00515015"/>
    <w:rsid w:val="00515025"/>
    <w:rsid w:val="005150C8"/>
    <w:rsid w:val="00515106"/>
    <w:rsid w:val="0051558E"/>
    <w:rsid w:val="0051598C"/>
    <w:rsid w:val="005159DB"/>
    <w:rsid w:val="00515A08"/>
    <w:rsid w:val="00515F1B"/>
    <w:rsid w:val="00515F30"/>
    <w:rsid w:val="0051613C"/>
    <w:rsid w:val="005163AB"/>
    <w:rsid w:val="00516437"/>
    <w:rsid w:val="00516543"/>
    <w:rsid w:val="00516596"/>
    <w:rsid w:val="00516A64"/>
    <w:rsid w:val="00516DAF"/>
    <w:rsid w:val="00516E15"/>
    <w:rsid w:val="00517156"/>
    <w:rsid w:val="00517176"/>
    <w:rsid w:val="005171CD"/>
    <w:rsid w:val="00517212"/>
    <w:rsid w:val="00517237"/>
    <w:rsid w:val="005172CF"/>
    <w:rsid w:val="005173B6"/>
    <w:rsid w:val="00517501"/>
    <w:rsid w:val="005175F2"/>
    <w:rsid w:val="00517708"/>
    <w:rsid w:val="00517A77"/>
    <w:rsid w:val="00517BE5"/>
    <w:rsid w:val="00517EA9"/>
    <w:rsid w:val="00520521"/>
    <w:rsid w:val="00520DD8"/>
    <w:rsid w:val="005211A1"/>
    <w:rsid w:val="005213EB"/>
    <w:rsid w:val="00521450"/>
    <w:rsid w:val="00521461"/>
    <w:rsid w:val="0052161C"/>
    <w:rsid w:val="005217F1"/>
    <w:rsid w:val="005217FD"/>
    <w:rsid w:val="005218FE"/>
    <w:rsid w:val="00521E80"/>
    <w:rsid w:val="00521F86"/>
    <w:rsid w:val="005221F2"/>
    <w:rsid w:val="0052225B"/>
    <w:rsid w:val="00522260"/>
    <w:rsid w:val="00522745"/>
    <w:rsid w:val="0052299B"/>
    <w:rsid w:val="00522C12"/>
    <w:rsid w:val="00522CAE"/>
    <w:rsid w:val="00522D27"/>
    <w:rsid w:val="00522D70"/>
    <w:rsid w:val="00522FB7"/>
    <w:rsid w:val="00522FC8"/>
    <w:rsid w:val="005232C2"/>
    <w:rsid w:val="00523430"/>
    <w:rsid w:val="00523560"/>
    <w:rsid w:val="0052383B"/>
    <w:rsid w:val="005238DE"/>
    <w:rsid w:val="00523C8B"/>
    <w:rsid w:val="00523CD5"/>
    <w:rsid w:val="00524213"/>
    <w:rsid w:val="00524436"/>
    <w:rsid w:val="00524885"/>
    <w:rsid w:val="00524950"/>
    <w:rsid w:val="00524B4C"/>
    <w:rsid w:val="00524D86"/>
    <w:rsid w:val="00524D94"/>
    <w:rsid w:val="00524EFB"/>
    <w:rsid w:val="005251DB"/>
    <w:rsid w:val="00525264"/>
    <w:rsid w:val="005253C7"/>
    <w:rsid w:val="005254C7"/>
    <w:rsid w:val="00525739"/>
    <w:rsid w:val="00525774"/>
    <w:rsid w:val="00525FFC"/>
    <w:rsid w:val="0052662E"/>
    <w:rsid w:val="00526635"/>
    <w:rsid w:val="005266A9"/>
    <w:rsid w:val="005269A1"/>
    <w:rsid w:val="00526FB4"/>
    <w:rsid w:val="0052706A"/>
    <w:rsid w:val="00527173"/>
    <w:rsid w:val="00527469"/>
    <w:rsid w:val="005279BF"/>
    <w:rsid w:val="00527B9A"/>
    <w:rsid w:val="00527C7F"/>
    <w:rsid w:val="00527CB8"/>
    <w:rsid w:val="00527EB0"/>
    <w:rsid w:val="00530030"/>
    <w:rsid w:val="0053036C"/>
    <w:rsid w:val="00530909"/>
    <w:rsid w:val="00530B0B"/>
    <w:rsid w:val="00530FB2"/>
    <w:rsid w:val="00531095"/>
    <w:rsid w:val="005310D1"/>
    <w:rsid w:val="0053113A"/>
    <w:rsid w:val="005312F2"/>
    <w:rsid w:val="005313FD"/>
    <w:rsid w:val="00531558"/>
    <w:rsid w:val="00531788"/>
    <w:rsid w:val="00531BE4"/>
    <w:rsid w:val="00531C6F"/>
    <w:rsid w:val="00531D1E"/>
    <w:rsid w:val="00531EB1"/>
    <w:rsid w:val="00531FE6"/>
    <w:rsid w:val="00532360"/>
    <w:rsid w:val="0053254D"/>
    <w:rsid w:val="0053273D"/>
    <w:rsid w:val="00532747"/>
    <w:rsid w:val="0053274D"/>
    <w:rsid w:val="005327B9"/>
    <w:rsid w:val="005327C0"/>
    <w:rsid w:val="00532BCD"/>
    <w:rsid w:val="00532D81"/>
    <w:rsid w:val="005339C4"/>
    <w:rsid w:val="00533F48"/>
    <w:rsid w:val="00533F9A"/>
    <w:rsid w:val="00533FF6"/>
    <w:rsid w:val="005340B3"/>
    <w:rsid w:val="00534131"/>
    <w:rsid w:val="005345B0"/>
    <w:rsid w:val="0053462C"/>
    <w:rsid w:val="00534828"/>
    <w:rsid w:val="00534899"/>
    <w:rsid w:val="00534A5A"/>
    <w:rsid w:val="00534C74"/>
    <w:rsid w:val="00534DA9"/>
    <w:rsid w:val="0053503C"/>
    <w:rsid w:val="0053519F"/>
    <w:rsid w:val="0053536D"/>
    <w:rsid w:val="00535382"/>
    <w:rsid w:val="005356D1"/>
    <w:rsid w:val="0053584B"/>
    <w:rsid w:val="0053596A"/>
    <w:rsid w:val="00535D2A"/>
    <w:rsid w:val="00536676"/>
    <w:rsid w:val="00536E1F"/>
    <w:rsid w:val="0053703D"/>
    <w:rsid w:val="005370D3"/>
    <w:rsid w:val="00537114"/>
    <w:rsid w:val="005371FC"/>
    <w:rsid w:val="005373C3"/>
    <w:rsid w:val="0053797F"/>
    <w:rsid w:val="00537C89"/>
    <w:rsid w:val="00537C97"/>
    <w:rsid w:val="00537D59"/>
    <w:rsid w:val="00537D8F"/>
    <w:rsid w:val="00537ED0"/>
    <w:rsid w:val="00537F8B"/>
    <w:rsid w:val="005404AC"/>
    <w:rsid w:val="005409F8"/>
    <w:rsid w:val="00541164"/>
    <w:rsid w:val="00541204"/>
    <w:rsid w:val="00541285"/>
    <w:rsid w:val="00541701"/>
    <w:rsid w:val="00541713"/>
    <w:rsid w:val="0054184F"/>
    <w:rsid w:val="005418EF"/>
    <w:rsid w:val="00541ACC"/>
    <w:rsid w:val="00541BB2"/>
    <w:rsid w:val="00541D63"/>
    <w:rsid w:val="00542301"/>
    <w:rsid w:val="00542303"/>
    <w:rsid w:val="00542334"/>
    <w:rsid w:val="005423F5"/>
    <w:rsid w:val="00542498"/>
    <w:rsid w:val="00542801"/>
    <w:rsid w:val="00542828"/>
    <w:rsid w:val="00542C71"/>
    <w:rsid w:val="00542CB7"/>
    <w:rsid w:val="00542D41"/>
    <w:rsid w:val="00543087"/>
    <w:rsid w:val="00543155"/>
    <w:rsid w:val="005431F9"/>
    <w:rsid w:val="0054387C"/>
    <w:rsid w:val="005438C9"/>
    <w:rsid w:val="00543BD1"/>
    <w:rsid w:val="00543DF9"/>
    <w:rsid w:val="00543FE7"/>
    <w:rsid w:val="0054430D"/>
    <w:rsid w:val="00544871"/>
    <w:rsid w:val="00544D97"/>
    <w:rsid w:val="00544E32"/>
    <w:rsid w:val="00546234"/>
    <w:rsid w:val="00546313"/>
    <w:rsid w:val="00546374"/>
    <w:rsid w:val="005464A9"/>
    <w:rsid w:val="005466F9"/>
    <w:rsid w:val="00546B1F"/>
    <w:rsid w:val="00546BB4"/>
    <w:rsid w:val="00546CC9"/>
    <w:rsid w:val="005471ED"/>
    <w:rsid w:val="00547422"/>
    <w:rsid w:val="00547457"/>
    <w:rsid w:val="00547639"/>
    <w:rsid w:val="00547795"/>
    <w:rsid w:val="00547799"/>
    <w:rsid w:val="00547A9D"/>
    <w:rsid w:val="00547D4F"/>
    <w:rsid w:val="00547D9B"/>
    <w:rsid w:val="0055021F"/>
    <w:rsid w:val="0055029B"/>
    <w:rsid w:val="00550377"/>
    <w:rsid w:val="00550921"/>
    <w:rsid w:val="005510F5"/>
    <w:rsid w:val="00551248"/>
    <w:rsid w:val="005516A4"/>
    <w:rsid w:val="005517F9"/>
    <w:rsid w:val="00551B42"/>
    <w:rsid w:val="00551DF1"/>
    <w:rsid w:val="00552505"/>
    <w:rsid w:val="00552BB0"/>
    <w:rsid w:val="00552F2A"/>
    <w:rsid w:val="0055398D"/>
    <w:rsid w:val="005542B3"/>
    <w:rsid w:val="005542F9"/>
    <w:rsid w:val="00554692"/>
    <w:rsid w:val="00554A12"/>
    <w:rsid w:val="00554BD3"/>
    <w:rsid w:val="00554DE0"/>
    <w:rsid w:val="00554EA2"/>
    <w:rsid w:val="0055509D"/>
    <w:rsid w:val="00555135"/>
    <w:rsid w:val="00555230"/>
    <w:rsid w:val="00555A68"/>
    <w:rsid w:val="00555BDA"/>
    <w:rsid w:val="00555E55"/>
    <w:rsid w:val="00556110"/>
    <w:rsid w:val="00556165"/>
    <w:rsid w:val="00556572"/>
    <w:rsid w:val="005567D1"/>
    <w:rsid w:val="00556938"/>
    <w:rsid w:val="00556BA9"/>
    <w:rsid w:val="00556EBA"/>
    <w:rsid w:val="00556F96"/>
    <w:rsid w:val="00557176"/>
    <w:rsid w:val="005571A1"/>
    <w:rsid w:val="005572F2"/>
    <w:rsid w:val="0055739C"/>
    <w:rsid w:val="005574B2"/>
    <w:rsid w:val="0055774D"/>
    <w:rsid w:val="00557CF6"/>
    <w:rsid w:val="00560054"/>
    <w:rsid w:val="005601B8"/>
    <w:rsid w:val="00560225"/>
    <w:rsid w:val="00560227"/>
    <w:rsid w:val="005602D3"/>
    <w:rsid w:val="0056047E"/>
    <w:rsid w:val="0056073C"/>
    <w:rsid w:val="00560B95"/>
    <w:rsid w:val="00560EA3"/>
    <w:rsid w:val="0056106C"/>
    <w:rsid w:val="005612FF"/>
    <w:rsid w:val="00561509"/>
    <w:rsid w:val="00561AE9"/>
    <w:rsid w:val="00561B79"/>
    <w:rsid w:val="00561BE2"/>
    <w:rsid w:val="00561D8D"/>
    <w:rsid w:val="00561F2D"/>
    <w:rsid w:val="00562309"/>
    <w:rsid w:val="00562641"/>
    <w:rsid w:val="00562713"/>
    <w:rsid w:val="00562823"/>
    <w:rsid w:val="00562927"/>
    <w:rsid w:val="00562BEE"/>
    <w:rsid w:val="00562C57"/>
    <w:rsid w:val="00562C88"/>
    <w:rsid w:val="00562DD6"/>
    <w:rsid w:val="00563446"/>
    <w:rsid w:val="0056399B"/>
    <w:rsid w:val="00563C7A"/>
    <w:rsid w:val="00563DD1"/>
    <w:rsid w:val="00563EF4"/>
    <w:rsid w:val="00564388"/>
    <w:rsid w:val="00564630"/>
    <w:rsid w:val="00564637"/>
    <w:rsid w:val="0056463E"/>
    <w:rsid w:val="0056478F"/>
    <w:rsid w:val="00564BDB"/>
    <w:rsid w:val="00564D74"/>
    <w:rsid w:val="00565168"/>
    <w:rsid w:val="005651F9"/>
    <w:rsid w:val="0056522B"/>
    <w:rsid w:val="005654D3"/>
    <w:rsid w:val="00565548"/>
    <w:rsid w:val="00565672"/>
    <w:rsid w:val="005656E0"/>
    <w:rsid w:val="00565B78"/>
    <w:rsid w:val="00565C46"/>
    <w:rsid w:val="00565DB2"/>
    <w:rsid w:val="005664B7"/>
    <w:rsid w:val="005664EF"/>
    <w:rsid w:val="0056657B"/>
    <w:rsid w:val="005665E7"/>
    <w:rsid w:val="005668E6"/>
    <w:rsid w:val="00566B2F"/>
    <w:rsid w:val="00566C49"/>
    <w:rsid w:val="00566D07"/>
    <w:rsid w:val="00566D20"/>
    <w:rsid w:val="00566E04"/>
    <w:rsid w:val="00567476"/>
    <w:rsid w:val="00567685"/>
    <w:rsid w:val="005678AC"/>
    <w:rsid w:val="00567975"/>
    <w:rsid w:val="00567BD8"/>
    <w:rsid w:val="00567D02"/>
    <w:rsid w:val="00567D5B"/>
    <w:rsid w:val="00567D76"/>
    <w:rsid w:val="00567F78"/>
    <w:rsid w:val="005700EE"/>
    <w:rsid w:val="0057019D"/>
    <w:rsid w:val="0057036C"/>
    <w:rsid w:val="005706EE"/>
    <w:rsid w:val="005707F9"/>
    <w:rsid w:val="0057088A"/>
    <w:rsid w:val="00571032"/>
    <w:rsid w:val="005717E2"/>
    <w:rsid w:val="00571AD4"/>
    <w:rsid w:val="00571B21"/>
    <w:rsid w:val="00571E24"/>
    <w:rsid w:val="00572239"/>
    <w:rsid w:val="005722F9"/>
    <w:rsid w:val="005723CE"/>
    <w:rsid w:val="0057262E"/>
    <w:rsid w:val="00572853"/>
    <w:rsid w:val="00572C98"/>
    <w:rsid w:val="00572CA0"/>
    <w:rsid w:val="00572D49"/>
    <w:rsid w:val="005732B8"/>
    <w:rsid w:val="005733C3"/>
    <w:rsid w:val="005738BB"/>
    <w:rsid w:val="0057392D"/>
    <w:rsid w:val="00573B31"/>
    <w:rsid w:val="00573C9A"/>
    <w:rsid w:val="00573E71"/>
    <w:rsid w:val="005743C2"/>
    <w:rsid w:val="005747B0"/>
    <w:rsid w:val="005749C7"/>
    <w:rsid w:val="00574ADA"/>
    <w:rsid w:val="00574B11"/>
    <w:rsid w:val="00574B82"/>
    <w:rsid w:val="00574EF0"/>
    <w:rsid w:val="005750AE"/>
    <w:rsid w:val="00575167"/>
    <w:rsid w:val="0057545A"/>
    <w:rsid w:val="00575621"/>
    <w:rsid w:val="0057571F"/>
    <w:rsid w:val="005757A9"/>
    <w:rsid w:val="005758B4"/>
    <w:rsid w:val="00575B3E"/>
    <w:rsid w:val="00575BCB"/>
    <w:rsid w:val="00575BD7"/>
    <w:rsid w:val="00575D17"/>
    <w:rsid w:val="00575DAA"/>
    <w:rsid w:val="00575E02"/>
    <w:rsid w:val="0057601C"/>
    <w:rsid w:val="0057639C"/>
    <w:rsid w:val="0057639F"/>
    <w:rsid w:val="0057643E"/>
    <w:rsid w:val="0057654A"/>
    <w:rsid w:val="00576577"/>
    <w:rsid w:val="00576675"/>
    <w:rsid w:val="00576ACF"/>
    <w:rsid w:val="00576B74"/>
    <w:rsid w:val="00576D4A"/>
    <w:rsid w:val="005771FF"/>
    <w:rsid w:val="005772CC"/>
    <w:rsid w:val="005772D8"/>
    <w:rsid w:val="005775E8"/>
    <w:rsid w:val="0057774E"/>
    <w:rsid w:val="00577828"/>
    <w:rsid w:val="00577A46"/>
    <w:rsid w:val="005808C1"/>
    <w:rsid w:val="00580A85"/>
    <w:rsid w:val="00580D1B"/>
    <w:rsid w:val="00580D44"/>
    <w:rsid w:val="00580E57"/>
    <w:rsid w:val="005813D5"/>
    <w:rsid w:val="005815D2"/>
    <w:rsid w:val="00581952"/>
    <w:rsid w:val="005819E4"/>
    <w:rsid w:val="00581CC6"/>
    <w:rsid w:val="00581D31"/>
    <w:rsid w:val="00581EDE"/>
    <w:rsid w:val="0058208C"/>
    <w:rsid w:val="0058216A"/>
    <w:rsid w:val="00582203"/>
    <w:rsid w:val="005822D3"/>
    <w:rsid w:val="00582406"/>
    <w:rsid w:val="0058244C"/>
    <w:rsid w:val="005824BF"/>
    <w:rsid w:val="005824CB"/>
    <w:rsid w:val="0058269B"/>
    <w:rsid w:val="00582ADA"/>
    <w:rsid w:val="00582B69"/>
    <w:rsid w:val="00582F8D"/>
    <w:rsid w:val="00582F97"/>
    <w:rsid w:val="00583138"/>
    <w:rsid w:val="005831D6"/>
    <w:rsid w:val="005835F5"/>
    <w:rsid w:val="00583922"/>
    <w:rsid w:val="00583C6D"/>
    <w:rsid w:val="00583E18"/>
    <w:rsid w:val="00583FC7"/>
    <w:rsid w:val="005841FC"/>
    <w:rsid w:val="005842BE"/>
    <w:rsid w:val="005843D3"/>
    <w:rsid w:val="005848CD"/>
    <w:rsid w:val="005849AB"/>
    <w:rsid w:val="00584BB2"/>
    <w:rsid w:val="00584C06"/>
    <w:rsid w:val="00584E0F"/>
    <w:rsid w:val="00585265"/>
    <w:rsid w:val="00585301"/>
    <w:rsid w:val="00585388"/>
    <w:rsid w:val="0058538A"/>
    <w:rsid w:val="005854FA"/>
    <w:rsid w:val="0058550E"/>
    <w:rsid w:val="005855A4"/>
    <w:rsid w:val="0058571C"/>
    <w:rsid w:val="005858BE"/>
    <w:rsid w:val="005860DD"/>
    <w:rsid w:val="005860EA"/>
    <w:rsid w:val="00586102"/>
    <w:rsid w:val="00586134"/>
    <w:rsid w:val="0058629F"/>
    <w:rsid w:val="005866C8"/>
    <w:rsid w:val="00586799"/>
    <w:rsid w:val="00586E3E"/>
    <w:rsid w:val="005870E3"/>
    <w:rsid w:val="00587149"/>
    <w:rsid w:val="00587214"/>
    <w:rsid w:val="0058726D"/>
    <w:rsid w:val="005872F9"/>
    <w:rsid w:val="00587933"/>
    <w:rsid w:val="005879DA"/>
    <w:rsid w:val="00587C1A"/>
    <w:rsid w:val="00587C32"/>
    <w:rsid w:val="00587DA8"/>
    <w:rsid w:val="00587DAA"/>
    <w:rsid w:val="0059024C"/>
    <w:rsid w:val="00590510"/>
    <w:rsid w:val="0059068D"/>
    <w:rsid w:val="00590851"/>
    <w:rsid w:val="00590AEE"/>
    <w:rsid w:val="00590E91"/>
    <w:rsid w:val="0059102A"/>
    <w:rsid w:val="005910D4"/>
    <w:rsid w:val="005910E2"/>
    <w:rsid w:val="00591195"/>
    <w:rsid w:val="005911AB"/>
    <w:rsid w:val="005914B4"/>
    <w:rsid w:val="005914CB"/>
    <w:rsid w:val="0059155D"/>
    <w:rsid w:val="005916FB"/>
    <w:rsid w:val="00591B38"/>
    <w:rsid w:val="00591BB6"/>
    <w:rsid w:val="00591BC1"/>
    <w:rsid w:val="00591D0B"/>
    <w:rsid w:val="00591F62"/>
    <w:rsid w:val="005921EA"/>
    <w:rsid w:val="005923A9"/>
    <w:rsid w:val="005923C7"/>
    <w:rsid w:val="005923E7"/>
    <w:rsid w:val="00592412"/>
    <w:rsid w:val="00592473"/>
    <w:rsid w:val="00592707"/>
    <w:rsid w:val="0059282A"/>
    <w:rsid w:val="0059297C"/>
    <w:rsid w:val="0059297D"/>
    <w:rsid w:val="00592A15"/>
    <w:rsid w:val="00592C65"/>
    <w:rsid w:val="00592C81"/>
    <w:rsid w:val="00592D62"/>
    <w:rsid w:val="00592F34"/>
    <w:rsid w:val="00592FEF"/>
    <w:rsid w:val="00593084"/>
    <w:rsid w:val="00593174"/>
    <w:rsid w:val="00593207"/>
    <w:rsid w:val="00593334"/>
    <w:rsid w:val="00593681"/>
    <w:rsid w:val="0059378B"/>
    <w:rsid w:val="00593D90"/>
    <w:rsid w:val="00593EF8"/>
    <w:rsid w:val="00594202"/>
    <w:rsid w:val="00594238"/>
    <w:rsid w:val="00594455"/>
    <w:rsid w:val="005946D3"/>
    <w:rsid w:val="00594A67"/>
    <w:rsid w:val="00594B88"/>
    <w:rsid w:val="00595374"/>
    <w:rsid w:val="00595451"/>
    <w:rsid w:val="0059547E"/>
    <w:rsid w:val="0059548C"/>
    <w:rsid w:val="005955F5"/>
    <w:rsid w:val="005956F6"/>
    <w:rsid w:val="0059591D"/>
    <w:rsid w:val="00595A22"/>
    <w:rsid w:val="00595AC6"/>
    <w:rsid w:val="00595B2A"/>
    <w:rsid w:val="00595C78"/>
    <w:rsid w:val="00595D1D"/>
    <w:rsid w:val="00595DEC"/>
    <w:rsid w:val="00595ED7"/>
    <w:rsid w:val="00595FB8"/>
    <w:rsid w:val="00596236"/>
    <w:rsid w:val="00596A6E"/>
    <w:rsid w:val="00596B04"/>
    <w:rsid w:val="00596B37"/>
    <w:rsid w:val="00596CF7"/>
    <w:rsid w:val="00596F6F"/>
    <w:rsid w:val="0059706F"/>
    <w:rsid w:val="00597134"/>
    <w:rsid w:val="0059737B"/>
    <w:rsid w:val="00597940"/>
    <w:rsid w:val="00597959"/>
    <w:rsid w:val="00597AF7"/>
    <w:rsid w:val="00597B93"/>
    <w:rsid w:val="00597C60"/>
    <w:rsid w:val="00597DAD"/>
    <w:rsid w:val="005A0111"/>
    <w:rsid w:val="005A018A"/>
    <w:rsid w:val="005A02E9"/>
    <w:rsid w:val="005A0309"/>
    <w:rsid w:val="005A0435"/>
    <w:rsid w:val="005A070F"/>
    <w:rsid w:val="005A09FD"/>
    <w:rsid w:val="005A0DDF"/>
    <w:rsid w:val="005A0F77"/>
    <w:rsid w:val="005A135A"/>
    <w:rsid w:val="005A159C"/>
    <w:rsid w:val="005A15FD"/>
    <w:rsid w:val="005A17CF"/>
    <w:rsid w:val="005A187B"/>
    <w:rsid w:val="005A18A2"/>
    <w:rsid w:val="005A1B13"/>
    <w:rsid w:val="005A1FBC"/>
    <w:rsid w:val="005A213A"/>
    <w:rsid w:val="005A255B"/>
    <w:rsid w:val="005A26A7"/>
    <w:rsid w:val="005A2B11"/>
    <w:rsid w:val="005A2B75"/>
    <w:rsid w:val="005A2D98"/>
    <w:rsid w:val="005A2FCF"/>
    <w:rsid w:val="005A3440"/>
    <w:rsid w:val="005A38D8"/>
    <w:rsid w:val="005A3BC7"/>
    <w:rsid w:val="005A3D5C"/>
    <w:rsid w:val="005A40F6"/>
    <w:rsid w:val="005A4222"/>
    <w:rsid w:val="005A4305"/>
    <w:rsid w:val="005A446C"/>
    <w:rsid w:val="005A45F0"/>
    <w:rsid w:val="005A46E2"/>
    <w:rsid w:val="005A499B"/>
    <w:rsid w:val="005A4B9E"/>
    <w:rsid w:val="005A4C65"/>
    <w:rsid w:val="005A4E44"/>
    <w:rsid w:val="005A4F70"/>
    <w:rsid w:val="005A4F7C"/>
    <w:rsid w:val="005A56F4"/>
    <w:rsid w:val="005A5A42"/>
    <w:rsid w:val="005A5B4E"/>
    <w:rsid w:val="005A5B5D"/>
    <w:rsid w:val="005A5C3A"/>
    <w:rsid w:val="005A5E49"/>
    <w:rsid w:val="005A62C9"/>
    <w:rsid w:val="005A62E5"/>
    <w:rsid w:val="005A65A1"/>
    <w:rsid w:val="005A67D7"/>
    <w:rsid w:val="005A697A"/>
    <w:rsid w:val="005A6B62"/>
    <w:rsid w:val="005A6CE9"/>
    <w:rsid w:val="005A6D95"/>
    <w:rsid w:val="005A70CD"/>
    <w:rsid w:val="005A710B"/>
    <w:rsid w:val="005A738E"/>
    <w:rsid w:val="005A73B1"/>
    <w:rsid w:val="005A758E"/>
    <w:rsid w:val="005A78D8"/>
    <w:rsid w:val="005A7908"/>
    <w:rsid w:val="005A7A95"/>
    <w:rsid w:val="005A7DCB"/>
    <w:rsid w:val="005A7E86"/>
    <w:rsid w:val="005B0545"/>
    <w:rsid w:val="005B0A09"/>
    <w:rsid w:val="005B12FA"/>
    <w:rsid w:val="005B13E0"/>
    <w:rsid w:val="005B1444"/>
    <w:rsid w:val="005B1763"/>
    <w:rsid w:val="005B17FD"/>
    <w:rsid w:val="005B1D8F"/>
    <w:rsid w:val="005B1F17"/>
    <w:rsid w:val="005B2250"/>
    <w:rsid w:val="005B25B7"/>
    <w:rsid w:val="005B280F"/>
    <w:rsid w:val="005B2825"/>
    <w:rsid w:val="005B2946"/>
    <w:rsid w:val="005B2A25"/>
    <w:rsid w:val="005B2A74"/>
    <w:rsid w:val="005B2B51"/>
    <w:rsid w:val="005B2BDE"/>
    <w:rsid w:val="005B3134"/>
    <w:rsid w:val="005B3218"/>
    <w:rsid w:val="005B3936"/>
    <w:rsid w:val="005B3F19"/>
    <w:rsid w:val="005B40A6"/>
    <w:rsid w:val="005B40D4"/>
    <w:rsid w:val="005B435F"/>
    <w:rsid w:val="005B45E1"/>
    <w:rsid w:val="005B47B0"/>
    <w:rsid w:val="005B4923"/>
    <w:rsid w:val="005B4941"/>
    <w:rsid w:val="005B4D82"/>
    <w:rsid w:val="005B4D8F"/>
    <w:rsid w:val="005B4E44"/>
    <w:rsid w:val="005B4F76"/>
    <w:rsid w:val="005B50B8"/>
    <w:rsid w:val="005B50D2"/>
    <w:rsid w:val="005B51C6"/>
    <w:rsid w:val="005B54A7"/>
    <w:rsid w:val="005B54E5"/>
    <w:rsid w:val="005B5709"/>
    <w:rsid w:val="005B587B"/>
    <w:rsid w:val="005B5A67"/>
    <w:rsid w:val="005B5DA0"/>
    <w:rsid w:val="005B5DA2"/>
    <w:rsid w:val="005B5E86"/>
    <w:rsid w:val="005B611E"/>
    <w:rsid w:val="005B6375"/>
    <w:rsid w:val="005B66A6"/>
    <w:rsid w:val="005B67DD"/>
    <w:rsid w:val="005B6842"/>
    <w:rsid w:val="005B6A9A"/>
    <w:rsid w:val="005B6B22"/>
    <w:rsid w:val="005B6DB4"/>
    <w:rsid w:val="005B6DC0"/>
    <w:rsid w:val="005B7041"/>
    <w:rsid w:val="005B7157"/>
    <w:rsid w:val="005B718E"/>
    <w:rsid w:val="005B7607"/>
    <w:rsid w:val="005B7743"/>
    <w:rsid w:val="005B784F"/>
    <w:rsid w:val="005B7885"/>
    <w:rsid w:val="005B7CD1"/>
    <w:rsid w:val="005B7FAE"/>
    <w:rsid w:val="005B7FE2"/>
    <w:rsid w:val="005C0279"/>
    <w:rsid w:val="005C028C"/>
    <w:rsid w:val="005C02A6"/>
    <w:rsid w:val="005C0341"/>
    <w:rsid w:val="005C047B"/>
    <w:rsid w:val="005C04AB"/>
    <w:rsid w:val="005C07DF"/>
    <w:rsid w:val="005C0ACD"/>
    <w:rsid w:val="005C0B2E"/>
    <w:rsid w:val="005C0D03"/>
    <w:rsid w:val="005C0D4B"/>
    <w:rsid w:val="005C0DAF"/>
    <w:rsid w:val="005C0ED0"/>
    <w:rsid w:val="005C0FE4"/>
    <w:rsid w:val="005C14CA"/>
    <w:rsid w:val="005C16D0"/>
    <w:rsid w:val="005C1711"/>
    <w:rsid w:val="005C184C"/>
    <w:rsid w:val="005C19D6"/>
    <w:rsid w:val="005C1E38"/>
    <w:rsid w:val="005C2245"/>
    <w:rsid w:val="005C2844"/>
    <w:rsid w:val="005C29E7"/>
    <w:rsid w:val="005C2E4E"/>
    <w:rsid w:val="005C3285"/>
    <w:rsid w:val="005C370C"/>
    <w:rsid w:val="005C3989"/>
    <w:rsid w:val="005C3A4E"/>
    <w:rsid w:val="005C3A5D"/>
    <w:rsid w:val="005C3AFE"/>
    <w:rsid w:val="005C3D75"/>
    <w:rsid w:val="005C3EF5"/>
    <w:rsid w:val="005C3EFB"/>
    <w:rsid w:val="005C4112"/>
    <w:rsid w:val="005C414A"/>
    <w:rsid w:val="005C4536"/>
    <w:rsid w:val="005C48BC"/>
    <w:rsid w:val="005C492B"/>
    <w:rsid w:val="005C4A6F"/>
    <w:rsid w:val="005C4B1A"/>
    <w:rsid w:val="005C4B58"/>
    <w:rsid w:val="005C4B5E"/>
    <w:rsid w:val="005C4C91"/>
    <w:rsid w:val="005C4E8C"/>
    <w:rsid w:val="005C530B"/>
    <w:rsid w:val="005C557D"/>
    <w:rsid w:val="005C565E"/>
    <w:rsid w:val="005C5701"/>
    <w:rsid w:val="005C5889"/>
    <w:rsid w:val="005C5946"/>
    <w:rsid w:val="005C5950"/>
    <w:rsid w:val="005C5EAA"/>
    <w:rsid w:val="005C5F79"/>
    <w:rsid w:val="005C62F6"/>
    <w:rsid w:val="005C6774"/>
    <w:rsid w:val="005C6B9A"/>
    <w:rsid w:val="005C6C84"/>
    <w:rsid w:val="005C72F1"/>
    <w:rsid w:val="005C76EF"/>
    <w:rsid w:val="005C7958"/>
    <w:rsid w:val="005C7C99"/>
    <w:rsid w:val="005C7E66"/>
    <w:rsid w:val="005D010C"/>
    <w:rsid w:val="005D0130"/>
    <w:rsid w:val="005D0BE9"/>
    <w:rsid w:val="005D0C4E"/>
    <w:rsid w:val="005D104C"/>
    <w:rsid w:val="005D1AC1"/>
    <w:rsid w:val="005D1D9F"/>
    <w:rsid w:val="005D1E2B"/>
    <w:rsid w:val="005D21B8"/>
    <w:rsid w:val="005D2345"/>
    <w:rsid w:val="005D23B2"/>
    <w:rsid w:val="005D2611"/>
    <w:rsid w:val="005D2752"/>
    <w:rsid w:val="005D2A6E"/>
    <w:rsid w:val="005D2F7E"/>
    <w:rsid w:val="005D304E"/>
    <w:rsid w:val="005D30A9"/>
    <w:rsid w:val="005D320D"/>
    <w:rsid w:val="005D3344"/>
    <w:rsid w:val="005D3479"/>
    <w:rsid w:val="005D35B4"/>
    <w:rsid w:val="005D35F8"/>
    <w:rsid w:val="005D36C5"/>
    <w:rsid w:val="005D3AE8"/>
    <w:rsid w:val="005D3BC3"/>
    <w:rsid w:val="005D3BD5"/>
    <w:rsid w:val="005D3CA0"/>
    <w:rsid w:val="005D46C6"/>
    <w:rsid w:val="005D4710"/>
    <w:rsid w:val="005D494C"/>
    <w:rsid w:val="005D4A01"/>
    <w:rsid w:val="005D4FAF"/>
    <w:rsid w:val="005D5BE7"/>
    <w:rsid w:val="005D5D7F"/>
    <w:rsid w:val="005D5DEB"/>
    <w:rsid w:val="005D5F39"/>
    <w:rsid w:val="005D5FE9"/>
    <w:rsid w:val="005D6322"/>
    <w:rsid w:val="005D64D3"/>
    <w:rsid w:val="005D65AD"/>
    <w:rsid w:val="005D6763"/>
    <w:rsid w:val="005D67C4"/>
    <w:rsid w:val="005D6B42"/>
    <w:rsid w:val="005D7089"/>
    <w:rsid w:val="005D72DA"/>
    <w:rsid w:val="005D7386"/>
    <w:rsid w:val="005D73FF"/>
    <w:rsid w:val="005D745E"/>
    <w:rsid w:val="005D7495"/>
    <w:rsid w:val="005D764F"/>
    <w:rsid w:val="005D765A"/>
    <w:rsid w:val="005D7C7A"/>
    <w:rsid w:val="005D7F05"/>
    <w:rsid w:val="005D7F26"/>
    <w:rsid w:val="005E00F4"/>
    <w:rsid w:val="005E0132"/>
    <w:rsid w:val="005E0327"/>
    <w:rsid w:val="005E03FD"/>
    <w:rsid w:val="005E0BB0"/>
    <w:rsid w:val="005E0C31"/>
    <w:rsid w:val="005E0EAB"/>
    <w:rsid w:val="005E0F2C"/>
    <w:rsid w:val="005E1029"/>
    <w:rsid w:val="005E1366"/>
    <w:rsid w:val="005E1D5B"/>
    <w:rsid w:val="005E1DD2"/>
    <w:rsid w:val="005E1E45"/>
    <w:rsid w:val="005E1F51"/>
    <w:rsid w:val="005E1F5A"/>
    <w:rsid w:val="005E1F6C"/>
    <w:rsid w:val="005E209B"/>
    <w:rsid w:val="005E2165"/>
    <w:rsid w:val="005E22F3"/>
    <w:rsid w:val="005E23A5"/>
    <w:rsid w:val="005E23B7"/>
    <w:rsid w:val="005E2567"/>
    <w:rsid w:val="005E299F"/>
    <w:rsid w:val="005E33BF"/>
    <w:rsid w:val="005E36C5"/>
    <w:rsid w:val="005E380B"/>
    <w:rsid w:val="005E3C28"/>
    <w:rsid w:val="005E3E72"/>
    <w:rsid w:val="005E3EAD"/>
    <w:rsid w:val="005E3F3A"/>
    <w:rsid w:val="005E409E"/>
    <w:rsid w:val="005E4B7A"/>
    <w:rsid w:val="005E4EEA"/>
    <w:rsid w:val="005E4FC8"/>
    <w:rsid w:val="005E507F"/>
    <w:rsid w:val="005E5140"/>
    <w:rsid w:val="005E5264"/>
    <w:rsid w:val="005E55EB"/>
    <w:rsid w:val="005E58DB"/>
    <w:rsid w:val="005E5CDB"/>
    <w:rsid w:val="005E5D4C"/>
    <w:rsid w:val="005E5D89"/>
    <w:rsid w:val="005E602D"/>
    <w:rsid w:val="005E6040"/>
    <w:rsid w:val="005E61AA"/>
    <w:rsid w:val="005E629F"/>
    <w:rsid w:val="005E67EE"/>
    <w:rsid w:val="005E69D4"/>
    <w:rsid w:val="005E6D5C"/>
    <w:rsid w:val="005E793E"/>
    <w:rsid w:val="005E797A"/>
    <w:rsid w:val="005E7A2A"/>
    <w:rsid w:val="005E7C85"/>
    <w:rsid w:val="005E7D1F"/>
    <w:rsid w:val="005E7DA0"/>
    <w:rsid w:val="005E7E31"/>
    <w:rsid w:val="005F0A4C"/>
    <w:rsid w:val="005F1147"/>
    <w:rsid w:val="005F15E0"/>
    <w:rsid w:val="005F1677"/>
    <w:rsid w:val="005F1870"/>
    <w:rsid w:val="005F187E"/>
    <w:rsid w:val="005F1956"/>
    <w:rsid w:val="005F1B7C"/>
    <w:rsid w:val="005F1CBE"/>
    <w:rsid w:val="005F1E9C"/>
    <w:rsid w:val="005F2728"/>
    <w:rsid w:val="005F272A"/>
    <w:rsid w:val="005F277D"/>
    <w:rsid w:val="005F281E"/>
    <w:rsid w:val="005F29F3"/>
    <w:rsid w:val="005F2B31"/>
    <w:rsid w:val="005F2BB4"/>
    <w:rsid w:val="005F2CA7"/>
    <w:rsid w:val="005F2E06"/>
    <w:rsid w:val="005F2FD2"/>
    <w:rsid w:val="005F309C"/>
    <w:rsid w:val="005F34BB"/>
    <w:rsid w:val="005F3718"/>
    <w:rsid w:val="005F3734"/>
    <w:rsid w:val="005F3810"/>
    <w:rsid w:val="005F38F7"/>
    <w:rsid w:val="005F3966"/>
    <w:rsid w:val="005F39C6"/>
    <w:rsid w:val="005F3ACF"/>
    <w:rsid w:val="005F3BFD"/>
    <w:rsid w:val="005F3DC0"/>
    <w:rsid w:val="005F41C2"/>
    <w:rsid w:val="005F422E"/>
    <w:rsid w:val="005F443F"/>
    <w:rsid w:val="005F4F76"/>
    <w:rsid w:val="005F514F"/>
    <w:rsid w:val="005F5198"/>
    <w:rsid w:val="005F54AF"/>
    <w:rsid w:val="005F586B"/>
    <w:rsid w:val="005F5B06"/>
    <w:rsid w:val="005F5B49"/>
    <w:rsid w:val="005F6A4B"/>
    <w:rsid w:val="005F6AD2"/>
    <w:rsid w:val="005F6C45"/>
    <w:rsid w:val="005F6D30"/>
    <w:rsid w:val="005F70A7"/>
    <w:rsid w:val="005F73AD"/>
    <w:rsid w:val="005F78FB"/>
    <w:rsid w:val="005F79A7"/>
    <w:rsid w:val="00600173"/>
    <w:rsid w:val="00600460"/>
    <w:rsid w:val="006005A7"/>
    <w:rsid w:val="00600CA6"/>
    <w:rsid w:val="00600DB4"/>
    <w:rsid w:val="0060101B"/>
    <w:rsid w:val="0060109B"/>
    <w:rsid w:val="00601341"/>
    <w:rsid w:val="006014FA"/>
    <w:rsid w:val="00601580"/>
    <w:rsid w:val="006015CA"/>
    <w:rsid w:val="00601A9F"/>
    <w:rsid w:val="00601C2F"/>
    <w:rsid w:val="00601F09"/>
    <w:rsid w:val="00601F91"/>
    <w:rsid w:val="00602425"/>
    <w:rsid w:val="0060285B"/>
    <w:rsid w:val="00602B1B"/>
    <w:rsid w:val="00603427"/>
    <w:rsid w:val="006035AB"/>
    <w:rsid w:val="00603608"/>
    <w:rsid w:val="00603657"/>
    <w:rsid w:val="0060377B"/>
    <w:rsid w:val="006039DD"/>
    <w:rsid w:val="00603AFA"/>
    <w:rsid w:val="00603B4E"/>
    <w:rsid w:val="00603CD3"/>
    <w:rsid w:val="00603CE8"/>
    <w:rsid w:val="00604010"/>
    <w:rsid w:val="0060442C"/>
    <w:rsid w:val="0060442D"/>
    <w:rsid w:val="00604605"/>
    <w:rsid w:val="00604680"/>
    <w:rsid w:val="00604854"/>
    <w:rsid w:val="00604941"/>
    <w:rsid w:val="00604B4C"/>
    <w:rsid w:val="00604EEA"/>
    <w:rsid w:val="00605222"/>
    <w:rsid w:val="006053B2"/>
    <w:rsid w:val="00605822"/>
    <w:rsid w:val="00605A83"/>
    <w:rsid w:val="00605E70"/>
    <w:rsid w:val="00605ECF"/>
    <w:rsid w:val="0060612B"/>
    <w:rsid w:val="00606316"/>
    <w:rsid w:val="0060647D"/>
    <w:rsid w:val="0060668A"/>
    <w:rsid w:val="0060684F"/>
    <w:rsid w:val="00606B42"/>
    <w:rsid w:val="00607046"/>
    <w:rsid w:val="00607178"/>
    <w:rsid w:val="006071F0"/>
    <w:rsid w:val="0060769E"/>
    <w:rsid w:val="0060794B"/>
    <w:rsid w:val="006079F8"/>
    <w:rsid w:val="00607AF2"/>
    <w:rsid w:val="00607C0D"/>
    <w:rsid w:val="00607FDF"/>
    <w:rsid w:val="00610084"/>
    <w:rsid w:val="0061014C"/>
    <w:rsid w:val="00610185"/>
    <w:rsid w:val="00610636"/>
    <w:rsid w:val="00610957"/>
    <w:rsid w:val="00610BF4"/>
    <w:rsid w:val="00610CF7"/>
    <w:rsid w:val="00610EAE"/>
    <w:rsid w:val="00610F31"/>
    <w:rsid w:val="0061110C"/>
    <w:rsid w:val="00611255"/>
    <w:rsid w:val="0061142E"/>
    <w:rsid w:val="00611555"/>
    <w:rsid w:val="0061158B"/>
    <w:rsid w:val="00611631"/>
    <w:rsid w:val="006116F7"/>
    <w:rsid w:val="006117B3"/>
    <w:rsid w:val="00611813"/>
    <w:rsid w:val="00611B1B"/>
    <w:rsid w:val="00611C67"/>
    <w:rsid w:val="00612124"/>
    <w:rsid w:val="00612169"/>
    <w:rsid w:val="0061274C"/>
    <w:rsid w:val="00612A47"/>
    <w:rsid w:val="00612C9A"/>
    <w:rsid w:val="006131BC"/>
    <w:rsid w:val="006131DA"/>
    <w:rsid w:val="00613425"/>
    <w:rsid w:val="006135A8"/>
    <w:rsid w:val="0061394B"/>
    <w:rsid w:val="00613A80"/>
    <w:rsid w:val="00613A8D"/>
    <w:rsid w:val="00613C1F"/>
    <w:rsid w:val="00613FA7"/>
    <w:rsid w:val="00614303"/>
    <w:rsid w:val="006147CC"/>
    <w:rsid w:val="006148C7"/>
    <w:rsid w:val="00614CFA"/>
    <w:rsid w:val="0061535D"/>
    <w:rsid w:val="006154B4"/>
    <w:rsid w:val="006155F1"/>
    <w:rsid w:val="00615673"/>
    <w:rsid w:val="00615BBF"/>
    <w:rsid w:val="00615E34"/>
    <w:rsid w:val="00616016"/>
    <w:rsid w:val="006161E5"/>
    <w:rsid w:val="0061624A"/>
    <w:rsid w:val="006163D0"/>
    <w:rsid w:val="00616561"/>
    <w:rsid w:val="006167EF"/>
    <w:rsid w:val="00616ADB"/>
    <w:rsid w:val="00616B5A"/>
    <w:rsid w:val="00616BD0"/>
    <w:rsid w:val="00616D97"/>
    <w:rsid w:val="00616DF0"/>
    <w:rsid w:val="0061720F"/>
    <w:rsid w:val="00617293"/>
    <w:rsid w:val="00617898"/>
    <w:rsid w:val="00617AFA"/>
    <w:rsid w:val="00617D07"/>
    <w:rsid w:val="00617F5A"/>
    <w:rsid w:val="00620390"/>
    <w:rsid w:val="00620776"/>
    <w:rsid w:val="006207FD"/>
    <w:rsid w:val="00620867"/>
    <w:rsid w:val="00620909"/>
    <w:rsid w:val="0062095E"/>
    <w:rsid w:val="00620CEE"/>
    <w:rsid w:val="00620D8E"/>
    <w:rsid w:val="0062129C"/>
    <w:rsid w:val="006213BB"/>
    <w:rsid w:val="0062161F"/>
    <w:rsid w:val="006218C8"/>
    <w:rsid w:val="006219FA"/>
    <w:rsid w:val="00621B33"/>
    <w:rsid w:val="00621C63"/>
    <w:rsid w:val="00621DBB"/>
    <w:rsid w:val="00622177"/>
    <w:rsid w:val="006225EB"/>
    <w:rsid w:val="006226CA"/>
    <w:rsid w:val="00622A81"/>
    <w:rsid w:val="00622CE8"/>
    <w:rsid w:val="00622D8F"/>
    <w:rsid w:val="00622E29"/>
    <w:rsid w:val="00622FB4"/>
    <w:rsid w:val="00623042"/>
    <w:rsid w:val="0062307B"/>
    <w:rsid w:val="00623175"/>
    <w:rsid w:val="00623492"/>
    <w:rsid w:val="00623786"/>
    <w:rsid w:val="00623A31"/>
    <w:rsid w:val="00623B59"/>
    <w:rsid w:val="00623C4C"/>
    <w:rsid w:val="00623F3E"/>
    <w:rsid w:val="00624120"/>
    <w:rsid w:val="0062430B"/>
    <w:rsid w:val="00624360"/>
    <w:rsid w:val="0062488E"/>
    <w:rsid w:val="006249F9"/>
    <w:rsid w:val="0062508F"/>
    <w:rsid w:val="00625504"/>
    <w:rsid w:val="0062553A"/>
    <w:rsid w:val="006255BB"/>
    <w:rsid w:val="006256B6"/>
    <w:rsid w:val="0062575A"/>
    <w:rsid w:val="00625EF4"/>
    <w:rsid w:val="00625F91"/>
    <w:rsid w:val="00626215"/>
    <w:rsid w:val="00626219"/>
    <w:rsid w:val="0062691D"/>
    <w:rsid w:val="00626A95"/>
    <w:rsid w:val="006277E1"/>
    <w:rsid w:val="00627B1C"/>
    <w:rsid w:val="00627DAE"/>
    <w:rsid w:val="006301C7"/>
    <w:rsid w:val="006301E1"/>
    <w:rsid w:val="00630BED"/>
    <w:rsid w:val="00630C13"/>
    <w:rsid w:val="006310C1"/>
    <w:rsid w:val="0063118E"/>
    <w:rsid w:val="006311D7"/>
    <w:rsid w:val="0063126E"/>
    <w:rsid w:val="00631407"/>
    <w:rsid w:val="00631A64"/>
    <w:rsid w:val="00631E3B"/>
    <w:rsid w:val="00631F4C"/>
    <w:rsid w:val="00631F9D"/>
    <w:rsid w:val="00631FAF"/>
    <w:rsid w:val="0063210A"/>
    <w:rsid w:val="00632211"/>
    <w:rsid w:val="00632574"/>
    <w:rsid w:val="00632D09"/>
    <w:rsid w:val="00632F36"/>
    <w:rsid w:val="00633167"/>
    <w:rsid w:val="00633405"/>
    <w:rsid w:val="00633589"/>
    <w:rsid w:val="006335A3"/>
    <w:rsid w:val="006338C1"/>
    <w:rsid w:val="00633EBF"/>
    <w:rsid w:val="00633FDC"/>
    <w:rsid w:val="00634176"/>
    <w:rsid w:val="00634208"/>
    <w:rsid w:val="00634253"/>
    <w:rsid w:val="006343D6"/>
    <w:rsid w:val="006345B3"/>
    <w:rsid w:val="00634701"/>
    <w:rsid w:val="00634A06"/>
    <w:rsid w:val="00634A69"/>
    <w:rsid w:val="00634B26"/>
    <w:rsid w:val="00634D61"/>
    <w:rsid w:val="00634DC0"/>
    <w:rsid w:val="00634F95"/>
    <w:rsid w:val="00635282"/>
    <w:rsid w:val="00635291"/>
    <w:rsid w:val="00635300"/>
    <w:rsid w:val="00635316"/>
    <w:rsid w:val="006354B8"/>
    <w:rsid w:val="006354FA"/>
    <w:rsid w:val="0063551C"/>
    <w:rsid w:val="00635860"/>
    <w:rsid w:val="00635B06"/>
    <w:rsid w:val="00635DCD"/>
    <w:rsid w:val="00635E07"/>
    <w:rsid w:val="00635FB7"/>
    <w:rsid w:val="00636416"/>
    <w:rsid w:val="006364F7"/>
    <w:rsid w:val="00636576"/>
    <w:rsid w:val="00636A1F"/>
    <w:rsid w:val="00636E15"/>
    <w:rsid w:val="00636EE0"/>
    <w:rsid w:val="0063731B"/>
    <w:rsid w:val="0063746B"/>
    <w:rsid w:val="0063747A"/>
    <w:rsid w:val="00637547"/>
    <w:rsid w:val="006378E2"/>
    <w:rsid w:val="0063799B"/>
    <w:rsid w:val="00637B5E"/>
    <w:rsid w:val="00637C68"/>
    <w:rsid w:val="00637E93"/>
    <w:rsid w:val="00637F16"/>
    <w:rsid w:val="0064048A"/>
    <w:rsid w:val="006404EF"/>
    <w:rsid w:val="0064070B"/>
    <w:rsid w:val="00640F20"/>
    <w:rsid w:val="00641184"/>
    <w:rsid w:val="00641503"/>
    <w:rsid w:val="00641C33"/>
    <w:rsid w:val="00641ED0"/>
    <w:rsid w:val="00641EE3"/>
    <w:rsid w:val="00641F15"/>
    <w:rsid w:val="00641F1B"/>
    <w:rsid w:val="00641FAA"/>
    <w:rsid w:val="0064210C"/>
    <w:rsid w:val="0064251E"/>
    <w:rsid w:val="00642664"/>
    <w:rsid w:val="00642A82"/>
    <w:rsid w:val="00642A89"/>
    <w:rsid w:val="00642C8C"/>
    <w:rsid w:val="00642F5E"/>
    <w:rsid w:val="00642FE5"/>
    <w:rsid w:val="00643138"/>
    <w:rsid w:val="0064322C"/>
    <w:rsid w:val="00643903"/>
    <w:rsid w:val="00643EF7"/>
    <w:rsid w:val="0064422A"/>
    <w:rsid w:val="006442B7"/>
    <w:rsid w:val="006444B6"/>
    <w:rsid w:val="00644A30"/>
    <w:rsid w:val="00644A84"/>
    <w:rsid w:val="00644C01"/>
    <w:rsid w:val="00644C70"/>
    <w:rsid w:val="00644F09"/>
    <w:rsid w:val="006451D0"/>
    <w:rsid w:val="006452A9"/>
    <w:rsid w:val="006453EB"/>
    <w:rsid w:val="006456CB"/>
    <w:rsid w:val="00645DE5"/>
    <w:rsid w:val="00646221"/>
    <w:rsid w:val="00646621"/>
    <w:rsid w:val="00646A75"/>
    <w:rsid w:val="00646F7A"/>
    <w:rsid w:val="00647093"/>
    <w:rsid w:val="00647149"/>
    <w:rsid w:val="006471EC"/>
    <w:rsid w:val="006473C2"/>
    <w:rsid w:val="0064742C"/>
    <w:rsid w:val="00647B0E"/>
    <w:rsid w:val="00647CCC"/>
    <w:rsid w:val="00647F32"/>
    <w:rsid w:val="006502C2"/>
    <w:rsid w:val="0065032D"/>
    <w:rsid w:val="00650416"/>
    <w:rsid w:val="00650522"/>
    <w:rsid w:val="00650535"/>
    <w:rsid w:val="00650636"/>
    <w:rsid w:val="00650742"/>
    <w:rsid w:val="00650AEC"/>
    <w:rsid w:val="00650C60"/>
    <w:rsid w:val="00650F8A"/>
    <w:rsid w:val="006510E4"/>
    <w:rsid w:val="00651256"/>
    <w:rsid w:val="0065144D"/>
    <w:rsid w:val="006518DE"/>
    <w:rsid w:val="00651B19"/>
    <w:rsid w:val="00651B5B"/>
    <w:rsid w:val="00651E0C"/>
    <w:rsid w:val="00651F65"/>
    <w:rsid w:val="0065203B"/>
    <w:rsid w:val="00652487"/>
    <w:rsid w:val="00652B82"/>
    <w:rsid w:val="00652E4E"/>
    <w:rsid w:val="006533C5"/>
    <w:rsid w:val="006534E7"/>
    <w:rsid w:val="00653605"/>
    <w:rsid w:val="00653606"/>
    <w:rsid w:val="00653822"/>
    <w:rsid w:val="00653B24"/>
    <w:rsid w:val="00653BC0"/>
    <w:rsid w:val="00653E02"/>
    <w:rsid w:val="00653EAF"/>
    <w:rsid w:val="00654108"/>
    <w:rsid w:val="0065410B"/>
    <w:rsid w:val="00654378"/>
    <w:rsid w:val="00654883"/>
    <w:rsid w:val="006549C0"/>
    <w:rsid w:val="006549E1"/>
    <w:rsid w:val="00654A13"/>
    <w:rsid w:val="00654A67"/>
    <w:rsid w:val="00654BFF"/>
    <w:rsid w:val="00654C22"/>
    <w:rsid w:val="00654F3E"/>
    <w:rsid w:val="00655130"/>
    <w:rsid w:val="006551A8"/>
    <w:rsid w:val="00655491"/>
    <w:rsid w:val="006555BA"/>
    <w:rsid w:val="00655CDA"/>
    <w:rsid w:val="00655D45"/>
    <w:rsid w:val="00655D83"/>
    <w:rsid w:val="00656090"/>
    <w:rsid w:val="00656918"/>
    <w:rsid w:val="00656A89"/>
    <w:rsid w:val="00656CAF"/>
    <w:rsid w:val="00656CC9"/>
    <w:rsid w:val="006572F0"/>
    <w:rsid w:val="0065751D"/>
    <w:rsid w:val="006576A7"/>
    <w:rsid w:val="006577AB"/>
    <w:rsid w:val="00657833"/>
    <w:rsid w:val="006579BD"/>
    <w:rsid w:val="00657ADF"/>
    <w:rsid w:val="00657C8B"/>
    <w:rsid w:val="00657DAA"/>
    <w:rsid w:val="00657E8D"/>
    <w:rsid w:val="0066034F"/>
    <w:rsid w:val="0066062A"/>
    <w:rsid w:val="00660660"/>
    <w:rsid w:val="0066072A"/>
    <w:rsid w:val="00660EE2"/>
    <w:rsid w:val="00660F21"/>
    <w:rsid w:val="006613DE"/>
    <w:rsid w:val="006614E4"/>
    <w:rsid w:val="00661530"/>
    <w:rsid w:val="006616EF"/>
    <w:rsid w:val="00661973"/>
    <w:rsid w:val="00661A78"/>
    <w:rsid w:val="00661CFE"/>
    <w:rsid w:val="00661E1D"/>
    <w:rsid w:val="00661F65"/>
    <w:rsid w:val="00662170"/>
    <w:rsid w:val="0066234C"/>
    <w:rsid w:val="006623D4"/>
    <w:rsid w:val="00662424"/>
    <w:rsid w:val="0066266F"/>
    <w:rsid w:val="00662758"/>
    <w:rsid w:val="006628AE"/>
    <w:rsid w:val="006628DE"/>
    <w:rsid w:val="00662B41"/>
    <w:rsid w:val="00662C84"/>
    <w:rsid w:val="00662E03"/>
    <w:rsid w:val="00663005"/>
    <w:rsid w:val="00663073"/>
    <w:rsid w:val="00663108"/>
    <w:rsid w:val="00663779"/>
    <w:rsid w:val="00663C34"/>
    <w:rsid w:val="00663CDC"/>
    <w:rsid w:val="00663CDF"/>
    <w:rsid w:val="00663F50"/>
    <w:rsid w:val="00663F94"/>
    <w:rsid w:val="00663FD9"/>
    <w:rsid w:val="00664075"/>
    <w:rsid w:val="00664363"/>
    <w:rsid w:val="0066462D"/>
    <w:rsid w:val="00664787"/>
    <w:rsid w:val="006647F6"/>
    <w:rsid w:val="00664997"/>
    <w:rsid w:val="00664AA6"/>
    <w:rsid w:val="00664B8C"/>
    <w:rsid w:val="00664C0F"/>
    <w:rsid w:val="00664C8B"/>
    <w:rsid w:val="00664F31"/>
    <w:rsid w:val="006655C5"/>
    <w:rsid w:val="006655D2"/>
    <w:rsid w:val="006658D8"/>
    <w:rsid w:val="00665965"/>
    <w:rsid w:val="00665967"/>
    <w:rsid w:val="00665B44"/>
    <w:rsid w:val="00665EF2"/>
    <w:rsid w:val="006661BB"/>
    <w:rsid w:val="00666207"/>
    <w:rsid w:val="006664FE"/>
    <w:rsid w:val="006666E4"/>
    <w:rsid w:val="006669C0"/>
    <w:rsid w:val="00666A21"/>
    <w:rsid w:val="00666B67"/>
    <w:rsid w:val="00666B9E"/>
    <w:rsid w:val="00666D12"/>
    <w:rsid w:val="00666D3F"/>
    <w:rsid w:val="00666F87"/>
    <w:rsid w:val="00667017"/>
    <w:rsid w:val="006672D1"/>
    <w:rsid w:val="00667340"/>
    <w:rsid w:val="00667349"/>
    <w:rsid w:val="00667922"/>
    <w:rsid w:val="00667AD7"/>
    <w:rsid w:val="00667CD8"/>
    <w:rsid w:val="00667E51"/>
    <w:rsid w:val="00670231"/>
    <w:rsid w:val="0067051F"/>
    <w:rsid w:val="006706B3"/>
    <w:rsid w:val="0067081A"/>
    <w:rsid w:val="00670F4A"/>
    <w:rsid w:val="00671029"/>
    <w:rsid w:val="00671194"/>
    <w:rsid w:val="006712C9"/>
    <w:rsid w:val="00671BB1"/>
    <w:rsid w:val="00671DD9"/>
    <w:rsid w:val="0067201F"/>
    <w:rsid w:val="00672203"/>
    <w:rsid w:val="0067220C"/>
    <w:rsid w:val="006725F4"/>
    <w:rsid w:val="006726FB"/>
    <w:rsid w:val="00672CE2"/>
    <w:rsid w:val="00672D5E"/>
    <w:rsid w:val="00672F1B"/>
    <w:rsid w:val="00672F71"/>
    <w:rsid w:val="006730D3"/>
    <w:rsid w:val="0067322B"/>
    <w:rsid w:val="0067359D"/>
    <w:rsid w:val="00673EB7"/>
    <w:rsid w:val="00673EC7"/>
    <w:rsid w:val="00673F55"/>
    <w:rsid w:val="0067422D"/>
    <w:rsid w:val="00674383"/>
    <w:rsid w:val="006743E5"/>
    <w:rsid w:val="006744FD"/>
    <w:rsid w:val="0067478C"/>
    <w:rsid w:val="00674A3A"/>
    <w:rsid w:val="00674B07"/>
    <w:rsid w:val="00674D80"/>
    <w:rsid w:val="0067507D"/>
    <w:rsid w:val="006754A7"/>
    <w:rsid w:val="006756E2"/>
    <w:rsid w:val="00675763"/>
    <w:rsid w:val="006757AD"/>
    <w:rsid w:val="00675831"/>
    <w:rsid w:val="00675970"/>
    <w:rsid w:val="00675B76"/>
    <w:rsid w:val="00675FCA"/>
    <w:rsid w:val="006760C7"/>
    <w:rsid w:val="00676101"/>
    <w:rsid w:val="00676131"/>
    <w:rsid w:val="0067635F"/>
    <w:rsid w:val="00676908"/>
    <w:rsid w:val="00676D2E"/>
    <w:rsid w:val="00677476"/>
    <w:rsid w:val="0067748A"/>
    <w:rsid w:val="00677690"/>
    <w:rsid w:val="006776D5"/>
    <w:rsid w:val="00677CF9"/>
    <w:rsid w:val="00677DBD"/>
    <w:rsid w:val="00680CFD"/>
    <w:rsid w:val="006816E7"/>
    <w:rsid w:val="00681AA1"/>
    <w:rsid w:val="00681CCE"/>
    <w:rsid w:val="006823A0"/>
    <w:rsid w:val="006828B9"/>
    <w:rsid w:val="00682AC9"/>
    <w:rsid w:val="00682B18"/>
    <w:rsid w:val="006836C1"/>
    <w:rsid w:val="006838F2"/>
    <w:rsid w:val="00683D8E"/>
    <w:rsid w:val="00683DEB"/>
    <w:rsid w:val="00683ECA"/>
    <w:rsid w:val="00684129"/>
    <w:rsid w:val="006844FA"/>
    <w:rsid w:val="006846EA"/>
    <w:rsid w:val="00684AD4"/>
    <w:rsid w:val="00684C80"/>
    <w:rsid w:val="00684DC6"/>
    <w:rsid w:val="00684FD1"/>
    <w:rsid w:val="006851E9"/>
    <w:rsid w:val="00685216"/>
    <w:rsid w:val="006852D6"/>
    <w:rsid w:val="00685917"/>
    <w:rsid w:val="00685CB8"/>
    <w:rsid w:val="00685CEE"/>
    <w:rsid w:val="00685D79"/>
    <w:rsid w:val="00685D88"/>
    <w:rsid w:val="00685E5B"/>
    <w:rsid w:val="00685F59"/>
    <w:rsid w:val="0068636D"/>
    <w:rsid w:val="006866DF"/>
    <w:rsid w:val="0068686A"/>
    <w:rsid w:val="006869AA"/>
    <w:rsid w:val="00686F5B"/>
    <w:rsid w:val="00687051"/>
    <w:rsid w:val="0069008C"/>
    <w:rsid w:val="006905D1"/>
    <w:rsid w:val="006907DD"/>
    <w:rsid w:val="00690919"/>
    <w:rsid w:val="00690971"/>
    <w:rsid w:val="00690A10"/>
    <w:rsid w:val="00690A2A"/>
    <w:rsid w:val="006912DF"/>
    <w:rsid w:val="00691348"/>
    <w:rsid w:val="0069148E"/>
    <w:rsid w:val="0069179D"/>
    <w:rsid w:val="0069181C"/>
    <w:rsid w:val="00691C97"/>
    <w:rsid w:val="00691E31"/>
    <w:rsid w:val="00691F19"/>
    <w:rsid w:val="00691F77"/>
    <w:rsid w:val="00691FCC"/>
    <w:rsid w:val="006920A9"/>
    <w:rsid w:val="006922D5"/>
    <w:rsid w:val="00692675"/>
    <w:rsid w:val="006926C9"/>
    <w:rsid w:val="00692A9B"/>
    <w:rsid w:val="00692BA2"/>
    <w:rsid w:val="0069326C"/>
    <w:rsid w:val="006933DC"/>
    <w:rsid w:val="006935CA"/>
    <w:rsid w:val="00693600"/>
    <w:rsid w:val="00693673"/>
    <w:rsid w:val="00693729"/>
    <w:rsid w:val="006939C9"/>
    <w:rsid w:val="00693AF3"/>
    <w:rsid w:val="00693C23"/>
    <w:rsid w:val="00693DFF"/>
    <w:rsid w:val="00693F84"/>
    <w:rsid w:val="00694268"/>
    <w:rsid w:val="0069439A"/>
    <w:rsid w:val="0069467B"/>
    <w:rsid w:val="006948D3"/>
    <w:rsid w:val="00694C72"/>
    <w:rsid w:val="00694D4B"/>
    <w:rsid w:val="00694F35"/>
    <w:rsid w:val="00694FEB"/>
    <w:rsid w:val="006952C0"/>
    <w:rsid w:val="006953A7"/>
    <w:rsid w:val="0069555F"/>
    <w:rsid w:val="006955A0"/>
    <w:rsid w:val="006956AF"/>
    <w:rsid w:val="006956FA"/>
    <w:rsid w:val="00695A70"/>
    <w:rsid w:val="00695C4D"/>
    <w:rsid w:val="00695EC2"/>
    <w:rsid w:val="00695EE0"/>
    <w:rsid w:val="006962A1"/>
    <w:rsid w:val="00696318"/>
    <w:rsid w:val="006964C1"/>
    <w:rsid w:val="0069678B"/>
    <w:rsid w:val="00696ACF"/>
    <w:rsid w:val="00696B62"/>
    <w:rsid w:val="00697586"/>
    <w:rsid w:val="00697B5E"/>
    <w:rsid w:val="00697BFA"/>
    <w:rsid w:val="00697D94"/>
    <w:rsid w:val="00697FBB"/>
    <w:rsid w:val="006A008D"/>
    <w:rsid w:val="006A0566"/>
    <w:rsid w:val="006A090F"/>
    <w:rsid w:val="006A09EE"/>
    <w:rsid w:val="006A0A3B"/>
    <w:rsid w:val="006A0D35"/>
    <w:rsid w:val="006A0EE1"/>
    <w:rsid w:val="006A1481"/>
    <w:rsid w:val="006A1740"/>
    <w:rsid w:val="006A1771"/>
    <w:rsid w:val="006A17E5"/>
    <w:rsid w:val="006A18FE"/>
    <w:rsid w:val="006A1935"/>
    <w:rsid w:val="006A1B45"/>
    <w:rsid w:val="006A1C00"/>
    <w:rsid w:val="006A1D29"/>
    <w:rsid w:val="006A1F83"/>
    <w:rsid w:val="006A2255"/>
    <w:rsid w:val="006A2637"/>
    <w:rsid w:val="006A280F"/>
    <w:rsid w:val="006A289A"/>
    <w:rsid w:val="006A2963"/>
    <w:rsid w:val="006A2CBC"/>
    <w:rsid w:val="006A2E71"/>
    <w:rsid w:val="006A2ECF"/>
    <w:rsid w:val="006A2FDA"/>
    <w:rsid w:val="006A2FE0"/>
    <w:rsid w:val="006A30ED"/>
    <w:rsid w:val="006A3366"/>
    <w:rsid w:val="006A3428"/>
    <w:rsid w:val="006A3684"/>
    <w:rsid w:val="006A381E"/>
    <w:rsid w:val="006A384C"/>
    <w:rsid w:val="006A39C7"/>
    <w:rsid w:val="006A3AD9"/>
    <w:rsid w:val="006A3C02"/>
    <w:rsid w:val="006A3C04"/>
    <w:rsid w:val="006A3C91"/>
    <w:rsid w:val="006A3CBF"/>
    <w:rsid w:val="006A3D28"/>
    <w:rsid w:val="006A4227"/>
    <w:rsid w:val="006A44CD"/>
    <w:rsid w:val="006A4585"/>
    <w:rsid w:val="006A4884"/>
    <w:rsid w:val="006A4BB3"/>
    <w:rsid w:val="006A4BE9"/>
    <w:rsid w:val="006A4D8E"/>
    <w:rsid w:val="006A4E91"/>
    <w:rsid w:val="006A5178"/>
    <w:rsid w:val="006A5BE5"/>
    <w:rsid w:val="006A5CAA"/>
    <w:rsid w:val="006A60EE"/>
    <w:rsid w:val="006A60F2"/>
    <w:rsid w:val="006A60F6"/>
    <w:rsid w:val="006A6460"/>
    <w:rsid w:val="006A662F"/>
    <w:rsid w:val="006A677E"/>
    <w:rsid w:val="006A67EE"/>
    <w:rsid w:val="006A693C"/>
    <w:rsid w:val="006A694E"/>
    <w:rsid w:val="006A69CB"/>
    <w:rsid w:val="006A69F6"/>
    <w:rsid w:val="006A6A2C"/>
    <w:rsid w:val="006A702B"/>
    <w:rsid w:val="006A71FE"/>
    <w:rsid w:val="006A7270"/>
    <w:rsid w:val="006A730E"/>
    <w:rsid w:val="006A741E"/>
    <w:rsid w:val="006A75E4"/>
    <w:rsid w:val="006A76E5"/>
    <w:rsid w:val="006A785B"/>
    <w:rsid w:val="006A7AA5"/>
    <w:rsid w:val="006A7F05"/>
    <w:rsid w:val="006A7F85"/>
    <w:rsid w:val="006B0279"/>
    <w:rsid w:val="006B0386"/>
    <w:rsid w:val="006B0391"/>
    <w:rsid w:val="006B0408"/>
    <w:rsid w:val="006B0549"/>
    <w:rsid w:val="006B059A"/>
    <w:rsid w:val="006B05D1"/>
    <w:rsid w:val="006B071A"/>
    <w:rsid w:val="006B081A"/>
    <w:rsid w:val="006B0971"/>
    <w:rsid w:val="006B0B27"/>
    <w:rsid w:val="006B0C77"/>
    <w:rsid w:val="006B104E"/>
    <w:rsid w:val="006B1099"/>
    <w:rsid w:val="006B17C7"/>
    <w:rsid w:val="006B1823"/>
    <w:rsid w:val="006B190F"/>
    <w:rsid w:val="006B1CCC"/>
    <w:rsid w:val="006B1EA4"/>
    <w:rsid w:val="006B1F21"/>
    <w:rsid w:val="006B1FFF"/>
    <w:rsid w:val="006B21CF"/>
    <w:rsid w:val="006B22B7"/>
    <w:rsid w:val="006B23FE"/>
    <w:rsid w:val="006B2737"/>
    <w:rsid w:val="006B2760"/>
    <w:rsid w:val="006B286A"/>
    <w:rsid w:val="006B2A11"/>
    <w:rsid w:val="006B2C9F"/>
    <w:rsid w:val="006B3056"/>
    <w:rsid w:val="006B3264"/>
    <w:rsid w:val="006B3280"/>
    <w:rsid w:val="006B36BE"/>
    <w:rsid w:val="006B3BF4"/>
    <w:rsid w:val="006B4033"/>
    <w:rsid w:val="006B40B8"/>
    <w:rsid w:val="006B40E2"/>
    <w:rsid w:val="006B45FC"/>
    <w:rsid w:val="006B45FE"/>
    <w:rsid w:val="006B4673"/>
    <w:rsid w:val="006B4761"/>
    <w:rsid w:val="006B49C5"/>
    <w:rsid w:val="006B4C1C"/>
    <w:rsid w:val="006B4CED"/>
    <w:rsid w:val="006B4CF1"/>
    <w:rsid w:val="006B4D39"/>
    <w:rsid w:val="006B4D8F"/>
    <w:rsid w:val="006B5011"/>
    <w:rsid w:val="006B50D4"/>
    <w:rsid w:val="006B511E"/>
    <w:rsid w:val="006B51AD"/>
    <w:rsid w:val="006B5643"/>
    <w:rsid w:val="006B5E32"/>
    <w:rsid w:val="006B5E90"/>
    <w:rsid w:val="006B5EFD"/>
    <w:rsid w:val="006B6647"/>
    <w:rsid w:val="006B6A6F"/>
    <w:rsid w:val="006B6B16"/>
    <w:rsid w:val="006B6B90"/>
    <w:rsid w:val="006B7087"/>
    <w:rsid w:val="006B7123"/>
    <w:rsid w:val="006B76E9"/>
    <w:rsid w:val="006B772C"/>
    <w:rsid w:val="006B79E1"/>
    <w:rsid w:val="006B79F7"/>
    <w:rsid w:val="006B7C7F"/>
    <w:rsid w:val="006B7F5D"/>
    <w:rsid w:val="006C0432"/>
    <w:rsid w:val="006C0611"/>
    <w:rsid w:val="006C0B1B"/>
    <w:rsid w:val="006C0CA1"/>
    <w:rsid w:val="006C1074"/>
    <w:rsid w:val="006C1639"/>
    <w:rsid w:val="006C1645"/>
    <w:rsid w:val="006C1693"/>
    <w:rsid w:val="006C16F4"/>
    <w:rsid w:val="006C18C7"/>
    <w:rsid w:val="006C19D2"/>
    <w:rsid w:val="006C1C0A"/>
    <w:rsid w:val="006C23E7"/>
    <w:rsid w:val="006C24E7"/>
    <w:rsid w:val="006C2714"/>
    <w:rsid w:val="006C287F"/>
    <w:rsid w:val="006C2F9E"/>
    <w:rsid w:val="006C3139"/>
    <w:rsid w:val="006C3275"/>
    <w:rsid w:val="006C34D1"/>
    <w:rsid w:val="006C3527"/>
    <w:rsid w:val="006C384B"/>
    <w:rsid w:val="006C3AB5"/>
    <w:rsid w:val="006C3AF1"/>
    <w:rsid w:val="006C3BC5"/>
    <w:rsid w:val="006C3CB9"/>
    <w:rsid w:val="006C42DE"/>
    <w:rsid w:val="006C441F"/>
    <w:rsid w:val="006C44D4"/>
    <w:rsid w:val="006C4647"/>
    <w:rsid w:val="006C47BB"/>
    <w:rsid w:val="006C48A8"/>
    <w:rsid w:val="006C491A"/>
    <w:rsid w:val="006C49B0"/>
    <w:rsid w:val="006C4A9E"/>
    <w:rsid w:val="006C4B3F"/>
    <w:rsid w:val="006C4E89"/>
    <w:rsid w:val="006C4EAD"/>
    <w:rsid w:val="006C520D"/>
    <w:rsid w:val="006C533C"/>
    <w:rsid w:val="006C53D4"/>
    <w:rsid w:val="006C5408"/>
    <w:rsid w:val="006C54C4"/>
    <w:rsid w:val="006C54E7"/>
    <w:rsid w:val="006C5562"/>
    <w:rsid w:val="006C5A9B"/>
    <w:rsid w:val="006C5DAE"/>
    <w:rsid w:val="006C5EF4"/>
    <w:rsid w:val="006C5FC0"/>
    <w:rsid w:val="006C60BE"/>
    <w:rsid w:val="006C61AA"/>
    <w:rsid w:val="006C6384"/>
    <w:rsid w:val="006C67B9"/>
    <w:rsid w:val="006C6867"/>
    <w:rsid w:val="006C6A9B"/>
    <w:rsid w:val="006C6F24"/>
    <w:rsid w:val="006C7182"/>
    <w:rsid w:val="006C73F8"/>
    <w:rsid w:val="006C7559"/>
    <w:rsid w:val="006C7687"/>
    <w:rsid w:val="006C778A"/>
    <w:rsid w:val="006C7931"/>
    <w:rsid w:val="006C7A49"/>
    <w:rsid w:val="006C7D04"/>
    <w:rsid w:val="006C7D89"/>
    <w:rsid w:val="006C7F3C"/>
    <w:rsid w:val="006D02A1"/>
    <w:rsid w:val="006D0575"/>
    <w:rsid w:val="006D08FE"/>
    <w:rsid w:val="006D090C"/>
    <w:rsid w:val="006D0C0F"/>
    <w:rsid w:val="006D0D1A"/>
    <w:rsid w:val="006D0E89"/>
    <w:rsid w:val="006D107E"/>
    <w:rsid w:val="006D1319"/>
    <w:rsid w:val="006D147C"/>
    <w:rsid w:val="006D183D"/>
    <w:rsid w:val="006D19D8"/>
    <w:rsid w:val="006D1B7B"/>
    <w:rsid w:val="006D1D76"/>
    <w:rsid w:val="006D1D98"/>
    <w:rsid w:val="006D1EA3"/>
    <w:rsid w:val="006D1FB4"/>
    <w:rsid w:val="006D2505"/>
    <w:rsid w:val="006D277D"/>
    <w:rsid w:val="006D27C7"/>
    <w:rsid w:val="006D2896"/>
    <w:rsid w:val="006D2DED"/>
    <w:rsid w:val="006D2EE9"/>
    <w:rsid w:val="006D308D"/>
    <w:rsid w:val="006D30B3"/>
    <w:rsid w:val="006D34E9"/>
    <w:rsid w:val="006D35DB"/>
    <w:rsid w:val="006D36D8"/>
    <w:rsid w:val="006D370A"/>
    <w:rsid w:val="006D385D"/>
    <w:rsid w:val="006D3E64"/>
    <w:rsid w:val="006D3E7A"/>
    <w:rsid w:val="006D4471"/>
    <w:rsid w:val="006D4582"/>
    <w:rsid w:val="006D45CC"/>
    <w:rsid w:val="006D4647"/>
    <w:rsid w:val="006D4826"/>
    <w:rsid w:val="006D489C"/>
    <w:rsid w:val="006D4A44"/>
    <w:rsid w:val="006D4DB0"/>
    <w:rsid w:val="006D5110"/>
    <w:rsid w:val="006D51BE"/>
    <w:rsid w:val="006D5776"/>
    <w:rsid w:val="006D58D4"/>
    <w:rsid w:val="006D5A90"/>
    <w:rsid w:val="006D5B3D"/>
    <w:rsid w:val="006D5BE7"/>
    <w:rsid w:val="006D5C1E"/>
    <w:rsid w:val="006D6049"/>
    <w:rsid w:val="006D60E9"/>
    <w:rsid w:val="006D628B"/>
    <w:rsid w:val="006D682B"/>
    <w:rsid w:val="006D689F"/>
    <w:rsid w:val="006D698F"/>
    <w:rsid w:val="006D6AF1"/>
    <w:rsid w:val="006D6B5B"/>
    <w:rsid w:val="006D6D16"/>
    <w:rsid w:val="006D6EA3"/>
    <w:rsid w:val="006D788B"/>
    <w:rsid w:val="006D78D1"/>
    <w:rsid w:val="006D7ABD"/>
    <w:rsid w:val="006D7AED"/>
    <w:rsid w:val="006D7B69"/>
    <w:rsid w:val="006D7FEC"/>
    <w:rsid w:val="006E00BF"/>
    <w:rsid w:val="006E0106"/>
    <w:rsid w:val="006E041C"/>
    <w:rsid w:val="006E057D"/>
    <w:rsid w:val="006E0C5F"/>
    <w:rsid w:val="006E0D7A"/>
    <w:rsid w:val="006E0DF0"/>
    <w:rsid w:val="006E0F0A"/>
    <w:rsid w:val="006E0F4E"/>
    <w:rsid w:val="006E0FAB"/>
    <w:rsid w:val="006E10F1"/>
    <w:rsid w:val="006E1185"/>
    <w:rsid w:val="006E1498"/>
    <w:rsid w:val="006E1526"/>
    <w:rsid w:val="006E167B"/>
    <w:rsid w:val="006E1976"/>
    <w:rsid w:val="006E1A0E"/>
    <w:rsid w:val="006E1ADD"/>
    <w:rsid w:val="006E1BE9"/>
    <w:rsid w:val="006E1F7C"/>
    <w:rsid w:val="006E1FC5"/>
    <w:rsid w:val="006E2041"/>
    <w:rsid w:val="006E21AC"/>
    <w:rsid w:val="006E2399"/>
    <w:rsid w:val="006E23C3"/>
    <w:rsid w:val="006E23F3"/>
    <w:rsid w:val="006E25E1"/>
    <w:rsid w:val="006E280F"/>
    <w:rsid w:val="006E2883"/>
    <w:rsid w:val="006E2D31"/>
    <w:rsid w:val="006E3176"/>
    <w:rsid w:val="006E31A9"/>
    <w:rsid w:val="006E32DF"/>
    <w:rsid w:val="006E34F8"/>
    <w:rsid w:val="006E35F8"/>
    <w:rsid w:val="006E3842"/>
    <w:rsid w:val="006E3B65"/>
    <w:rsid w:val="006E3CB1"/>
    <w:rsid w:val="006E3D17"/>
    <w:rsid w:val="006E3D3C"/>
    <w:rsid w:val="006E3DDA"/>
    <w:rsid w:val="006E3E8F"/>
    <w:rsid w:val="006E3FF6"/>
    <w:rsid w:val="006E40E5"/>
    <w:rsid w:val="006E44B2"/>
    <w:rsid w:val="006E474A"/>
    <w:rsid w:val="006E479E"/>
    <w:rsid w:val="006E48A1"/>
    <w:rsid w:val="006E4A46"/>
    <w:rsid w:val="006E4B5C"/>
    <w:rsid w:val="006E4BAC"/>
    <w:rsid w:val="006E4E7A"/>
    <w:rsid w:val="006E51C5"/>
    <w:rsid w:val="006E52E2"/>
    <w:rsid w:val="006E57B4"/>
    <w:rsid w:val="006E57E8"/>
    <w:rsid w:val="006E5AFF"/>
    <w:rsid w:val="006E5B84"/>
    <w:rsid w:val="006E5ED1"/>
    <w:rsid w:val="006E6303"/>
    <w:rsid w:val="006E65EF"/>
    <w:rsid w:val="006E6978"/>
    <w:rsid w:val="006E6C81"/>
    <w:rsid w:val="006E6D63"/>
    <w:rsid w:val="006E6DD9"/>
    <w:rsid w:val="006E6F7E"/>
    <w:rsid w:val="006E73B3"/>
    <w:rsid w:val="006E751E"/>
    <w:rsid w:val="006E7526"/>
    <w:rsid w:val="006E77D5"/>
    <w:rsid w:val="006E796E"/>
    <w:rsid w:val="006E7BD2"/>
    <w:rsid w:val="006E7F7C"/>
    <w:rsid w:val="006F0316"/>
    <w:rsid w:val="006F04A0"/>
    <w:rsid w:val="006F04BD"/>
    <w:rsid w:val="006F0589"/>
    <w:rsid w:val="006F0625"/>
    <w:rsid w:val="006F08E0"/>
    <w:rsid w:val="006F08EC"/>
    <w:rsid w:val="006F0EE2"/>
    <w:rsid w:val="006F1672"/>
    <w:rsid w:val="006F18CC"/>
    <w:rsid w:val="006F1BDF"/>
    <w:rsid w:val="006F1C0F"/>
    <w:rsid w:val="006F1DED"/>
    <w:rsid w:val="006F20CE"/>
    <w:rsid w:val="006F2339"/>
    <w:rsid w:val="006F2722"/>
    <w:rsid w:val="006F2759"/>
    <w:rsid w:val="006F27CA"/>
    <w:rsid w:val="006F2849"/>
    <w:rsid w:val="006F2894"/>
    <w:rsid w:val="006F2A86"/>
    <w:rsid w:val="006F2A91"/>
    <w:rsid w:val="006F2D33"/>
    <w:rsid w:val="006F2D7A"/>
    <w:rsid w:val="006F2F15"/>
    <w:rsid w:val="006F2FF5"/>
    <w:rsid w:val="006F3103"/>
    <w:rsid w:val="006F341D"/>
    <w:rsid w:val="006F34E9"/>
    <w:rsid w:val="006F379C"/>
    <w:rsid w:val="006F3C53"/>
    <w:rsid w:val="006F4220"/>
    <w:rsid w:val="006F4613"/>
    <w:rsid w:val="006F4DA6"/>
    <w:rsid w:val="006F4DB4"/>
    <w:rsid w:val="006F4DC0"/>
    <w:rsid w:val="006F4E7A"/>
    <w:rsid w:val="006F4FD6"/>
    <w:rsid w:val="006F5151"/>
    <w:rsid w:val="006F51CE"/>
    <w:rsid w:val="006F525D"/>
    <w:rsid w:val="006F614F"/>
    <w:rsid w:val="006F61C5"/>
    <w:rsid w:val="006F64C9"/>
    <w:rsid w:val="006F6963"/>
    <w:rsid w:val="006F69F6"/>
    <w:rsid w:val="006F6BCB"/>
    <w:rsid w:val="006F6D8D"/>
    <w:rsid w:val="006F6E95"/>
    <w:rsid w:val="006F7104"/>
    <w:rsid w:val="006F71AB"/>
    <w:rsid w:val="006F73FC"/>
    <w:rsid w:val="006F7444"/>
    <w:rsid w:val="006F74C2"/>
    <w:rsid w:val="006F75EB"/>
    <w:rsid w:val="006F778D"/>
    <w:rsid w:val="006F7A2C"/>
    <w:rsid w:val="006F7C3E"/>
    <w:rsid w:val="007001A3"/>
    <w:rsid w:val="00700E9A"/>
    <w:rsid w:val="00701020"/>
    <w:rsid w:val="007011CA"/>
    <w:rsid w:val="00701265"/>
    <w:rsid w:val="00701519"/>
    <w:rsid w:val="0070155E"/>
    <w:rsid w:val="00701773"/>
    <w:rsid w:val="00701AFC"/>
    <w:rsid w:val="00701BD1"/>
    <w:rsid w:val="00701EAC"/>
    <w:rsid w:val="00702053"/>
    <w:rsid w:val="00702159"/>
    <w:rsid w:val="007022EC"/>
    <w:rsid w:val="007022FB"/>
    <w:rsid w:val="007023DB"/>
    <w:rsid w:val="00702695"/>
    <w:rsid w:val="007028F0"/>
    <w:rsid w:val="00702D5E"/>
    <w:rsid w:val="007033F7"/>
    <w:rsid w:val="00703563"/>
    <w:rsid w:val="007039E6"/>
    <w:rsid w:val="00703CB5"/>
    <w:rsid w:val="00703CE8"/>
    <w:rsid w:val="00703FC9"/>
    <w:rsid w:val="00704737"/>
    <w:rsid w:val="007048F0"/>
    <w:rsid w:val="00704C1B"/>
    <w:rsid w:val="00704F0B"/>
    <w:rsid w:val="00705245"/>
    <w:rsid w:val="007053F0"/>
    <w:rsid w:val="007054CC"/>
    <w:rsid w:val="00705747"/>
    <w:rsid w:val="007059EA"/>
    <w:rsid w:val="00705AC7"/>
    <w:rsid w:val="00705C0E"/>
    <w:rsid w:val="00705C2C"/>
    <w:rsid w:val="00705D34"/>
    <w:rsid w:val="00706311"/>
    <w:rsid w:val="00706362"/>
    <w:rsid w:val="0070638A"/>
    <w:rsid w:val="007066EA"/>
    <w:rsid w:val="0070677F"/>
    <w:rsid w:val="00706A79"/>
    <w:rsid w:val="00706D20"/>
    <w:rsid w:val="00706D83"/>
    <w:rsid w:val="00706E2E"/>
    <w:rsid w:val="00706E5E"/>
    <w:rsid w:val="00706FD2"/>
    <w:rsid w:val="00707036"/>
    <w:rsid w:val="0070708F"/>
    <w:rsid w:val="00707378"/>
    <w:rsid w:val="007076DB"/>
    <w:rsid w:val="00707769"/>
    <w:rsid w:val="007077B6"/>
    <w:rsid w:val="0070780E"/>
    <w:rsid w:val="00707AA4"/>
    <w:rsid w:val="00707CA1"/>
    <w:rsid w:val="00707D81"/>
    <w:rsid w:val="00707EA7"/>
    <w:rsid w:val="0071015D"/>
    <w:rsid w:val="007101F9"/>
    <w:rsid w:val="00710343"/>
    <w:rsid w:val="00710443"/>
    <w:rsid w:val="00710906"/>
    <w:rsid w:val="00710D52"/>
    <w:rsid w:val="00710D53"/>
    <w:rsid w:val="00710F26"/>
    <w:rsid w:val="00711159"/>
    <w:rsid w:val="007111D5"/>
    <w:rsid w:val="007113ED"/>
    <w:rsid w:val="007113F1"/>
    <w:rsid w:val="00711D73"/>
    <w:rsid w:val="00712157"/>
    <w:rsid w:val="00712330"/>
    <w:rsid w:val="00712433"/>
    <w:rsid w:val="00712439"/>
    <w:rsid w:val="00712584"/>
    <w:rsid w:val="00712590"/>
    <w:rsid w:val="00712691"/>
    <w:rsid w:val="00712702"/>
    <w:rsid w:val="00712794"/>
    <w:rsid w:val="0071283A"/>
    <w:rsid w:val="00712BBA"/>
    <w:rsid w:val="00712C1D"/>
    <w:rsid w:val="00712E01"/>
    <w:rsid w:val="00712EA1"/>
    <w:rsid w:val="007130DA"/>
    <w:rsid w:val="007135B8"/>
    <w:rsid w:val="007135C4"/>
    <w:rsid w:val="0071398B"/>
    <w:rsid w:val="00713AB4"/>
    <w:rsid w:val="00713AC6"/>
    <w:rsid w:val="00713E35"/>
    <w:rsid w:val="00713E4C"/>
    <w:rsid w:val="00714372"/>
    <w:rsid w:val="00714532"/>
    <w:rsid w:val="00714876"/>
    <w:rsid w:val="00714DF5"/>
    <w:rsid w:val="00714EAB"/>
    <w:rsid w:val="0071540E"/>
    <w:rsid w:val="007154FC"/>
    <w:rsid w:val="00715639"/>
    <w:rsid w:val="0071564C"/>
    <w:rsid w:val="0071573F"/>
    <w:rsid w:val="00715750"/>
    <w:rsid w:val="00715A41"/>
    <w:rsid w:val="00715C56"/>
    <w:rsid w:val="00715FFC"/>
    <w:rsid w:val="0071608E"/>
    <w:rsid w:val="007163DF"/>
    <w:rsid w:val="0071641F"/>
    <w:rsid w:val="00716472"/>
    <w:rsid w:val="00716573"/>
    <w:rsid w:val="00716605"/>
    <w:rsid w:val="00716741"/>
    <w:rsid w:val="007169BC"/>
    <w:rsid w:val="00716A37"/>
    <w:rsid w:val="00716F13"/>
    <w:rsid w:val="00717391"/>
    <w:rsid w:val="00717478"/>
    <w:rsid w:val="00717674"/>
    <w:rsid w:val="0071774E"/>
    <w:rsid w:val="00717E3A"/>
    <w:rsid w:val="00717F77"/>
    <w:rsid w:val="007200F0"/>
    <w:rsid w:val="0072010A"/>
    <w:rsid w:val="00720257"/>
    <w:rsid w:val="00720674"/>
    <w:rsid w:val="00720717"/>
    <w:rsid w:val="007209A3"/>
    <w:rsid w:val="007212DA"/>
    <w:rsid w:val="007215AF"/>
    <w:rsid w:val="007215EB"/>
    <w:rsid w:val="007216BB"/>
    <w:rsid w:val="0072179F"/>
    <w:rsid w:val="00721959"/>
    <w:rsid w:val="00721B6A"/>
    <w:rsid w:val="00721CD2"/>
    <w:rsid w:val="00722069"/>
    <w:rsid w:val="00722328"/>
    <w:rsid w:val="00722643"/>
    <w:rsid w:val="00722AC7"/>
    <w:rsid w:val="00722B47"/>
    <w:rsid w:val="00722C9A"/>
    <w:rsid w:val="00723225"/>
    <w:rsid w:val="00723821"/>
    <w:rsid w:val="00723AF5"/>
    <w:rsid w:val="00723E4E"/>
    <w:rsid w:val="00723F77"/>
    <w:rsid w:val="00724070"/>
    <w:rsid w:val="007242B4"/>
    <w:rsid w:val="007243D4"/>
    <w:rsid w:val="007245FB"/>
    <w:rsid w:val="0072483E"/>
    <w:rsid w:val="00724A3A"/>
    <w:rsid w:val="00724CB2"/>
    <w:rsid w:val="00724CD7"/>
    <w:rsid w:val="00724D61"/>
    <w:rsid w:val="00724E16"/>
    <w:rsid w:val="00724E6E"/>
    <w:rsid w:val="00725309"/>
    <w:rsid w:val="007253F6"/>
    <w:rsid w:val="00725431"/>
    <w:rsid w:val="007255D9"/>
    <w:rsid w:val="0072579C"/>
    <w:rsid w:val="007257E3"/>
    <w:rsid w:val="00725833"/>
    <w:rsid w:val="00725CAE"/>
    <w:rsid w:val="00726003"/>
    <w:rsid w:val="0072610A"/>
    <w:rsid w:val="007264F9"/>
    <w:rsid w:val="00726E3E"/>
    <w:rsid w:val="007272EE"/>
    <w:rsid w:val="007272F6"/>
    <w:rsid w:val="0072740B"/>
    <w:rsid w:val="0072740E"/>
    <w:rsid w:val="0072753C"/>
    <w:rsid w:val="00727575"/>
    <w:rsid w:val="00727605"/>
    <w:rsid w:val="007279D9"/>
    <w:rsid w:val="00727A07"/>
    <w:rsid w:val="00727D64"/>
    <w:rsid w:val="00727E60"/>
    <w:rsid w:val="00727F09"/>
    <w:rsid w:val="0073034D"/>
    <w:rsid w:val="007304DC"/>
    <w:rsid w:val="0073061B"/>
    <w:rsid w:val="00730734"/>
    <w:rsid w:val="007307DB"/>
    <w:rsid w:val="00730C9F"/>
    <w:rsid w:val="00730E62"/>
    <w:rsid w:val="00730EDF"/>
    <w:rsid w:val="0073108A"/>
    <w:rsid w:val="0073125F"/>
    <w:rsid w:val="0073129F"/>
    <w:rsid w:val="0073141A"/>
    <w:rsid w:val="007315CF"/>
    <w:rsid w:val="007316F7"/>
    <w:rsid w:val="007317FF"/>
    <w:rsid w:val="007318B4"/>
    <w:rsid w:val="00731937"/>
    <w:rsid w:val="00731A22"/>
    <w:rsid w:val="00731C44"/>
    <w:rsid w:val="00731C9D"/>
    <w:rsid w:val="00731EB3"/>
    <w:rsid w:val="00732030"/>
    <w:rsid w:val="0073214C"/>
    <w:rsid w:val="00732288"/>
    <w:rsid w:val="00732488"/>
    <w:rsid w:val="007324C2"/>
    <w:rsid w:val="007325D6"/>
    <w:rsid w:val="00732A25"/>
    <w:rsid w:val="00732A44"/>
    <w:rsid w:val="00732A92"/>
    <w:rsid w:val="00732A96"/>
    <w:rsid w:val="00732AD8"/>
    <w:rsid w:val="00732D07"/>
    <w:rsid w:val="00732E9F"/>
    <w:rsid w:val="007331E7"/>
    <w:rsid w:val="00733557"/>
    <w:rsid w:val="007339B6"/>
    <w:rsid w:val="007340B9"/>
    <w:rsid w:val="00734B2B"/>
    <w:rsid w:val="00734C3D"/>
    <w:rsid w:val="00734DBC"/>
    <w:rsid w:val="00734E3B"/>
    <w:rsid w:val="00735243"/>
    <w:rsid w:val="0073528B"/>
    <w:rsid w:val="007358B0"/>
    <w:rsid w:val="00735D04"/>
    <w:rsid w:val="00735EAB"/>
    <w:rsid w:val="00736039"/>
    <w:rsid w:val="00736262"/>
    <w:rsid w:val="0073663C"/>
    <w:rsid w:val="00736678"/>
    <w:rsid w:val="0073689E"/>
    <w:rsid w:val="0073695F"/>
    <w:rsid w:val="00736B93"/>
    <w:rsid w:val="00736C43"/>
    <w:rsid w:val="00736CE8"/>
    <w:rsid w:val="00736D70"/>
    <w:rsid w:val="00736FDC"/>
    <w:rsid w:val="0073706E"/>
    <w:rsid w:val="0073747C"/>
    <w:rsid w:val="00737867"/>
    <w:rsid w:val="00737AFF"/>
    <w:rsid w:val="00737F14"/>
    <w:rsid w:val="00740020"/>
    <w:rsid w:val="00740175"/>
    <w:rsid w:val="007404E7"/>
    <w:rsid w:val="007407DD"/>
    <w:rsid w:val="007409B3"/>
    <w:rsid w:val="00740A8B"/>
    <w:rsid w:val="00740EBE"/>
    <w:rsid w:val="00740ECE"/>
    <w:rsid w:val="0074107F"/>
    <w:rsid w:val="007410B5"/>
    <w:rsid w:val="0074121F"/>
    <w:rsid w:val="0074158C"/>
    <w:rsid w:val="0074161A"/>
    <w:rsid w:val="007416B8"/>
    <w:rsid w:val="007417C8"/>
    <w:rsid w:val="00741B1C"/>
    <w:rsid w:val="00742267"/>
    <w:rsid w:val="007422FB"/>
    <w:rsid w:val="0074248C"/>
    <w:rsid w:val="007427B0"/>
    <w:rsid w:val="00742EC9"/>
    <w:rsid w:val="00742FB8"/>
    <w:rsid w:val="0074303A"/>
    <w:rsid w:val="00743250"/>
    <w:rsid w:val="00743542"/>
    <w:rsid w:val="0074357A"/>
    <w:rsid w:val="007435CB"/>
    <w:rsid w:val="0074385C"/>
    <w:rsid w:val="00743DEC"/>
    <w:rsid w:val="00744138"/>
    <w:rsid w:val="0074435F"/>
    <w:rsid w:val="00744478"/>
    <w:rsid w:val="00744814"/>
    <w:rsid w:val="00744AB9"/>
    <w:rsid w:val="00744F8D"/>
    <w:rsid w:val="00744FAE"/>
    <w:rsid w:val="00745335"/>
    <w:rsid w:val="0074543E"/>
    <w:rsid w:val="00745468"/>
    <w:rsid w:val="0074555C"/>
    <w:rsid w:val="00745894"/>
    <w:rsid w:val="00745979"/>
    <w:rsid w:val="00745AE8"/>
    <w:rsid w:val="00745B3B"/>
    <w:rsid w:val="00745F5E"/>
    <w:rsid w:val="00746129"/>
    <w:rsid w:val="007461A5"/>
    <w:rsid w:val="007461EA"/>
    <w:rsid w:val="007464CA"/>
    <w:rsid w:val="007466A6"/>
    <w:rsid w:val="007469FB"/>
    <w:rsid w:val="007470B1"/>
    <w:rsid w:val="007470B2"/>
    <w:rsid w:val="00747480"/>
    <w:rsid w:val="007474CC"/>
    <w:rsid w:val="007475B7"/>
    <w:rsid w:val="00747643"/>
    <w:rsid w:val="0074769B"/>
    <w:rsid w:val="00747769"/>
    <w:rsid w:val="0074779E"/>
    <w:rsid w:val="007477CD"/>
    <w:rsid w:val="00747A21"/>
    <w:rsid w:val="00747D94"/>
    <w:rsid w:val="00747F7D"/>
    <w:rsid w:val="007503C3"/>
    <w:rsid w:val="00750474"/>
    <w:rsid w:val="00750782"/>
    <w:rsid w:val="00750ABC"/>
    <w:rsid w:val="00750C1C"/>
    <w:rsid w:val="00750C9E"/>
    <w:rsid w:val="00750DCA"/>
    <w:rsid w:val="0075101B"/>
    <w:rsid w:val="00751028"/>
    <w:rsid w:val="007510C3"/>
    <w:rsid w:val="007510EB"/>
    <w:rsid w:val="007511DC"/>
    <w:rsid w:val="00751412"/>
    <w:rsid w:val="0075157E"/>
    <w:rsid w:val="00751689"/>
    <w:rsid w:val="00751956"/>
    <w:rsid w:val="007519A9"/>
    <w:rsid w:val="00751BAA"/>
    <w:rsid w:val="0075215C"/>
    <w:rsid w:val="007522D2"/>
    <w:rsid w:val="00752360"/>
    <w:rsid w:val="007524FF"/>
    <w:rsid w:val="007527C2"/>
    <w:rsid w:val="00752A6B"/>
    <w:rsid w:val="00752A80"/>
    <w:rsid w:val="00752B72"/>
    <w:rsid w:val="0075326F"/>
    <w:rsid w:val="0075327D"/>
    <w:rsid w:val="0075376D"/>
    <w:rsid w:val="00753981"/>
    <w:rsid w:val="00753CBF"/>
    <w:rsid w:val="00753E3C"/>
    <w:rsid w:val="00753E89"/>
    <w:rsid w:val="0075400A"/>
    <w:rsid w:val="0075435D"/>
    <w:rsid w:val="007547D9"/>
    <w:rsid w:val="007548ED"/>
    <w:rsid w:val="00754973"/>
    <w:rsid w:val="00754B05"/>
    <w:rsid w:val="007550EC"/>
    <w:rsid w:val="0075542E"/>
    <w:rsid w:val="00755762"/>
    <w:rsid w:val="007557BC"/>
    <w:rsid w:val="007558FB"/>
    <w:rsid w:val="00755AE5"/>
    <w:rsid w:val="00755CA8"/>
    <w:rsid w:val="00755E6A"/>
    <w:rsid w:val="00755EF6"/>
    <w:rsid w:val="00755FFF"/>
    <w:rsid w:val="0075602B"/>
    <w:rsid w:val="00756084"/>
    <w:rsid w:val="00756302"/>
    <w:rsid w:val="0075643C"/>
    <w:rsid w:val="0075649A"/>
    <w:rsid w:val="007565FE"/>
    <w:rsid w:val="00756864"/>
    <w:rsid w:val="00756DBF"/>
    <w:rsid w:val="00756E3D"/>
    <w:rsid w:val="00756F61"/>
    <w:rsid w:val="00756FF9"/>
    <w:rsid w:val="007570AD"/>
    <w:rsid w:val="00757490"/>
    <w:rsid w:val="00757586"/>
    <w:rsid w:val="007577B1"/>
    <w:rsid w:val="00757D39"/>
    <w:rsid w:val="00757DEB"/>
    <w:rsid w:val="00757EEB"/>
    <w:rsid w:val="00760AA5"/>
    <w:rsid w:val="00760C03"/>
    <w:rsid w:val="00760D0A"/>
    <w:rsid w:val="00760D39"/>
    <w:rsid w:val="00760DB2"/>
    <w:rsid w:val="0076106D"/>
    <w:rsid w:val="0076147E"/>
    <w:rsid w:val="0076157C"/>
    <w:rsid w:val="00761723"/>
    <w:rsid w:val="00761D77"/>
    <w:rsid w:val="00761F4F"/>
    <w:rsid w:val="00762184"/>
    <w:rsid w:val="00762477"/>
    <w:rsid w:val="00762504"/>
    <w:rsid w:val="0076251F"/>
    <w:rsid w:val="00762550"/>
    <w:rsid w:val="00762758"/>
    <w:rsid w:val="00762915"/>
    <w:rsid w:val="00762EB2"/>
    <w:rsid w:val="00762ECB"/>
    <w:rsid w:val="007632F6"/>
    <w:rsid w:val="0076340E"/>
    <w:rsid w:val="007635D1"/>
    <w:rsid w:val="007639C1"/>
    <w:rsid w:val="00763C20"/>
    <w:rsid w:val="00763CDF"/>
    <w:rsid w:val="00763D96"/>
    <w:rsid w:val="00763F42"/>
    <w:rsid w:val="007640BA"/>
    <w:rsid w:val="00764131"/>
    <w:rsid w:val="007641E8"/>
    <w:rsid w:val="00764465"/>
    <w:rsid w:val="0076473E"/>
    <w:rsid w:val="00764958"/>
    <w:rsid w:val="00764D97"/>
    <w:rsid w:val="00765219"/>
    <w:rsid w:val="0076534E"/>
    <w:rsid w:val="0076543B"/>
    <w:rsid w:val="00765BED"/>
    <w:rsid w:val="007661B9"/>
    <w:rsid w:val="0076633D"/>
    <w:rsid w:val="0076633F"/>
    <w:rsid w:val="007663EC"/>
    <w:rsid w:val="007668C4"/>
    <w:rsid w:val="00766B7A"/>
    <w:rsid w:val="00766D74"/>
    <w:rsid w:val="00766F69"/>
    <w:rsid w:val="00766F86"/>
    <w:rsid w:val="00766FBE"/>
    <w:rsid w:val="0076726C"/>
    <w:rsid w:val="0076733F"/>
    <w:rsid w:val="00767396"/>
    <w:rsid w:val="007678B0"/>
    <w:rsid w:val="00767C22"/>
    <w:rsid w:val="00767D96"/>
    <w:rsid w:val="00767DB1"/>
    <w:rsid w:val="00767FE8"/>
    <w:rsid w:val="00770007"/>
    <w:rsid w:val="00770258"/>
    <w:rsid w:val="007706BC"/>
    <w:rsid w:val="00770C3D"/>
    <w:rsid w:val="00770C42"/>
    <w:rsid w:val="00770D3F"/>
    <w:rsid w:val="0077107F"/>
    <w:rsid w:val="0077112F"/>
    <w:rsid w:val="007712F0"/>
    <w:rsid w:val="0077131B"/>
    <w:rsid w:val="0077185C"/>
    <w:rsid w:val="00771CEE"/>
    <w:rsid w:val="00771DBC"/>
    <w:rsid w:val="00772334"/>
    <w:rsid w:val="00772436"/>
    <w:rsid w:val="0077275D"/>
    <w:rsid w:val="00772831"/>
    <w:rsid w:val="0077291E"/>
    <w:rsid w:val="007729F1"/>
    <w:rsid w:val="00772C72"/>
    <w:rsid w:val="00772DF7"/>
    <w:rsid w:val="00772F18"/>
    <w:rsid w:val="00773338"/>
    <w:rsid w:val="007733A1"/>
    <w:rsid w:val="007734E1"/>
    <w:rsid w:val="00773724"/>
    <w:rsid w:val="007737AF"/>
    <w:rsid w:val="007737C1"/>
    <w:rsid w:val="007737CA"/>
    <w:rsid w:val="00773938"/>
    <w:rsid w:val="00773B55"/>
    <w:rsid w:val="00773C92"/>
    <w:rsid w:val="00773D36"/>
    <w:rsid w:val="007743AB"/>
    <w:rsid w:val="007745A7"/>
    <w:rsid w:val="0077482E"/>
    <w:rsid w:val="00774A49"/>
    <w:rsid w:val="00774D80"/>
    <w:rsid w:val="00774F50"/>
    <w:rsid w:val="00775307"/>
    <w:rsid w:val="007753A9"/>
    <w:rsid w:val="007753E6"/>
    <w:rsid w:val="007755B9"/>
    <w:rsid w:val="0077565B"/>
    <w:rsid w:val="00775867"/>
    <w:rsid w:val="00775B73"/>
    <w:rsid w:val="00775C47"/>
    <w:rsid w:val="00775C54"/>
    <w:rsid w:val="00775E65"/>
    <w:rsid w:val="00775F65"/>
    <w:rsid w:val="0077612A"/>
    <w:rsid w:val="00776142"/>
    <w:rsid w:val="007768EA"/>
    <w:rsid w:val="007769FE"/>
    <w:rsid w:val="00776A3E"/>
    <w:rsid w:val="00777355"/>
    <w:rsid w:val="0077769F"/>
    <w:rsid w:val="0077778C"/>
    <w:rsid w:val="00777A57"/>
    <w:rsid w:val="00777AA9"/>
    <w:rsid w:val="00777DD0"/>
    <w:rsid w:val="00777E1D"/>
    <w:rsid w:val="007801AB"/>
    <w:rsid w:val="007803D7"/>
    <w:rsid w:val="007805E9"/>
    <w:rsid w:val="00780687"/>
    <w:rsid w:val="00780882"/>
    <w:rsid w:val="007808E0"/>
    <w:rsid w:val="00780C34"/>
    <w:rsid w:val="00780CEC"/>
    <w:rsid w:val="00780D29"/>
    <w:rsid w:val="00780E83"/>
    <w:rsid w:val="0078127E"/>
    <w:rsid w:val="0078141E"/>
    <w:rsid w:val="00781783"/>
    <w:rsid w:val="0078181E"/>
    <w:rsid w:val="0078194F"/>
    <w:rsid w:val="00781974"/>
    <w:rsid w:val="00781B63"/>
    <w:rsid w:val="00781CEA"/>
    <w:rsid w:val="00781DB4"/>
    <w:rsid w:val="00781E74"/>
    <w:rsid w:val="00781FB1"/>
    <w:rsid w:val="00781FB4"/>
    <w:rsid w:val="00782349"/>
    <w:rsid w:val="00782534"/>
    <w:rsid w:val="0078255C"/>
    <w:rsid w:val="0078260C"/>
    <w:rsid w:val="00782A2E"/>
    <w:rsid w:val="00782E31"/>
    <w:rsid w:val="00782E57"/>
    <w:rsid w:val="00783134"/>
    <w:rsid w:val="007837DE"/>
    <w:rsid w:val="007837E1"/>
    <w:rsid w:val="00783981"/>
    <w:rsid w:val="00783A93"/>
    <w:rsid w:val="00783D00"/>
    <w:rsid w:val="00783F72"/>
    <w:rsid w:val="00783FF2"/>
    <w:rsid w:val="00784423"/>
    <w:rsid w:val="00784C03"/>
    <w:rsid w:val="00784C66"/>
    <w:rsid w:val="00784EC7"/>
    <w:rsid w:val="00784F15"/>
    <w:rsid w:val="00785194"/>
    <w:rsid w:val="00785350"/>
    <w:rsid w:val="007854A6"/>
    <w:rsid w:val="007854B7"/>
    <w:rsid w:val="0078554D"/>
    <w:rsid w:val="0078561B"/>
    <w:rsid w:val="00785FB1"/>
    <w:rsid w:val="00786377"/>
    <w:rsid w:val="007864C2"/>
    <w:rsid w:val="00786715"/>
    <w:rsid w:val="00786A3A"/>
    <w:rsid w:val="00786BA9"/>
    <w:rsid w:val="00786C8A"/>
    <w:rsid w:val="00786CB0"/>
    <w:rsid w:val="007870E1"/>
    <w:rsid w:val="007870E2"/>
    <w:rsid w:val="0078728C"/>
    <w:rsid w:val="00787561"/>
    <w:rsid w:val="007875E6"/>
    <w:rsid w:val="00787B65"/>
    <w:rsid w:val="00787BEB"/>
    <w:rsid w:val="00787D27"/>
    <w:rsid w:val="00790081"/>
    <w:rsid w:val="00790262"/>
    <w:rsid w:val="007902E3"/>
    <w:rsid w:val="007905DB"/>
    <w:rsid w:val="00790927"/>
    <w:rsid w:val="007909A5"/>
    <w:rsid w:val="00790AC4"/>
    <w:rsid w:val="00791833"/>
    <w:rsid w:val="0079189E"/>
    <w:rsid w:val="00791E38"/>
    <w:rsid w:val="00791ECA"/>
    <w:rsid w:val="0079208F"/>
    <w:rsid w:val="0079288C"/>
    <w:rsid w:val="007928DD"/>
    <w:rsid w:val="00792B2A"/>
    <w:rsid w:val="00792D28"/>
    <w:rsid w:val="00792D31"/>
    <w:rsid w:val="00792E4D"/>
    <w:rsid w:val="0079315F"/>
    <w:rsid w:val="00793391"/>
    <w:rsid w:val="007934ED"/>
    <w:rsid w:val="007936EC"/>
    <w:rsid w:val="00793B1B"/>
    <w:rsid w:val="00793BBB"/>
    <w:rsid w:val="00793C26"/>
    <w:rsid w:val="00793E26"/>
    <w:rsid w:val="00793E68"/>
    <w:rsid w:val="00794118"/>
    <w:rsid w:val="007944A4"/>
    <w:rsid w:val="007946ED"/>
    <w:rsid w:val="00794773"/>
    <w:rsid w:val="0079482A"/>
    <w:rsid w:val="00794A01"/>
    <w:rsid w:val="00794A1C"/>
    <w:rsid w:val="00794D2A"/>
    <w:rsid w:val="00794E09"/>
    <w:rsid w:val="007950C9"/>
    <w:rsid w:val="007950E0"/>
    <w:rsid w:val="007951BD"/>
    <w:rsid w:val="007953C7"/>
    <w:rsid w:val="007954EE"/>
    <w:rsid w:val="00795D01"/>
    <w:rsid w:val="00795D99"/>
    <w:rsid w:val="00795DB4"/>
    <w:rsid w:val="00795F64"/>
    <w:rsid w:val="0079673D"/>
    <w:rsid w:val="007967C5"/>
    <w:rsid w:val="007968CB"/>
    <w:rsid w:val="00797573"/>
    <w:rsid w:val="00797622"/>
    <w:rsid w:val="007976F5"/>
    <w:rsid w:val="00797953"/>
    <w:rsid w:val="007979DC"/>
    <w:rsid w:val="00797CC4"/>
    <w:rsid w:val="00797CDB"/>
    <w:rsid w:val="007A02B9"/>
    <w:rsid w:val="007A0468"/>
    <w:rsid w:val="007A05DA"/>
    <w:rsid w:val="007A095F"/>
    <w:rsid w:val="007A0C31"/>
    <w:rsid w:val="007A1372"/>
    <w:rsid w:val="007A1C6A"/>
    <w:rsid w:val="007A1D20"/>
    <w:rsid w:val="007A1D7F"/>
    <w:rsid w:val="007A2122"/>
    <w:rsid w:val="007A2523"/>
    <w:rsid w:val="007A28B1"/>
    <w:rsid w:val="007A2922"/>
    <w:rsid w:val="007A2B7C"/>
    <w:rsid w:val="007A2C03"/>
    <w:rsid w:val="007A2DBA"/>
    <w:rsid w:val="007A2DEF"/>
    <w:rsid w:val="007A2E5D"/>
    <w:rsid w:val="007A2EE9"/>
    <w:rsid w:val="007A30EA"/>
    <w:rsid w:val="007A320E"/>
    <w:rsid w:val="007A3AC5"/>
    <w:rsid w:val="007A3CB8"/>
    <w:rsid w:val="007A3ED8"/>
    <w:rsid w:val="007A3F67"/>
    <w:rsid w:val="007A412C"/>
    <w:rsid w:val="007A42F5"/>
    <w:rsid w:val="007A450F"/>
    <w:rsid w:val="007A4811"/>
    <w:rsid w:val="007A4828"/>
    <w:rsid w:val="007A4AA2"/>
    <w:rsid w:val="007A4D15"/>
    <w:rsid w:val="007A4E29"/>
    <w:rsid w:val="007A4FF7"/>
    <w:rsid w:val="007A501E"/>
    <w:rsid w:val="007A52D3"/>
    <w:rsid w:val="007A5309"/>
    <w:rsid w:val="007A5338"/>
    <w:rsid w:val="007A535F"/>
    <w:rsid w:val="007A559C"/>
    <w:rsid w:val="007A55C4"/>
    <w:rsid w:val="007A56AC"/>
    <w:rsid w:val="007A57E0"/>
    <w:rsid w:val="007A586B"/>
    <w:rsid w:val="007A5D47"/>
    <w:rsid w:val="007A5E09"/>
    <w:rsid w:val="007A6091"/>
    <w:rsid w:val="007A6396"/>
    <w:rsid w:val="007A6501"/>
    <w:rsid w:val="007A6570"/>
    <w:rsid w:val="007A6622"/>
    <w:rsid w:val="007A6721"/>
    <w:rsid w:val="007A69E1"/>
    <w:rsid w:val="007A69E2"/>
    <w:rsid w:val="007A6A23"/>
    <w:rsid w:val="007A6AAB"/>
    <w:rsid w:val="007A6C8D"/>
    <w:rsid w:val="007A6EE1"/>
    <w:rsid w:val="007A6F5D"/>
    <w:rsid w:val="007A72E9"/>
    <w:rsid w:val="007A74BE"/>
    <w:rsid w:val="007A76EA"/>
    <w:rsid w:val="007A77DD"/>
    <w:rsid w:val="007B02BB"/>
    <w:rsid w:val="007B02E3"/>
    <w:rsid w:val="007B048B"/>
    <w:rsid w:val="007B068B"/>
    <w:rsid w:val="007B07F1"/>
    <w:rsid w:val="007B0AAB"/>
    <w:rsid w:val="007B1032"/>
    <w:rsid w:val="007B1258"/>
    <w:rsid w:val="007B1858"/>
    <w:rsid w:val="007B1957"/>
    <w:rsid w:val="007B19C5"/>
    <w:rsid w:val="007B1C9D"/>
    <w:rsid w:val="007B2048"/>
    <w:rsid w:val="007B21B3"/>
    <w:rsid w:val="007B2408"/>
    <w:rsid w:val="007B2549"/>
    <w:rsid w:val="007B296D"/>
    <w:rsid w:val="007B2BCF"/>
    <w:rsid w:val="007B2CB8"/>
    <w:rsid w:val="007B2D30"/>
    <w:rsid w:val="007B2FCC"/>
    <w:rsid w:val="007B3600"/>
    <w:rsid w:val="007B3629"/>
    <w:rsid w:val="007B37B9"/>
    <w:rsid w:val="007B37D2"/>
    <w:rsid w:val="007B3CEB"/>
    <w:rsid w:val="007B3DAC"/>
    <w:rsid w:val="007B41BE"/>
    <w:rsid w:val="007B4328"/>
    <w:rsid w:val="007B47D3"/>
    <w:rsid w:val="007B4BAB"/>
    <w:rsid w:val="007B4C50"/>
    <w:rsid w:val="007B510C"/>
    <w:rsid w:val="007B548F"/>
    <w:rsid w:val="007B5697"/>
    <w:rsid w:val="007B57F8"/>
    <w:rsid w:val="007B596E"/>
    <w:rsid w:val="007B599B"/>
    <w:rsid w:val="007B599E"/>
    <w:rsid w:val="007B5C97"/>
    <w:rsid w:val="007B5D38"/>
    <w:rsid w:val="007B6659"/>
    <w:rsid w:val="007B665A"/>
    <w:rsid w:val="007B6936"/>
    <w:rsid w:val="007B6990"/>
    <w:rsid w:val="007B69F0"/>
    <w:rsid w:val="007B6BB3"/>
    <w:rsid w:val="007B6C03"/>
    <w:rsid w:val="007B6DB0"/>
    <w:rsid w:val="007B6E5F"/>
    <w:rsid w:val="007B71B3"/>
    <w:rsid w:val="007B724E"/>
    <w:rsid w:val="007B727E"/>
    <w:rsid w:val="007B736E"/>
    <w:rsid w:val="007B73A1"/>
    <w:rsid w:val="007B748A"/>
    <w:rsid w:val="007B7A82"/>
    <w:rsid w:val="007B7D3C"/>
    <w:rsid w:val="007B7DE3"/>
    <w:rsid w:val="007B7F0A"/>
    <w:rsid w:val="007C02A2"/>
    <w:rsid w:val="007C1560"/>
    <w:rsid w:val="007C1915"/>
    <w:rsid w:val="007C1A0C"/>
    <w:rsid w:val="007C1ACD"/>
    <w:rsid w:val="007C1EDA"/>
    <w:rsid w:val="007C1F65"/>
    <w:rsid w:val="007C208D"/>
    <w:rsid w:val="007C22E7"/>
    <w:rsid w:val="007C270C"/>
    <w:rsid w:val="007C27C0"/>
    <w:rsid w:val="007C2D37"/>
    <w:rsid w:val="007C3198"/>
    <w:rsid w:val="007C323C"/>
    <w:rsid w:val="007C3399"/>
    <w:rsid w:val="007C33D7"/>
    <w:rsid w:val="007C37FE"/>
    <w:rsid w:val="007C3866"/>
    <w:rsid w:val="007C398D"/>
    <w:rsid w:val="007C3B70"/>
    <w:rsid w:val="007C3C92"/>
    <w:rsid w:val="007C3ED4"/>
    <w:rsid w:val="007C4112"/>
    <w:rsid w:val="007C42C1"/>
    <w:rsid w:val="007C49B1"/>
    <w:rsid w:val="007C4AA0"/>
    <w:rsid w:val="007C4DBF"/>
    <w:rsid w:val="007C4FC2"/>
    <w:rsid w:val="007C5053"/>
    <w:rsid w:val="007C5311"/>
    <w:rsid w:val="007C5593"/>
    <w:rsid w:val="007C5751"/>
    <w:rsid w:val="007C57F1"/>
    <w:rsid w:val="007C5A14"/>
    <w:rsid w:val="007C5FED"/>
    <w:rsid w:val="007C6083"/>
    <w:rsid w:val="007C6758"/>
    <w:rsid w:val="007C67AC"/>
    <w:rsid w:val="007C6D10"/>
    <w:rsid w:val="007C71CA"/>
    <w:rsid w:val="007C72FB"/>
    <w:rsid w:val="007C74C4"/>
    <w:rsid w:val="007C7602"/>
    <w:rsid w:val="007C7D6F"/>
    <w:rsid w:val="007D051A"/>
    <w:rsid w:val="007D05CC"/>
    <w:rsid w:val="007D06FA"/>
    <w:rsid w:val="007D0D64"/>
    <w:rsid w:val="007D0DEF"/>
    <w:rsid w:val="007D0F36"/>
    <w:rsid w:val="007D1044"/>
    <w:rsid w:val="007D109C"/>
    <w:rsid w:val="007D1177"/>
    <w:rsid w:val="007D1588"/>
    <w:rsid w:val="007D195B"/>
    <w:rsid w:val="007D1BA4"/>
    <w:rsid w:val="007D20E0"/>
    <w:rsid w:val="007D21AE"/>
    <w:rsid w:val="007D236E"/>
    <w:rsid w:val="007D2524"/>
    <w:rsid w:val="007D2793"/>
    <w:rsid w:val="007D295C"/>
    <w:rsid w:val="007D2A83"/>
    <w:rsid w:val="007D2ACF"/>
    <w:rsid w:val="007D2C18"/>
    <w:rsid w:val="007D329A"/>
    <w:rsid w:val="007D3482"/>
    <w:rsid w:val="007D34FE"/>
    <w:rsid w:val="007D378B"/>
    <w:rsid w:val="007D3BBD"/>
    <w:rsid w:val="007D3DE8"/>
    <w:rsid w:val="007D3E13"/>
    <w:rsid w:val="007D3FBE"/>
    <w:rsid w:val="007D409E"/>
    <w:rsid w:val="007D4214"/>
    <w:rsid w:val="007D4617"/>
    <w:rsid w:val="007D4891"/>
    <w:rsid w:val="007D48A5"/>
    <w:rsid w:val="007D4B01"/>
    <w:rsid w:val="007D4BE2"/>
    <w:rsid w:val="007D506E"/>
    <w:rsid w:val="007D521E"/>
    <w:rsid w:val="007D54F7"/>
    <w:rsid w:val="007D5657"/>
    <w:rsid w:val="007D56F1"/>
    <w:rsid w:val="007D57D9"/>
    <w:rsid w:val="007D5911"/>
    <w:rsid w:val="007D5954"/>
    <w:rsid w:val="007D59C0"/>
    <w:rsid w:val="007D59C9"/>
    <w:rsid w:val="007D59F2"/>
    <w:rsid w:val="007D5CB4"/>
    <w:rsid w:val="007D67E4"/>
    <w:rsid w:val="007D68FC"/>
    <w:rsid w:val="007D6B36"/>
    <w:rsid w:val="007D6B92"/>
    <w:rsid w:val="007D6DCE"/>
    <w:rsid w:val="007D6FE3"/>
    <w:rsid w:val="007D7060"/>
    <w:rsid w:val="007D71AE"/>
    <w:rsid w:val="007D72FE"/>
    <w:rsid w:val="007D745F"/>
    <w:rsid w:val="007D75B4"/>
    <w:rsid w:val="007D7605"/>
    <w:rsid w:val="007D79CD"/>
    <w:rsid w:val="007D7AC3"/>
    <w:rsid w:val="007D7BA9"/>
    <w:rsid w:val="007D7BDB"/>
    <w:rsid w:val="007D7CA0"/>
    <w:rsid w:val="007D7CCA"/>
    <w:rsid w:val="007D7F5B"/>
    <w:rsid w:val="007D7F98"/>
    <w:rsid w:val="007E00C9"/>
    <w:rsid w:val="007E0152"/>
    <w:rsid w:val="007E0456"/>
    <w:rsid w:val="007E051F"/>
    <w:rsid w:val="007E06EA"/>
    <w:rsid w:val="007E078D"/>
    <w:rsid w:val="007E07DB"/>
    <w:rsid w:val="007E092F"/>
    <w:rsid w:val="007E0AED"/>
    <w:rsid w:val="007E0CF1"/>
    <w:rsid w:val="007E0F73"/>
    <w:rsid w:val="007E1194"/>
    <w:rsid w:val="007E136D"/>
    <w:rsid w:val="007E14C4"/>
    <w:rsid w:val="007E15BC"/>
    <w:rsid w:val="007E16E5"/>
    <w:rsid w:val="007E19A6"/>
    <w:rsid w:val="007E19C0"/>
    <w:rsid w:val="007E19CD"/>
    <w:rsid w:val="007E19E9"/>
    <w:rsid w:val="007E1C5A"/>
    <w:rsid w:val="007E1E10"/>
    <w:rsid w:val="007E208A"/>
    <w:rsid w:val="007E2174"/>
    <w:rsid w:val="007E2664"/>
    <w:rsid w:val="007E276B"/>
    <w:rsid w:val="007E2946"/>
    <w:rsid w:val="007E2A8B"/>
    <w:rsid w:val="007E2AD0"/>
    <w:rsid w:val="007E2B5C"/>
    <w:rsid w:val="007E30CE"/>
    <w:rsid w:val="007E320F"/>
    <w:rsid w:val="007E33AE"/>
    <w:rsid w:val="007E375A"/>
    <w:rsid w:val="007E3900"/>
    <w:rsid w:val="007E3D4B"/>
    <w:rsid w:val="007E3F57"/>
    <w:rsid w:val="007E40EE"/>
    <w:rsid w:val="007E4257"/>
    <w:rsid w:val="007E4271"/>
    <w:rsid w:val="007E4530"/>
    <w:rsid w:val="007E469D"/>
    <w:rsid w:val="007E47CD"/>
    <w:rsid w:val="007E4AF8"/>
    <w:rsid w:val="007E4FA1"/>
    <w:rsid w:val="007E4FF3"/>
    <w:rsid w:val="007E5126"/>
    <w:rsid w:val="007E5339"/>
    <w:rsid w:val="007E5872"/>
    <w:rsid w:val="007E5889"/>
    <w:rsid w:val="007E58A3"/>
    <w:rsid w:val="007E594C"/>
    <w:rsid w:val="007E5B4E"/>
    <w:rsid w:val="007E5BDA"/>
    <w:rsid w:val="007E5CCA"/>
    <w:rsid w:val="007E6763"/>
    <w:rsid w:val="007E68F0"/>
    <w:rsid w:val="007E694C"/>
    <w:rsid w:val="007E6AE1"/>
    <w:rsid w:val="007E6C2C"/>
    <w:rsid w:val="007E6E89"/>
    <w:rsid w:val="007E6FFC"/>
    <w:rsid w:val="007E7071"/>
    <w:rsid w:val="007E709F"/>
    <w:rsid w:val="007E7171"/>
    <w:rsid w:val="007E73AC"/>
    <w:rsid w:val="007E73D6"/>
    <w:rsid w:val="007E7504"/>
    <w:rsid w:val="007E7655"/>
    <w:rsid w:val="007E77B6"/>
    <w:rsid w:val="007E7886"/>
    <w:rsid w:val="007F0244"/>
    <w:rsid w:val="007F0420"/>
    <w:rsid w:val="007F0D3C"/>
    <w:rsid w:val="007F0E4C"/>
    <w:rsid w:val="007F12FF"/>
    <w:rsid w:val="007F1347"/>
    <w:rsid w:val="007F139F"/>
    <w:rsid w:val="007F1436"/>
    <w:rsid w:val="007F1526"/>
    <w:rsid w:val="007F17D1"/>
    <w:rsid w:val="007F1A74"/>
    <w:rsid w:val="007F1A8B"/>
    <w:rsid w:val="007F1FA0"/>
    <w:rsid w:val="007F215D"/>
    <w:rsid w:val="007F2502"/>
    <w:rsid w:val="007F283A"/>
    <w:rsid w:val="007F29B1"/>
    <w:rsid w:val="007F2A15"/>
    <w:rsid w:val="007F2A9E"/>
    <w:rsid w:val="007F2AD9"/>
    <w:rsid w:val="007F2B21"/>
    <w:rsid w:val="007F2E3A"/>
    <w:rsid w:val="007F30AC"/>
    <w:rsid w:val="007F30CD"/>
    <w:rsid w:val="007F30EA"/>
    <w:rsid w:val="007F3184"/>
    <w:rsid w:val="007F3358"/>
    <w:rsid w:val="007F360E"/>
    <w:rsid w:val="007F38B7"/>
    <w:rsid w:val="007F3990"/>
    <w:rsid w:val="007F3BE7"/>
    <w:rsid w:val="007F3E94"/>
    <w:rsid w:val="007F3FAF"/>
    <w:rsid w:val="007F3FEF"/>
    <w:rsid w:val="007F4196"/>
    <w:rsid w:val="007F441F"/>
    <w:rsid w:val="007F4548"/>
    <w:rsid w:val="007F4666"/>
    <w:rsid w:val="007F4768"/>
    <w:rsid w:val="007F4844"/>
    <w:rsid w:val="007F4C8C"/>
    <w:rsid w:val="007F4D2A"/>
    <w:rsid w:val="007F4EA6"/>
    <w:rsid w:val="007F51C1"/>
    <w:rsid w:val="007F59A4"/>
    <w:rsid w:val="007F62CF"/>
    <w:rsid w:val="007F640B"/>
    <w:rsid w:val="007F685A"/>
    <w:rsid w:val="007F6916"/>
    <w:rsid w:val="007F6922"/>
    <w:rsid w:val="007F6C91"/>
    <w:rsid w:val="007F6E06"/>
    <w:rsid w:val="007F6F29"/>
    <w:rsid w:val="007F71AA"/>
    <w:rsid w:val="007F7410"/>
    <w:rsid w:val="007F750A"/>
    <w:rsid w:val="007F7562"/>
    <w:rsid w:val="007F758D"/>
    <w:rsid w:val="007F7ACC"/>
    <w:rsid w:val="007F7BE1"/>
    <w:rsid w:val="007F7D2D"/>
    <w:rsid w:val="007F7E42"/>
    <w:rsid w:val="007F7FE7"/>
    <w:rsid w:val="007F7FEC"/>
    <w:rsid w:val="00800062"/>
    <w:rsid w:val="008000D6"/>
    <w:rsid w:val="0080016F"/>
    <w:rsid w:val="00800469"/>
    <w:rsid w:val="00800E64"/>
    <w:rsid w:val="00801064"/>
    <w:rsid w:val="0080106C"/>
    <w:rsid w:val="008013EC"/>
    <w:rsid w:val="0080147E"/>
    <w:rsid w:val="00801740"/>
    <w:rsid w:val="00801964"/>
    <w:rsid w:val="00801AD3"/>
    <w:rsid w:val="00801DBE"/>
    <w:rsid w:val="00802031"/>
    <w:rsid w:val="00802278"/>
    <w:rsid w:val="00802301"/>
    <w:rsid w:val="00802320"/>
    <w:rsid w:val="008023D3"/>
    <w:rsid w:val="0080258E"/>
    <w:rsid w:val="00802788"/>
    <w:rsid w:val="00802AA2"/>
    <w:rsid w:val="0080306D"/>
    <w:rsid w:val="00803088"/>
    <w:rsid w:val="008030D3"/>
    <w:rsid w:val="00803144"/>
    <w:rsid w:val="00803778"/>
    <w:rsid w:val="00803A54"/>
    <w:rsid w:val="00803CD7"/>
    <w:rsid w:val="00803D65"/>
    <w:rsid w:val="00803EC3"/>
    <w:rsid w:val="008042DA"/>
    <w:rsid w:val="00804392"/>
    <w:rsid w:val="008043EA"/>
    <w:rsid w:val="00804577"/>
    <w:rsid w:val="0080479F"/>
    <w:rsid w:val="0080488F"/>
    <w:rsid w:val="00804950"/>
    <w:rsid w:val="008049BB"/>
    <w:rsid w:val="00804AE9"/>
    <w:rsid w:val="00804E32"/>
    <w:rsid w:val="00804FFD"/>
    <w:rsid w:val="00805326"/>
    <w:rsid w:val="00805341"/>
    <w:rsid w:val="0080557A"/>
    <w:rsid w:val="008056A2"/>
    <w:rsid w:val="008057D4"/>
    <w:rsid w:val="00805868"/>
    <w:rsid w:val="00805895"/>
    <w:rsid w:val="00805A6A"/>
    <w:rsid w:val="00805BCE"/>
    <w:rsid w:val="00805DB0"/>
    <w:rsid w:val="00805E5A"/>
    <w:rsid w:val="008060A1"/>
    <w:rsid w:val="00806316"/>
    <w:rsid w:val="0080631B"/>
    <w:rsid w:val="0080645F"/>
    <w:rsid w:val="0080670C"/>
    <w:rsid w:val="00806F9D"/>
    <w:rsid w:val="00807371"/>
    <w:rsid w:val="00807458"/>
    <w:rsid w:val="00807484"/>
    <w:rsid w:val="00807611"/>
    <w:rsid w:val="0080772A"/>
    <w:rsid w:val="008078A9"/>
    <w:rsid w:val="00807922"/>
    <w:rsid w:val="00807E3D"/>
    <w:rsid w:val="00807F85"/>
    <w:rsid w:val="00810293"/>
    <w:rsid w:val="008106A6"/>
    <w:rsid w:val="00810747"/>
    <w:rsid w:val="008108C5"/>
    <w:rsid w:val="00810C07"/>
    <w:rsid w:val="00810CE9"/>
    <w:rsid w:val="0081135E"/>
    <w:rsid w:val="00811483"/>
    <w:rsid w:val="008114EC"/>
    <w:rsid w:val="008116D9"/>
    <w:rsid w:val="00811C69"/>
    <w:rsid w:val="00811EFC"/>
    <w:rsid w:val="00811F8E"/>
    <w:rsid w:val="00812114"/>
    <w:rsid w:val="008122A0"/>
    <w:rsid w:val="00812A8D"/>
    <w:rsid w:val="00812BFB"/>
    <w:rsid w:val="00812DD5"/>
    <w:rsid w:val="0081324A"/>
    <w:rsid w:val="008134B5"/>
    <w:rsid w:val="00813C6F"/>
    <w:rsid w:val="00814024"/>
    <w:rsid w:val="00814045"/>
    <w:rsid w:val="00814119"/>
    <w:rsid w:val="008141E1"/>
    <w:rsid w:val="00814349"/>
    <w:rsid w:val="00814461"/>
    <w:rsid w:val="008145A3"/>
    <w:rsid w:val="008145DD"/>
    <w:rsid w:val="008146A7"/>
    <w:rsid w:val="0081486D"/>
    <w:rsid w:val="00814AB1"/>
    <w:rsid w:val="00814BDD"/>
    <w:rsid w:val="00814E3C"/>
    <w:rsid w:val="00814F81"/>
    <w:rsid w:val="0081508A"/>
    <w:rsid w:val="00815198"/>
    <w:rsid w:val="00815A98"/>
    <w:rsid w:val="00815ADB"/>
    <w:rsid w:val="00815B41"/>
    <w:rsid w:val="00815BBE"/>
    <w:rsid w:val="00816085"/>
    <w:rsid w:val="008161F2"/>
    <w:rsid w:val="00816242"/>
    <w:rsid w:val="00816257"/>
    <w:rsid w:val="00816656"/>
    <w:rsid w:val="008167D5"/>
    <w:rsid w:val="00816CA5"/>
    <w:rsid w:val="00816F25"/>
    <w:rsid w:val="00816F7F"/>
    <w:rsid w:val="00817260"/>
    <w:rsid w:val="0081756B"/>
    <w:rsid w:val="00817621"/>
    <w:rsid w:val="0081766B"/>
    <w:rsid w:val="008176EC"/>
    <w:rsid w:val="008177C6"/>
    <w:rsid w:val="00817B01"/>
    <w:rsid w:val="00817B68"/>
    <w:rsid w:val="0082015C"/>
    <w:rsid w:val="008204ED"/>
    <w:rsid w:val="0082050D"/>
    <w:rsid w:val="00820681"/>
    <w:rsid w:val="008206F5"/>
    <w:rsid w:val="00820832"/>
    <w:rsid w:val="008208E9"/>
    <w:rsid w:val="008209AF"/>
    <w:rsid w:val="00820F42"/>
    <w:rsid w:val="00821247"/>
    <w:rsid w:val="00821321"/>
    <w:rsid w:val="00821331"/>
    <w:rsid w:val="00821805"/>
    <w:rsid w:val="00821C08"/>
    <w:rsid w:val="00821C4C"/>
    <w:rsid w:val="00822784"/>
    <w:rsid w:val="008229F7"/>
    <w:rsid w:val="00822A7D"/>
    <w:rsid w:val="00822D85"/>
    <w:rsid w:val="00822F26"/>
    <w:rsid w:val="0082302D"/>
    <w:rsid w:val="0082304B"/>
    <w:rsid w:val="00823348"/>
    <w:rsid w:val="00823401"/>
    <w:rsid w:val="00823698"/>
    <w:rsid w:val="008237AA"/>
    <w:rsid w:val="00823A4D"/>
    <w:rsid w:val="00823BF2"/>
    <w:rsid w:val="00823E38"/>
    <w:rsid w:val="00823F2D"/>
    <w:rsid w:val="00824008"/>
    <w:rsid w:val="0082406E"/>
    <w:rsid w:val="0082411F"/>
    <w:rsid w:val="00824478"/>
    <w:rsid w:val="00824B95"/>
    <w:rsid w:val="00824C66"/>
    <w:rsid w:val="00824E09"/>
    <w:rsid w:val="0082508E"/>
    <w:rsid w:val="00825277"/>
    <w:rsid w:val="00825314"/>
    <w:rsid w:val="00825627"/>
    <w:rsid w:val="00825666"/>
    <w:rsid w:val="00825BBA"/>
    <w:rsid w:val="00825E5C"/>
    <w:rsid w:val="0082621E"/>
    <w:rsid w:val="0082627A"/>
    <w:rsid w:val="00826288"/>
    <w:rsid w:val="008263F2"/>
    <w:rsid w:val="00826B6A"/>
    <w:rsid w:val="00826B73"/>
    <w:rsid w:val="00827635"/>
    <w:rsid w:val="0082784D"/>
    <w:rsid w:val="00827861"/>
    <w:rsid w:val="00827BB7"/>
    <w:rsid w:val="00827C33"/>
    <w:rsid w:val="008301E1"/>
    <w:rsid w:val="008303F6"/>
    <w:rsid w:val="00830A76"/>
    <w:rsid w:val="00830DCA"/>
    <w:rsid w:val="008310EA"/>
    <w:rsid w:val="008312E1"/>
    <w:rsid w:val="00831332"/>
    <w:rsid w:val="00831B40"/>
    <w:rsid w:val="00831C44"/>
    <w:rsid w:val="00831C65"/>
    <w:rsid w:val="00831CBA"/>
    <w:rsid w:val="00831DB0"/>
    <w:rsid w:val="00831E40"/>
    <w:rsid w:val="00832059"/>
    <w:rsid w:val="0083215A"/>
    <w:rsid w:val="008321D1"/>
    <w:rsid w:val="0083239C"/>
    <w:rsid w:val="0083274E"/>
    <w:rsid w:val="0083275D"/>
    <w:rsid w:val="0083287C"/>
    <w:rsid w:val="008329D9"/>
    <w:rsid w:val="00832ADE"/>
    <w:rsid w:val="00833280"/>
    <w:rsid w:val="008332D8"/>
    <w:rsid w:val="008334A9"/>
    <w:rsid w:val="00833646"/>
    <w:rsid w:val="008336E0"/>
    <w:rsid w:val="00833800"/>
    <w:rsid w:val="008338F1"/>
    <w:rsid w:val="00833E02"/>
    <w:rsid w:val="00833F28"/>
    <w:rsid w:val="00834334"/>
    <w:rsid w:val="00834363"/>
    <w:rsid w:val="008343EF"/>
    <w:rsid w:val="00834566"/>
    <w:rsid w:val="008346EA"/>
    <w:rsid w:val="00834C64"/>
    <w:rsid w:val="00834EE1"/>
    <w:rsid w:val="00834F75"/>
    <w:rsid w:val="008351FE"/>
    <w:rsid w:val="00835590"/>
    <w:rsid w:val="00835C6A"/>
    <w:rsid w:val="00835EF8"/>
    <w:rsid w:val="008360E2"/>
    <w:rsid w:val="00836163"/>
    <w:rsid w:val="00836294"/>
    <w:rsid w:val="0083675E"/>
    <w:rsid w:val="008369EA"/>
    <w:rsid w:val="008369F9"/>
    <w:rsid w:val="00836A4E"/>
    <w:rsid w:val="00836B18"/>
    <w:rsid w:val="008370C9"/>
    <w:rsid w:val="008375EF"/>
    <w:rsid w:val="00837AA5"/>
    <w:rsid w:val="00837B8F"/>
    <w:rsid w:val="00837BD9"/>
    <w:rsid w:val="00837E9A"/>
    <w:rsid w:val="00837F11"/>
    <w:rsid w:val="0084009E"/>
    <w:rsid w:val="00840A02"/>
    <w:rsid w:val="00840C33"/>
    <w:rsid w:val="00840C91"/>
    <w:rsid w:val="00840CA9"/>
    <w:rsid w:val="00840F2D"/>
    <w:rsid w:val="00840F3D"/>
    <w:rsid w:val="00841076"/>
    <w:rsid w:val="00841580"/>
    <w:rsid w:val="008415B5"/>
    <w:rsid w:val="0084171D"/>
    <w:rsid w:val="00841981"/>
    <w:rsid w:val="00841BA4"/>
    <w:rsid w:val="00841E85"/>
    <w:rsid w:val="008420E6"/>
    <w:rsid w:val="00842222"/>
    <w:rsid w:val="00842607"/>
    <w:rsid w:val="00842895"/>
    <w:rsid w:val="008429E1"/>
    <w:rsid w:val="00842A82"/>
    <w:rsid w:val="00842E33"/>
    <w:rsid w:val="00842E6E"/>
    <w:rsid w:val="00842E94"/>
    <w:rsid w:val="0084329B"/>
    <w:rsid w:val="00843344"/>
    <w:rsid w:val="008436A5"/>
    <w:rsid w:val="008437CF"/>
    <w:rsid w:val="00843AA9"/>
    <w:rsid w:val="00843C20"/>
    <w:rsid w:val="00843DA7"/>
    <w:rsid w:val="008440AA"/>
    <w:rsid w:val="0084420C"/>
    <w:rsid w:val="00844386"/>
    <w:rsid w:val="008444C2"/>
    <w:rsid w:val="008446DF"/>
    <w:rsid w:val="00844805"/>
    <w:rsid w:val="00844829"/>
    <w:rsid w:val="00844884"/>
    <w:rsid w:val="008448C3"/>
    <w:rsid w:val="00845310"/>
    <w:rsid w:val="00845665"/>
    <w:rsid w:val="00845763"/>
    <w:rsid w:val="0084597A"/>
    <w:rsid w:val="00845982"/>
    <w:rsid w:val="008459A2"/>
    <w:rsid w:val="00845A1D"/>
    <w:rsid w:val="00845C38"/>
    <w:rsid w:val="00846469"/>
    <w:rsid w:val="00846597"/>
    <w:rsid w:val="008468B6"/>
    <w:rsid w:val="00846B00"/>
    <w:rsid w:val="00846D14"/>
    <w:rsid w:val="00847199"/>
    <w:rsid w:val="00847352"/>
    <w:rsid w:val="008473E4"/>
    <w:rsid w:val="008475AC"/>
    <w:rsid w:val="008476C3"/>
    <w:rsid w:val="0084799E"/>
    <w:rsid w:val="008479B6"/>
    <w:rsid w:val="00847ADF"/>
    <w:rsid w:val="00847B4E"/>
    <w:rsid w:val="00847C22"/>
    <w:rsid w:val="00847DF0"/>
    <w:rsid w:val="00847ECF"/>
    <w:rsid w:val="008501F6"/>
    <w:rsid w:val="008502F4"/>
    <w:rsid w:val="0085035E"/>
    <w:rsid w:val="008505BB"/>
    <w:rsid w:val="008508A8"/>
    <w:rsid w:val="00850934"/>
    <w:rsid w:val="00850B8F"/>
    <w:rsid w:val="00850EA8"/>
    <w:rsid w:val="008510D0"/>
    <w:rsid w:val="008511B9"/>
    <w:rsid w:val="008514FA"/>
    <w:rsid w:val="00851844"/>
    <w:rsid w:val="0085219D"/>
    <w:rsid w:val="00852363"/>
    <w:rsid w:val="00852497"/>
    <w:rsid w:val="00852672"/>
    <w:rsid w:val="00852D2C"/>
    <w:rsid w:val="00852DE5"/>
    <w:rsid w:val="00852DF1"/>
    <w:rsid w:val="008531CC"/>
    <w:rsid w:val="0085345F"/>
    <w:rsid w:val="008536E4"/>
    <w:rsid w:val="00853988"/>
    <w:rsid w:val="00853A46"/>
    <w:rsid w:val="00853F2C"/>
    <w:rsid w:val="00853FA2"/>
    <w:rsid w:val="00854028"/>
    <w:rsid w:val="00854281"/>
    <w:rsid w:val="00854322"/>
    <w:rsid w:val="0085443C"/>
    <w:rsid w:val="00854A0F"/>
    <w:rsid w:val="00854B2A"/>
    <w:rsid w:val="00854E44"/>
    <w:rsid w:val="00854F3E"/>
    <w:rsid w:val="0085559C"/>
    <w:rsid w:val="008557CD"/>
    <w:rsid w:val="00855FCF"/>
    <w:rsid w:val="00856573"/>
    <w:rsid w:val="0085659D"/>
    <w:rsid w:val="008565AA"/>
    <w:rsid w:val="008567B7"/>
    <w:rsid w:val="008567EB"/>
    <w:rsid w:val="008569B9"/>
    <w:rsid w:val="00856B0A"/>
    <w:rsid w:val="00856DEF"/>
    <w:rsid w:val="008570F7"/>
    <w:rsid w:val="00857361"/>
    <w:rsid w:val="008579CB"/>
    <w:rsid w:val="00857AD3"/>
    <w:rsid w:val="00857BCB"/>
    <w:rsid w:val="00860119"/>
    <w:rsid w:val="00860212"/>
    <w:rsid w:val="0086023E"/>
    <w:rsid w:val="00860296"/>
    <w:rsid w:val="00860ACF"/>
    <w:rsid w:val="00860D18"/>
    <w:rsid w:val="00860DDF"/>
    <w:rsid w:val="00860FCF"/>
    <w:rsid w:val="00861165"/>
    <w:rsid w:val="00861574"/>
    <w:rsid w:val="00861716"/>
    <w:rsid w:val="0086172F"/>
    <w:rsid w:val="008617DE"/>
    <w:rsid w:val="00861EA4"/>
    <w:rsid w:val="00862057"/>
    <w:rsid w:val="008623A4"/>
    <w:rsid w:val="008624EC"/>
    <w:rsid w:val="008625C9"/>
    <w:rsid w:val="008627E1"/>
    <w:rsid w:val="00862913"/>
    <w:rsid w:val="0086293A"/>
    <w:rsid w:val="00862EA6"/>
    <w:rsid w:val="00862F4A"/>
    <w:rsid w:val="00862FD0"/>
    <w:rsid w:val="008634B0"/>
    <w:rsid w:val="00863516"/>
    <w:rsid w:val="008637A3"/>
    <w:rsid w:val="00863831"/>
    <w:rsid w:val="00863B4D"/>
    <w:rsid w:val="00863C85"/>
    <w:rsid w:val="00863FF0"/>
    <w:rsid w:val="00864856"/>
    <w:rsid w:val="00864874"/>
    <w:rsid w:val="0086499C"/>
    <w:rsid w:val="008649D6"/>
    <w:rsid w:val="00864AB2"/>
    <w:rsid w:val="00864D16"/>
    <w:rsid w:val="00864EF0"/>
    <w:rsid w:val="0086570D"/>
    <w:rsid w:val="00865A33"/>
    <w:rsid w:val="00865AA7"/>
    <w:rsid w:val="00865AED"/>
    <w:rsid w:val="00865D0F"/>
    <w:rsid w:val="00865D5C"/>
    <w:rsid w:val="00865DBD"/>
    <w:rsid w:val="00866178"/>
    <w:rsid w:val="008667F2"/>
    <w:rsid w:val="00866D0B"/>
    <w:rsid w:val="00866DAF"/>
    <w:rsid w:val="00866E8A"/>
    <w:rsid w:val="00866EA2"/>
    <w:rsid w:val="008675DC"/>
    <w:rsid w:val="0086785A"/>
    <w:rsid w:val="0086785B"/>
    <w:rsid w:val="00867BC6"/>
    <w:rsid w:val="00867CE4"/>
    <w:rsid w:val="00867D73"/>
    <w:rsid w:val="00867EFE"/>
    <w:rsid w:val="0087004D"/>
    <w:rsid w:val="00870181"/>
    <w:rsid w:val="00870210"/>
    <w:rsid w:val="00870214"/>
    <w:rsid w:val="008703CC"/>
    <w:rsid w:val="008706B4"/>
    <w:rsid w:val="00870A00"/>
    <w:rsid w:val="008711A0"/>
    <w:rsid w:val="0087142A"/>
    <w:rsid w:val="0087147F"/>
    <w:rsid w:val="008714FF"/>
    <w:rsid w:val="008717E0"/>
    <w:rsid w:val="008719A5"/>
    <w:rsid w:val="00871D95"/>
    <w:rsid w:val="00871E53"/>
    <w:rsid w:val="00871FF8"/>
    <w:rsid w:val="00872139"/>
    <w:rsid w:val="0087222E"/>
    <w:rsid w:val="008725EE"/>
    <w:rsid w:val="00872811"/>
    <w:rsid w:val="00872D01"/>
    <w:rsid w:val="00872E73"/>
    <w:rsid w:val="0087333D"/>
    <w:rsid w:val="00873341"/>
    <w:rsid w:val="0087336A"/>
    <w:rsid w:val="0087346E"/>
    <w:rsid w:val="0087361F"/>
    <w:rsid w:val="0087363D"/>
    <w:rsid w:val="00873815"/>
    <w:rsid w:val="00873BD4"/>
    <w:rsid w:val="00873C12"/>
    <w:rsid w:val="00873FA6"/>
    <w:rsid w:val="00873FF8"/>
    <w:rsid w:val="008740BF"/>
    <w:rsid w:val="00874343"/>
    <w:rsid w:val="008745EC"/>
    <w:rsid w:val="0087478C"/>
    <w:rsid w:val="008748C0"/>
    <w:rsid w:val="008749DE"/>
    <w:rsid w:val="008749EF"/>
    <w:rsid w:val="008749F4"/>
    <w:rsid w:val="00874ADB"/>
    <w:rsid w:val="00874E11"/>
    <w:rsid w:val="00874F3C"/>
    <w:rsid w:val="008751C4"/>
    <w:rsid w:val="00875410"/>
    <w:rsid w:val="008754F6"/>
    <w:rsid w:val="00875741"/>
    <w:rsid w:val="00875745"/>
    <w:rsid w:val="00875916"/>
    <w:rsid w:val="008759D2"/>
    <w:rsid w:val="00875CD1"/>
    <w:rsid w:val="008762B4"/>
    <w:rsid w:val="008763E8"/>
    <w:rsid w:val="0087650A"/>
    <w:rsid w:val="0087651A"/>
    <w:rsid w:val="00876557"/>
    <w:rsid w:val="00876621"/>
    <w:rsid w:val="008769C8"/>
    <w:rsid w:val="00876DFA"/>
    <w:rsid w:val="0087770F"/>
    <w:rsid w:val="00877B69"/>
    <w:rsid w:val="00877C5B"/>
    <w:rsid w:val="00877CA4"/>
    <w:rsid w:val="00877E1B"/>
    <w:rsid w:val="00877FD6"/>
    <w:rsid w:val="0088008A"/>
    <w:rsid w:val="008800B4"/>
    <w:rsid w:val="008800DE"/>
    <w:rsid w:val="008802B7"/>
    <w:rsid w:val="0088051E"/>
    <w:rsid w:val="00880573"/>
    <w:rsid w:val="008806CF"/>
    <w:rsid w:val="00880C5F"/>
    <w:rsid w:val="00880E5D"/>
    <w:rsid w:val="00880E76"/>
    <w:rsid w:val="00881290"/>
    <w:rsid w:val="0088168B"/>
    <w:rsid w:val="008818D2"/>
    <w:rsid w:val="00881B71"/>
    <w:rsid w:val="00881D78"/>
    <w:rsid w:val="00881FAF"/>
    <w:rsid w:val="008821FA"/>
    <w:rsid w:val="00882614"/>
    <w:rsid w:val="00882686"/>
    <w:rsid w:val="0088292D"/>
    <w:rsid w:val="00882971"/>
    <w:rsid w:val="00882E0C"/>
    <w:rsid w:val="00882E2A"/>
    <w:rsid w:val="00882F95"/>
    <w:rsid w:val="008834C5"/>
    <w:rsid w:val="008835D0"/>
    <w:rsid w:val="008835DB"/>
    <w:rsid w:val="008837BC"/>
    <w:rsid w:val="00883A6C"/>
    <w:rsid w:val="00883C8A"/>
    <w:rsid w:val="00883E8B"/>
    <w:rsid w:val="00883E8F"/>
    <w:rsid w:val="00883F33"/>
    <w:rsid w:val="00884086"/>
    <w:rsid w:val="008842BD"/>
    <w:rsid w:val="008844B1"/>
    <w:rsid w:val="00884770"/>
    <w:rsid w:val="0088480B"/>
    <w:rsid w:val="0088480E"/>
    <w:rsid w:val="00884822"/>
    <w:rsid w:val="00884B0B"/>
    <w:rsid w:val="00884CFB"/>
    <w:rsid w:val="00884DE5"/>
    <w:rsid w:val="00884F8D"/>
    <w:rsid w:val="008850E8"/>
    <w:rsid w:val="0088525C"/>
    <w:rsid w:val="008857B7"/>
    <w:rsid w:val="00885FF9"/>
    <w:rsid w:val="008861B8"/>
    <w:rsid w:val="008862EE"/>
    <w:rsid w:val="00886583"/>
    <w:rsid w:val="00886A18"/>
    <w:rsid w:val="00886CDD"/>
    <w:rsid w:val="00887033"/>
    <w:rsid w:val="008871BB"/>
    <w:rsid w:val="008872A4"/>
    <w:rsid w:val="008878E6"/>
    <w:rsid w:val="0088791E"/>
    <w:rsid w:val="00887A0F"/>
    <w:rsid w:val="00887A3F"/>
    <w:rsid w:val="00887ABD"/>
    <w:rsid w:val="00887CAE"/>
    <w:rsid w:val="00890003"/>
    <w:rsid w:val="00890263"/>
    <w:rsid w:val="008903A0"/>
    <w:rsid w:val="00890781"/>
    <w:rsid w:val="008908C9"/>
    <w:rsid w:val="008909B7"/>
    <w:rsid w:val="00890C06"/>
    <w:rsid w:val="00890E56"/>
    <w:rsid w:val="00890EE6"/>
    <w:rsid w:val="00890F9A"/>
    <w:rsid w:val="008912A8"/>
    <w:rsid w:val="00891335"/>
    <w:rsid w:val="0089136F"/>
    <w:rsid w:val="008914E7"/>
    <w:rsid w:val="00891855"/>
    <w:rsid w:val="00891E51"/>
    <w:rsid w:val="008920BD"/>
    <w:rsid w:val="00892153"/>
    <w:rsid w:val="0089223B"/>
    <w:rsid w:val="008927D8"/>
    <w:rsid w:val="008928AB"/>
    <w:rsid w:val="00892C3C"/>
    <w:rsid w:val="00892E2A"/>
    <w:rsid w:val="00892FB1"/>
    <w:rsid w:val="008930C3"/>
    <w:rsid w:val="00893198"/>
    <w:rsid w:val="00893404"/>
    <w:rsid w:val="00893613"/>
    <w:rsid w:val="00893B29"/>
    <w:rsid w:val="00893F05"/>
    <w:rsid w:val="00894097"/>
    <w:rsid w:val="0089410E"/>
    <w:rsid w:val="0089447B"/>
    <w:rsid w:val="008946ED"/>
    <w:rsid w:val="00894851"/>
    <w:rsid w:val="00894A6C"/>
    <w:rsid w:val="00894AE7"/>
    <w:rsid w:val="00894B0B"/>
    <w:rsid w:val="00894CCB"/>
    <w:rsid w:val="00894DB9"/>
    <w:rsid w:val="008951E1"/>
    <w:rsid w:val="00895476"/>
    <w:rsid w:val="0089576E"/>
    <w:rsid w:val="008957CE"/>
    <w:rsid w:val="008957E9"/>
    <w:rsid w:val="0089594C"/>
    <w:rsid w:val="00895EE4"/>
    <w:rsid w:val="0089632A"/>
    <w:rsid w:val="00896349"/>
    <w:rsid w:val="008963EF"/>
    <w:rsid w:val="0089684B"/>
    <w:rsid w:val="00896921"/>
    <w:rsid w:val="00896BF6"/>
    <w:rsid w:val="00896F15"/>
    <w:rsid w:val="008971D1"/>
    <w:rsid w:val="0089732D"/>
    <w:rsid w:val="0089760C"/>
    <w:rsid w:val="0089774F"/>
    <w:rsid w:val="0089783B"/>
    <w:rsid w:val="00897C1F"/>
    <w:rsid w:val="00897E40"/>
    <w:rsid w:val="00897EAB"/>
    <w:rsid w:val="008A0667"/>
    <w:rsid w:val="008A0727"/>
    <w:rsid w:val="008A078C"/>
    <w:rsid w:val="008A07BA"/>
    <w:rsid w:val="008A0940"/>
    <w:rsid w:val="008A17BE"/>
    <w:rsid w:val="008A17C5"/>
    <w:rsid w:val="008A19B9"/>
    <w:rsid w:val="008A1ADE"/>
    <w:rsid w:val="008A1F90"/>
    <w:rsid w:val="008A23FE"/>
    <w:rsid w:val="008A2474"/>
    <w:rsid w:val="008A26ED"/>
    <w:rsid w:val="008A27F2"/>
    <w:rsid w:val="008A2923"/>
    <w:rsid w:val="008A2976"/>
    <w:rsid w:val="008A2993"/>
    <w:rsid w:val="008A2A8E"/>
    <w:rsid w:val="008A2A93"/>
    <w:rsid w:val="008A2E7A"/>
    <w:rsid w:val="008A2F13"/>
    <w:rsid w:val="008A2F36"/>
    <w:rsid w:val="008A2FF2"/>
    <w:rsid w:val="008A3D1D"/>
    <w:rsid w:val="008A3D59"/>
    <w:rsid w:val="008A3E3A"/>
    <w:rsid w:val="008A3FCD"/>
    <w:rsid w:val="008A4162"/>
    <w:rsid w:val="008A43A6"/>
    <w:rsid w:val="008A45F2"/>
    <w:rsid w:val="008A4B37"/>
    <w:rsid w:val="008A4C80"/>
    <w:rsid w:val="008A4E0D"/>
    <w:rsid w:val="008A56DB"/>
    <w:rsid w:val="008A5863"/>
    <w:rsid w:val="008A58A8"/>
    <w:rsid w:val="008A5AC5"/>
    <w:rsid w:val="008A5C64"/>
    <w:rsid w:val="008A5CB5"/>
    <w:rsid w:val="008A5D56"/>
    <w:rsid w:val="008A5E17"/>
    <w:rsid w:val="008A5FC3"/>
    <w:rsid w:val="008A60B7"/>
    <w:rsid w:val="008A639A"/>
    <w:rsid w:val="008A63B5"/>
    <w:rsid w:val="008A6607"/>
    <w:rsid w:val="008A67A7"/>
    <w:rsid w:val="008A6A3B"/>
    <w:rsid w:val="008A6A98"/>
    <w:rsid w:val="008A6B48"/>
    <w:rsid w:val="008A6B90"/>
    <w:rsid w:val="008A6FB1"/>
    <w:rsid w:val="008A71A7"/>
    <w:rsid w:val="008A7361"/>
    <w:rsid w:val="008A73FE"/>
    <w:rsid w:val="008A74DC"/>
    <w:rsid w:val="008A75F1"/>
    <w:rsid w:val="008A7B54"/>
    <w:rsid w:val="008A7EC1"/>
    <w:rsid w:val="008A7F52"/>
    <w:rsid w:val="008A7F76"/>
    <w:rsid w:val="008B005C"/>
    <w:rsid w:val="008B0077"/>
    <w:rsid w:val="008B00CF"/>
    <w:rsid w:val="008B0133"/>
    <w:rsid w:val="008B0321"/>
    <w:rsid w:val="008B0403"/>
    <w:rsid w:val="008B05AB"/>
    <w:rsid w:val="008B0A37"/>
    <w:rsid w:val="008B0A69"/>
    <w:rsid w:val="008B0B77"/>
    <w:rsid w:val="008B0EDF"/>
    <w:rsid w:val="008B0F40"/>
    <w:rsid w:val="008B0F45"/>
    <w:rsid w:val="008B10A3"/>
    <w:rsid w:val="008B1109"/>
    <w:rsid w:val="008B134F"/>
    <w:rsid w:val="008B1822"/>
    <w:rsid w:val="008B18D3"/>
    <w:rsid w:val="008B1903"/>
    <w:rsid w:val="008B1C4D"/>
    <w:rsid w:val="008B223F"/>
    <w:rsid w:val="008B24CC"/>
    <w:rsid w:val="008B263C"/>
    <w:rsid w:val="008B266E"/>
    <w:rsid w:val="008B26A7"/>
    <w:rsid w:val="008B2799"/>
    <w:rsid w:val="008B2C26"/>
    <w:rsid w:val="008B2DCC"/>
    <w:rsid w:val="008B3174"/>
    <w:rsid w:val="008B35C8"/>
    <w:rsid w:val="008B361A"/>
    <w:rsid w:val="008B3E1B"/>
    <w:rsid w:val="008B3F1B"/>
    <w:rsid w:val="008B3F67"/>
    <w:rsid w:val="008B3FB3"/>
    <w:rsid w:val="008B41F6"/>
    <w:rsid w:val="008B423F"/>
    <w:rsid w:val="008B4724"/>
    <w:rsid w:val="008B4899"/>
    <w:rsid w:val="008B49E3"/>
    <w:rsid w:val="008B4A30"/>
    <w:rsid w:val="008B4DA4"/>
    <w:rsid w:val="008B4DF1"/>
    <w:rsid w:val="008B4F0F"/>
    <w:rsid w:val="008B50F9"/>
    <w:rsid w:val="008B518A"/>
    <w:rsid w:val="008B58D1"/>
    <w:rsid w:val="008B5A6F"/>
    <w:rsid w:val="008B5C20"/>
    <w:rsid w:val="008B5D8D"/>
    <w:rsid w:val="008B61C0"/>
    <w:rsid w:val="008B634B"/>
    <w:rsid w:val="008B6764"/>
    <w:rsid w:val="008B6856"/>
    <w:rsid w:val="008B6932"/>
    <w:rsid w:val="008B6BAB"/>
    <w:rsid w:val="008B6EA1"/>
    <w:rsid w:val="008B6ED8"/>
    <w:rsid w:val="008B6FC3"/>
    <w:rsid w:val="008B70B5"/>
    <w:rsid w:val="008B72F2"/>
    <w:rsid w:val="008B7580"/>
    <w:rsid w:val="008B769A"/>
    <w:rsid w:val="008B775F"/>
    <w:rsid w:val="008B785A"/>
    <w:rsid w:val="008B7A22"/>
    <w:rsid w:val="008B7B38"/>
    <w:rsid w:val="008B7B9A"/>
    <w:rsid w:val="008C01B6"/>
    <w:rsid w:val="008C01E4"/>
    <w:rsid w:val="008C0224"/>
    <w:rsid w:val="008C03A1"/>
    <w:rsid w:val="008C0646"/>
    <w:rsid w:val="008C0758"/>
    <w:rsid w:val="008C0808"/>
    <w:rsid w:val="008C0ADB"/>
    <w:rsid w:val="008C0B29"/>
    <w:rsid w:val="008C0E2E"/>
    <w:rsid w:val="008C0EE6"/>
    <w:rsid w:val="008C1725"/>
    <w:rsid w:val="008C19DB"/>
    <w:rsid w:val="008C1E8A"/>
    <w:rsid w:val="008C1F19"/>
    <w:rsid w:val="008C1F4B"/>
    <w:rsid w:val="008C1F5D"/>
    <w:rsid w:val="008C1F5F"/>
    <w:rsid w:val="008C2061"/>
    <w:rsid w:val="008C2174"/>
    <w:rsid w:val="008C24EA"/>
    <w:rsid w:val="008C2509"/>
    <w:rsid w:val="008C2659"/>
    <w:rsid w:val="008C27F3"/>
    <w:rsid w:val="008C28A9"/>
    <w:rsid w:val="008C2929"/>
    <w:rsid w:val="008C29E4"/>
    <w:rsid w:val="008C2D57"/>
    <w:rsid w:val="008C2E84"/>
    <w:rsid w:val="008C2F65"/>
    <w:rsid w:val="008C35D3"/>
    <w:rsid w:val="008C3862"/>
    <w:rsid w:val="008C398D"/>
    <w:rsid w:val="008C3A07"/>
    <w:rsid w:val="008C3B80"/>
    <w:rsid w:val="008C3D8C"/>
    <w:rsid w:val="008C3DAB"/>
    <w:rsid w:val="008C3FDC"/>
    <w:rsid w:val="008C48A1"/>
    <w:rsid w:val="008C49E2"/>
    <w:rsid w:val="008C4B34"/>
    <w:rsid w:val="008C4B56"/>
    <w:rsid w:val="008C4EDA"/>
    <w:rsid w:val="008C5248"/>
    <w:rsid w:val="008C534F"/>
    <w:rsid w:val="008C5356"/>
    <w:rsid w:val="008C5497"/>
    <w:rsid w:val="008C55BC"/>
    <w:rsid w:val="008C5AD3"/>
    <w:rsid w:val="008C5CA9"/>
    <w:rsid w:val="008C5CAF"/>
    <w:rsid w:val="008C5CE3"/>
    <w:rsid w:val="008C5D10"/>
    <w:rsid w:val="008C5D39"/>
    <w:rsid w:val="008C6152"/>
    <w:rsid w:val="008C633C"/>
    <w:rsid w:val="008C63C5"/>
    <w:rsid w:val="008C642A"/>
    <w:rsid w:val="008C66A1"/>
    <w:rsid w:val="008C677A"/>
    <w:rsid w:val="008C686D"/>
    <w:rsid w:val="008C68A0"/>
    <w:rsid w:val="008C68F1"/>
    <w:rsid w:val="008C68FE"/>
    <w:rsid w:val="008C69F8"/>
    <w:rsid w:val="008C6C38"/>
    <w:rsid w:val="008C6D20"/>
    <w:rsid w:val="008C6E06"/>
    <w:rsid w:val="008C74A2"/>
    <w:rsid w:val="008C7A0D"/>
    <w:rsid w:val="008C7B66"/>
    <w:rsid w:val="008C7D04"/>
    <w:rsid w:val="008D0388"/>
    <w:rsid w:val="008D047A"/>
    <w:rsid w:val="008D0731"/>
    <w:rsid w:val="008D080C"/>
    <w:rsid w:val="008D0967"/>
    <w:rsid w:val="008D0AC8"/>
    <w:rsid w:val="008D0B5B"/>
    <w:rsid w:val="008D118E"/>
    <w:rsid w:val="008D12C7"/>
    <w:rsid w:val="008D155D"/>
    <w:rsid w:val="008D169A"/>
    <w:rsid w:val="008D174E"/>
    <w:rsid w:val="008D18D1"/>
    <w:rsid w:val="008D1947"/>
    <w:rsid w:val="008D197D"/>
    <w:rsid w:val="008D1B39"/>
    <w:rsid w:val="008D1CF5"/>
    <w:rsid w:val="008D1E7F"/>
    <w:rsid w:val="008D1ECC"/>
    <w:rsid w:val="008D1F71"/>
    <w:rsid w:val="008D1FCC"/>
    <w:rsid w:val="008D206A"/>
    <w:rsid w:val="008D2250"/>
    <w:rsid w:val="008D29F7"/>
    <w:rsid w:val="008D2A7D"/>
    <w:rsid w:val="008D2B7D"/>
    <w:rsid w:val="008D2BEE"/>
    <w:rsid w:val="008D2D24"/>
    <w:rsid w:val="008D2F22"/>
    <w:rsid w:val="008D2F4F"/>
    <w:rsid w:val="008D3105"/>
    <w:rsid w:val="008D318E"/>
    <w:rsid w:val="008D348D"/>
    <w:rsid w:val="008D3591"/>
    <w:rsid w:val="008D3659"/>
    <w:rsid w:val="008D3806"/>
    <w:rsid w:val="008D39D3"/>
    <w:rsid w:val="008D3C29"/>
    <w:rsid w:val="008D3F70"/>
    <w:rsid w:val="008D4140"/>
    <w:rsid w:val="008D4493"/>
    <w:rsid w:val="008D478E"/>
    <w:rsid w:val="008D4B4E"/>
    <w:rsid w:val="008D53CB"/>
    <w:rsid w:val="008D54CA"/>
    <w:rsid w:val="008D56CA"/>
    <w:rsid w:val="008D5739"/>
    <w:rsid w:val="008D5927"/>
    <w:rsid w:val="008D5934"/>
    <w:rsid w:val="008D5C52"/>
    <w:rsid w:val="008D5D50"/>
    <w:rsid w:val="008D5ED2"/>
    <w:rsid w:val="008D663E"/>
    <w:rsid w:val="008D6BE3"/>
    <w:rsid w:val="008D6CEE"/>
    <w:rsid w:val="008D6EE0"/>
    <w:rsid w:val="008D7005"/>
    <w:rsid w:val="008D7A25"/>
    <w:rsid w:val="008D7B46"/>
    <w:rsid w:val="008E0063"/>
    <w:rsid w:val="008E0218"/>
    <w:rsid w:val="008E049F"/>
    <w:rsid w:val="008E04A8"/>
    <w:rsid w:val="008E051A"/>
    <w:rsid w:val="008E05B3"/>
    <w:rsid w:val="008E0899"/>
    <w:rsid w:val="008E0AAD"/>
    <w:rsid w:val="008E0CB4"/>
    <w:rsid w:val="008E0D49"/>
    <w:rsid w:val="008E0DE1"/>
    <w:rsid w:val="008E112C"/>
    <w:rsid w:val="008E1193"/>
    <w:rsid w:val="008E130E"/>
    <w:rsid w:val="008E14C9"/>
    <w:rsid w:val="008E15D7"/>
    <w:rsid w:val="008E1714"/>
    <w:rsid w:val="008E19CB"/>
    <w:rsid w:val="008E1A05"/>
    <w:rsid w:val="008E1A5F"/>
    <w:rsid w:val="008E1D3E"/>
    <w:rsid w:val="008E204E"/>
    <w:rsid w:val="008E2112"/>
    <w:rsid w:val="008E26F8"/>
    <w:rsid w:val="008E28EB"/>
    <w:rsid w:val="008E2D95"/>
    <w:rsid w:val="008E2EFF"/>
    <w:rsid w:val="008E2F56"/>
    <w:rsid w:val="008E3092"/>
    <w:rsid w:val="008E3609"/>
    <w:rsid w:val="008E3B4E"/>
    <w:rsid w:val="008E3B77"/>
    <w:rsid w:val="008E3C53"/>
    <w:rsid w:val="008E3C8D"/>
    <w:rsid w:val="008E3C92"/>
    <w:rsid w:val="008E3CC9"/>
    <w:rsid w:val="008E3DDF"/>
    <w:rsid w:val="008E4415"/>
    <w:rsid w:val="008E4575"/>
    <w:rsid w:val="008E4978"/>
    <w:rsid w:val="008E49C8"/>
    <w:rsid w:val="008E4B5F"/>
    <w:rsid w:val="008E4BCA"/>
    <w:rsid w:val="008E4C52"/>
    <w:rsid w:val="008E4D22"/>
    <w:rsid w:val="008E4DF5"/>
    <w:rsid w:val="008E4F46"/>
    <w:rsid w:val="008E4F7E"/>
    <w:rsid w:val="008E569F"/>
    <w:rsid w:val="008E58C8"/>
    <w:rsid w:val="008E5BFC"/>
    <w:rsid w:val="008E5D18"/>
    <w:rsid w:val="008E629E"/>
    <w:rsid w:val="008E6512"/>
    <w:rsid w:val="008E6565"/>
    <w:rsid w:val="008E6591"/>
    <w:rsid w:val="008E68DC"/>
    <w:rsid w:val="008E6956"/>
    <w:rsid w:val="008E6A6B"/>
    <w:rsid w:val="008E6C66"/>
    <w:rsid w:val="008E6C9C"/>
    <w:rsid w:val="008E6F8F"/>
    <w:rsid w:val="008E7175"/>
    <w:rsid w:val="008E7519"/>
    <w:rsid w:val="008E766F"/>
    <w:rsid w:val="008E7739"/>
    <w:rsid w:val="008E7844"/>
    <w:rsid w:val="008E7858"/>
    <w:rsid w:val="008E7861"/>
    <w:rsid w:val="008E7C5B"/>
    <w:rsid w:val="008E7D43"/>
    <w:rsid w:val="008E7E66"/>
    <w:rsid w:val="008F01E8"/>
    <w:rsid w:val="008F02F8"/>
    <w:rsid w:val="008F044D"/>
    <w:rsid w:val="008F0741"/>
    <w:rsid w:val="008F0D0B"/>
    <w:rsid w:val="008F0D99"/>
    <w:rsid w:val="008F1090"/>
    <w:rsid w:val="008F123C"/>
    <w:rsid w:val="008F12EA"/>
    <w:rsid w:val="008F15A1"/>
    <w:rsid w:val="008F15A9"/>
    <w:rsid w:val="008F1786"/>
    <w:rsid w:val="008F1B3B"/>
    <w:rsid w:val="008F1B50"/>
    <w:rsid w:val="008F1DB8"/>
    <w:rsid w:val="008F1DDA"/>
    <w:rsid w:val="008F1F02"/>
    <w:rsid w:val="008F1F5D"/>
    <w:rsid w:val="008F21AC"/>
    <w:rsid w:val="008F2548"/>
    <w:rsid w:val="008F26B4"/>
    <w:rsid w:val="008F28AC"/>
    <w:rsid w:val="008F2AC3"/>
    <w:rsid w:val="008F2B26"/>
    <w:rsid w:val="008F2C95"/>
    <w:rsid w:val="008F2E1D"/>
    <w:rsid w:val="008F2EF1"/>
    <w:rsid w:val="008F3169"/>
    <w:rsid w:val="008F3365"/>
    <w:rsid w:val="008F350F"/>
    <w:rsid w:val="008F37AA"/>
    <w:rsid w:val="008F37CE"/>
    <w:rsid w:val="008F37F3"/>
    <w:rsid w:val="008F380E"/>
    <w:rsid w:val="008F397E"/>
    <w:rsid w:val="008F3AD1"/>
    <w:rsid w:val="008F405A"/>
    <w:rsid w:val="008F488F"/>
    <w:rsid w:val="008F4A88"/>
    <w:rsid w:val="008F4AF1"/>
    <w:rsid w:val="008F50C1"/>
    <w:rsid w:val="008F52D8"/>
    <w:rsid w:val="008F58EA"/>
    <w:rsid w:val="008F6075"/>
    <w:rsid w:val="008F60A9"/>
    <w:rsid w:val="008F66DC"/>
    <w:rsid w:val="008F67F4"/>
    <w:rsid w:val="008F6E4D"/>
    <w:rsid w:val="008F6F72"/>
    <w:rsid w:val="008F744E"/>
    <w:rsid w:val="008F7726"/>
    <w:rsid w:val="008F7840"/>
    <w:rsid w:val="008F79B2"/>
    <w:rsid w:val="008F7A70"/>
    <w:rsid w:val="008F7AE1"/>
    <w:rsid w:val="008F7DDE"/>
    <w:rsid w:val="008F7F62"/>
    <w:rsid w:val="008F7FD8"/>
    <w:rsid w:val="00900131"/>
    <w:rsid w:val="00900159"/>
    <w:rsid w:val="009004C8"/>
    <w:rsid w:val="00900632"/>
    <w:rsid w:val="009006D6"/>
    <w:rsid w:val="00900732"/>
    <w:rsid w:val="00900C0C"/>
    <w:rsid w:val="00900C70"/>
    <w:rsid w:val="00900E9A"/>
    <w:rsid w:val="009011C7"/>
    <w:rsid w:val="0090132B"/>
    <w:rsid w:val="0090132F"/>
    <w:rsid w:val="00901562"/>
    <w:rsid w:val="00901888"/>
    <w:rsid w:val="009019F2"/>
    <w:rsid w:val="00901AC3"/>
    <w:rsid w:val="009022C6"/>
    <w:rsid w:val="009024DD"/>
    <w:rsid w:val="0090294B"/>
    <w:rsid w:val="00902ABC"/>
    <w:rsid w:val="00902C58"/>
    <w:rsid w:val="00902F52"/>
    <w:rsid w:val="00902FF8"/>
    <w:rsid w:val="0090325A"/>
    <w:rsid w:val="0090326A"/>
    <w:rsid w:val="009034D2"/>
    <w:rsid w:val="009037C9"/>
    <w:rsid w:val="00903912"/>
    <w:rsid w:val="00903A01"/>
    <w:rsid w:val="009040B2"/>
    <w:rsid w:val="009042E1"/>
    <w:rsid w:val="00904697"/>
    <w:rsid w:val="00904AFA"/>
    <w:rsid w:val="00904B85"/>
    <w:rsid w:val="009054C5"/>
    <w:rsid w:val="00905833"/>
    <w:rsid w:val="009058C9"/>
    <w:rsid w:val="0090599B"/>
    <w:rsid w:val="00905BCF"/>
    <w:rsid w:val="00905EB9"/>
    <w:rsid w:val="00906019"/>
    <w:rsid w:val="009060F6"/>
    <w:rsid w:val="00906215"/>
    <w:rsid w:val="00906464"/>
    <w:rsid w:val="0090660F"/>
    <w:rsid w:val="00906674"/>
    <w:rsid w:val="009066B7"/>
    <w:rsid w:val="009066C9"/>
    <w:rsid w:val="00906C69"/>
    <w:rsid w:val="00906DA2"/>
    <w:rsid w:val="00907035"/>
    <w:rsid w:val="009071A2"/>
    <w:rsid w:val="009071FB"/>
    <w:rsid w:val="00907201"/>
    <w:rsid w:val="0090752D"/>
    <w:rsid w:val="009077C3"/>
    <w:rsid w:val="00907A00"/>
    <w:rsid w:val="00907B7E"/>
    <w:rsid w:val="00907BD4"/>
    <w:rsid w:val="00907D6A"/>
    <w:rsid w:val="00907E32"/>
    <w:rsid w:val="00907F64"/>
    <w:rsid w:val="00907F9B"/>
    <w:rsid w:val="0091025A"/>
    <w:rsid w:val="0091026A"/>
    <w:rsid w:val="0091028D"/>
    <w:rsid w:val="0091029D"/>
    <w:rsid w:val="009104C2"/>
    <w:rsid w:val="0091073A"/>
    <w:rsid w:val="00910879"/>
    <w:rsid w:val="009108DE"/>
    <w:rsid w:val="00910FDC"/>
    <w:rsid w:val="0091103D"/>
    <w:rsid w:val="00911542"/>
    <w:rsid w:val="0091165A"/>
    <w:rsid w:val="009117CC"/>
    <w:rsid w:val="009118DA"/>
    <w:rsid w:val="00911A30"/>
    <w:rsid w:val="00911B91"/>
    <w:rsid w:val="00912025"/>
    <w:rsid w:val="009121D8"/>
    <w:rsid w:val="00912249"/>
    <w:rsid w:val="00912521"/>
    <w:rsid w:val="00912558"/>
    <w:rsid w:val="009128A3"/>
    <w:rsid w:val="009129F2"/>
    <w:rsid w:val="00912C9D"/>
    <w:rsid w:val="00912CE8"/>
    <w:rsid w:val="00912DD8"/>
    <w:rsid w:val="00912EE4"/>
    <w:rsid w:val="0091314E"/>
    <w:rsid w:val="0091322D"/>
    <w:rsid w:val="009134A8"/>
    <w:rsid w:val="00913AD1"/>
    <w:rsid w:val="00913E1D"/>
    <w:rsid w:val="00913EA4"/>
    <w:rsid w:val="00913ED3"/>
    <w:rsid w:val="0091424B"/>
    <w:rsid w:val="009146BA"/>
    <w:rsid w:val="00914792"/>
    <w:rsid w:val="009147F3"/>
    <w:rsid w:val="009148E4"/>
    <w:rsid w:val="00914C2B"/>
    <w:rsid w:val="00915838"/>
    <w:rsid w:val="00915840"/>
    <w:rsid w:val="00915910"/>
    <w:rsid w:val="00915AD9"/>
    <w:rsid w:val="009160C5"/>
    <w:rsid w:val="00916135"/>
    <w:rsid w:val="0091646A"/>
    <w:rsid w:val="009164C4"/>
    <w:rsid w:val="00916508"/>
    <w:rsid w:val="0091653E"/>
    <w:rsid w:val="00916717"/>
    <w:rsid w:val="00916BDE"/>
    <w:rsid w:val="00916BEB"/>
    <w:rsid w:val="00916CE3"/>
    <w:rsid w:val="009172CD"/>
    <w:rsid w:val="00917302"/>
    <w:rsid w:val="00917713"/>
    <w:rsid w:val="00917AA1"/>
    <w:rsid w:val="00917FBF"/>
    <w:rsid w:val="00920056"/>
    <w:rsid w:val="009200D9"/>
    <w:rsid w:val="009205ED"/>
    <w:rsid w:val="009207FE"/>
    <w:rsid w:val="009208F2"/>
    <w:rsid w:val="00920988"/>
    <w:rsid w:val="00920CB0"/>
    <w:rsid w:val="009212F0"/>
    <w:rsid w:val="00921438"/>
    <w:rsid w:val="0092145E"/>
    <w:rsid w:val="009215AF"/>
    <w:rsid w:val="00921AEB"/>
    <w:rsid w:val="0092212A"/>
    <w:rsid w:val="009221A4"/>
    <w:rsid w:val="009221E2"/>
    <w:rsid w:val="00922232"/>
    <w:rsid w:val="0092236D"/>
    <w:rsid w:val="009223A8"/>
    <w:rsid w:val="00922613"/>
    <w:rsid w:val="00922885"/>
    <w:rsid w:val="009228FB"/>
    <w:rsid w:val="00922905"/>
    <w:rsid w:val="00922D85"/>
    <w:rsid w:val="00923098"/>
    <w:rsid w:val="009230B1"/>
    <w:rsid w:val="009232A6"/>
    <w:rsid w:val="0092346E"/>
    <w:rsid w:val="009234B4"/>
    <w:rsid w:val="0092351F"/>
    <w:rsid w:val="00923B7C"/>
    <w:rsid w:val="00923FF1"/>
    <w:rsid w:val="009241D6"/>
    <w:rsid w:val="00924420"/>
    <w:rsid w:val="00924496"/>
    <w:rsid w:val="009244D0"/>
    <w:rsid w:val="009245A6"/>
    <w:rsid w:val="009249A3"/>
    <w:rsid w:val="00924B4B"/>
    <w:rsid w:val="00924E7E"/>
    <w:rsid w:val="00925104"/>
    <w:rsid w:val="009251A3"/>
    <w:rsid w:val="009251F9"/>
    <w:rsid w:val="0092562A"/>
    <w:rsid w:val="00925649"/>
    <w:rsid w:val="009256E8"/>
    <w:rsid w:val="00925C0C"/>
    <w:rsid w:val="00926120"/>
    <w:rsid w:val="009261E2"/>
    <w:rsid w:val="009264D2"/>
    <w:rsid w:val="00926B51"/>
    <w:rsid w:val="0092705D"/>
    <w:rsid w:val="00927352"/>
    <w:rsid w:val="009274EA"/>
    <w:rsid w:val="009275F3"/>
    <w:rsid w:val="0092769B"/>
    <w:rsid w:val="009276D2"/>
    <w:rsid w:val="009279DD"/>
    <w:rsid w:val="00927ED6"/>
    <w:rsid w:val="00927F25"/>
    <w:rsid w:val="00930356"/>
    <w:rsid w:val="00930941"/>
    <w:rsid w:val="00930BE0"/>
    <w:rsid w:val="00930C9F"/>
    <w:rsid w:val="00931B7E"/>
    <w:rsid w:val="00932457"/>
    <w:rsid w:val="00932545"/>
    <w:rsid w:val="0093266D"/>
    <w:rsid w:val="00932715"/>
    <w:rsid w:val="00932885"/>
    <w:rsid w:val="0093292E"/>
    <w:rsid w:val="00932BDB"/>
    <w:rsid w:val="00932D6D"/>
    <w:rsid w:val="00933414"/>
    <w:rsid w:val="00933785"/>
    <w:rsid w:val="009337AC"/>
    <w:rsid w:val="009337C7"/>
    <w:rsid w:val="0093393D"/>
    <w:rsid w:val="00933BD7"/>
    <w:rsid w:val="00933CFC"/>
    <w:rsid w:val="00933DB9"/>
    <w:rsid w:val="00934249"/>
    <w:rsid w:val="0093464C"/>
    <w:rsid w:val="00934DE1"/>
    <w:rsid w:val="00934EA1"/>
    <w:rsid w:val="00934EFE"/>
    <w:rsid w:val="00934F00"/>
    <w:rsid w:val="00934F93"/>
    <w:rsid w:val="00935629"/>
    <w:rsid w:val="009356DE"/>
    <w:rsid w:val="0093593E"/>
    <w:rsid w:val="00935A3E"/>
    <w:rsid w:val="00935B66"/>
    <w:rsid w:val="00935C7B"/>
    <w:rsid w:val="00936145"/>
    <w:rsid w:val="00936714"/>
    <w:rsid w:val="0093678A"/>
    <w:rsid w:val="0093685E"/>
    <w:rsid w:val="009369D6"/>
    <w:rsid w:val="00936AC0"/>
    <w:rsid w:val="00936CBF"/>
    <w:rsid w:val="00936D99"/>
    <w:rsid w:val="009370A4"/>
    <w:rsid w:val="00937904"/>
    <w:rsid w:val="00937A69"/>
    <w:rsid w:val="00937ADF"/>
    <w:rsid w:val="00937BCF"/>
    <w:rsid w:val="00940098"/>
    <w:rsid w:val="00940208"/>
    <w:rsid w:val="00940A06"/>
    <w:rsid w:val="00940A4D"/>
    <w:rsid w:val="00940A90"/>
    <w:rsid w:val="00940F0E"/>
    <w:rsid w:val="0094150D"/>
    <w:rsid w:val="00941561"/>
    <w:rsid w:val="0094173E"/>
    <w:rsid w:val="009417ED"/>
    <w:rsid w:val="0094183D"/>
    <w:rsid w:val="00941B5E"/>
    <w:rsid w:val="00941BAA"/>
    <w:rsid w:val="00941C49"/>
    <w:rsid w:val="00941DE8"/>
    <w:rsid w:val="00941E2D"/>
    <w:rsid w:val="00941E37"/>
    <w:rsid w:val="0094212B"/>
    <w:rsid w:val="00942134"/>
    <w:rsid w:val="00942168"/>
    <w:rsid w:val="009421C5"/>
    <w:rsid w:val="009421DE"/>
    <w:rsid w:val="00942413"/>
    <w:rsid w:val="0094255A"/>
    <w:rsid w:val="009425B4"/>
    <w:rsid w:val="009426D6"/>
    <w:rsid w:val="00942784"/>
    <w:rsid w:val="0094289B"/>
    <w:rsid w:val="00942C96"/>
    <w:rsid w:val="0094313E"/>
    <w:rsid w:val="00943528"/>
    <w:rsid w:val="009435EC"/>
    <w:rsid w:val="00943D1A"/>
    <w:rsid w:val="00943D76"/>
    <w:rsid w:val="009445B6"/>
    <w:rsid w:val="009445C9"/>
    <w:rsid w:val="009445ED"/>
    <w:rsid w:val="00944611"/>
    <w:rsid w:val="009446B4"/>
    <w:rsid w:val="009449E1"/>
    <w:rsid w:val="00944A1C"/>
    <w:rsid w:val="00944A28"/>
    <w:rsid w:val="00944A94"/>
    <w:rsid w:val="00944B07"/>
    <w:rsid w:val="00944CC7"/>
    <w:rsid w:val="00944CDF"/>
    <w:rsid w:val="00944E53"/>
    <w:rsid w:val="00945146"/>
    <w:rsid w:val="009454DB"/>
    <w:rsid w:val="009458C9"/>
    <w:rsid w:val="009458D4"/>
    <w:rsid w:val="009459E7"/>
    <w:rsid w:val="00945CD2"/>
    <w:rsid w:val="00945D8F"/>
    <w:rsid w:val="00945D93"/>
    <w:rsid w:val="00945EB7"/>
    <w:rsid w:val="0094623B"/>
    <w:rsid w:val="00946416"/>
    <w:rsid w:val="00946535"/>
    <w:rsid w:val="0094658C"/>
    <w:rsid w:val="0094698A"/>
    <w:rsid w:val="009472F4"/>
    <w:rsid w:val="00947363"/>
    <w:rsid w:val="009473AB"/>
    <w:rsid w:val="00947446"/>
    <w:rsid w:val="009475FE"/>
    <w:rsid w:val="00947669"/>
    <w:rsid w:val="0094798C"/>
    <w:rsid w:val="00947FDF"/>
    <w:rsid w:val="0095024D"/>
    <w:rsid w:val="00950401"/>
    <w:rsid w:val="00950442"/>
    <w:rsid w:val="0095057A"/>
    <w:rsid w:val="009507FC"/>
    <w:rsid w:val="0095093B"/>
    <w:rsid w:val="00950CB4"/>
    <w:rsid w:val="00950D48"/>
    <w:rsid w:val="00950D89"/>
    <w:rsid w:val="00950E64"/>
    <w:rsid w:val="00951168"/>
    <w:rsid w:val="00951648"/>
    <w:rsid w:val="00951ADB"/>
    <w:rsid w:val="00951D00"/>
    <w:rsid w:val="00951D19"/>
    <w:rsid w:val="00951E6B"/>
    <w:rsid w:val="00952048"/>
    <w:rsid w:val="00952061"/>
    <w:rsid w:val="00952212"/>
    <w:rsid w:val="0095276B"/>
    <w:rsid w:val="009528B3"/>
    <w:rsid w:val="00952A87"/>
    <w:rsid w:val="00952B8A"/>
    <w:rsid w:val="00952E11"/>
    <w:rsid w:val="00952E39"/>
    <w:rsid w:val="00952F92"/>
    <w:rsid w:val="00953333"/>
    <w:rsid w:val="0095337A"/>
    <w:rsid w:val="00953555"/>
    <w:rsid w:val="0095361C"/>
    <w:rsid w:val="00953789"/>
    <w:rsid w:val="00953A35"/>
    <w:rsid w:val="00953D0F"/>
    <w:rsid w:val="00953E6C"/>
    <w:rsid w:val="00953FAD"/>
    <w:rsid w:val="00953FEF"/>
    <w:rsid w:val="0095408E"/>
    <w:rsid w:val="0095465B"/>
    <w:rsid w:val="00954786"/>
    <w:rsid w:val="009547A8"/>
    <w:rsid w:val="009547CD"/>
    <w:rsid w:val="00954A17"/>
    <w:rsid w:val="00954F9D"/>
    <w:rsid w:val="00955003"/>
    <w:rsid w:val="009552A4"/>
    <w:rsid w:val="009554C9"/>
    <w:rsid w:val="00955863"/>
    <w:rsid w:val="00955C82"/>
    <w:rsid w:val="00955D2B"/>
    <w:rsid w:val="00955D69"/>
    <w:rsid w:val="009561BC"/>
    <w:rsid w:val="00956500"/>
    <w:rsid w:val="00956776"/>
    <w:rsid w:val="00956820"/>
    <w:rsid w:val="00956965"/>
    <w:rsid w:val="009569CB"/>
    <w:rsid w:val="00956CC8"/>
    <w:rsid w:val="00956D9F"/>
    <w:rsid w:val="00956DA2"/>
    <w:rsid w:val="0095734A"/>
    <w:rsid w:val="0095746D"/>
    <w:rsid w:val="009574BD"/>
    <w:rsid w:val="00957572"/>
    <w:rsid w:val="009578A3"/>
    <w:rsid w:val="0095794B"/>
    <w:rsid w:val="00957B4F"/>
    <w:rsid w:val="00957D11"/>
    <w:rsid w:val="00957E54"/>
    <w:rsid w:val="00957E5D"/>
    <w:rsid w:val="00957ECF"/>
    <w:rsid w:val="009602CF"/>
    <w:rsid w:val="00960351"/>
    <w:rsid w:val="00960379"/>
    <w:rsid w:val="00960535"/>
    <w:rsid w:val="0096088B"/>
    <w:rsid w:val="00960CBE"/>
    <w:rsid w:val="00960E23"/>
    <w:rsid w:val="00960EF2"/>
    <w:rsid w:val="009610A9"/>
    <w:rsid w:val="009610F3"/>
    <w:rsid w:val="009611AF"/>
    <w:rsid w:val="009611C7"/>
    <w:rsid w:val="009616AC"/>
    <w:rsid w:val="0096175D"/>
    <w:rsid w:val="00961898"/>
    <w:rsid w:val="00961997"/>
    <w:rsid w:val="009619BE"/>
    <w:rsid w:val="00961EB2"/>
    <w:rsid w:val="009620C5"/>
    <w:rsid w:val="00962276"/>
    <w:rsid w:val="00962305"/>
    <w:rsid w:val="009624F6"/>
    <w:rsid w:val="00962615"/>
    <w:rsid w:val="0096282F"/>
    <w:rsid w:val="00962A5A"/>
    <w:rsid w:val="00963021"/>
    <w:rsid w:val="0096331A"/>
    <w:rsid w:val="009633AA"/>
    <w:rsid w:val="00963BCC"/>
    <w:rsid w:val="0096435C"/>
    <w:rsid w:val="00964395"/>
    <w:rsid w:val="00964405"/>
    <w:rsid w:val="0096446E"/>
    <w:rsid w:val="00964514"/>
    <w:rsid w:val="00964840"/>
    <w:rsid w:val="00964887"/>
    <w:rsid w:val="00964BBF"/>
    <w:rsid w:val="00964D98"/>
    <w:rsid w:val="009650F3"/>
    <w:rsid w:val="00965136"/>
    <w:rsid w:val="00965301"/>
    <w:rsid w:val="0096530D"/>
    <w:rsid w:val="00965441"/>
    <w:rsid w:val="00965DE7"/>
    <w:rsid w:val="00965F68"/>
    <w:rsid w:val="00966091"/>
    <w:rsid w:val="0096609D"/>
    <w:rsid w:val="009664E6"/>
    <w:rsid w:val="00966861"/>
    <w:rsid w:val="00966AF3"/>
    <w:rsid w:val="00966B20"/>
    <w:rsid w:val="0096705F"/>
    <w:rsid w:val="00967367"/>
    <w:rsid w:val="009673CD"/>
    <w:rsid w:val="00967408"/>
    <w:rsid w:val="00967700"/>
    <w:rsid w:val="009677D2"/>
    <w:rsid w:val="0096790D"/>
    <w:rsid w:val="00967D7E"/>
    <w:rsid w:val="00967F08"/>
    <w:rsid w:val="00967FA7"/>
    <w:rsid w:val="00970009"/>
    <w:rsid w:val="009700EC"/>
    <w:rsid w:val="0097012E"/>
    <w:rsid w:val="0097013B"/>
    <w:rsid w:val="00970195"/>
    <w:rsid w:val="0097027A"/>
    <w:rsid w:val="0097027E"/>
    <w:rsid w:val="009702F8"/>
    <w:rsid w:val="0097032F"/>
    <w:rsid w:val="00970331"/>
    <w:rsid w:val="009705D5"/>
    <w:rsid w:val="0097097C"/>
    <w:rsid w:val="00970CFF"/>
    <w:rsid w:val="00971144"/>
    <w:rsid w:val="00971624"/>
    <w:rsid w:val="00971760"/>
    <w:rsid w:val="00971763"/>
    <w:rsid w:val="0097194C"/>
    <w:rsid w:val="00971B5E"/>
    <w:rsid w:val="00971E37"/>
    <w:rsid w:val="009720CA"/>
    <w:rsid w:val="009720D6"/>
    <w:rsid w:val="0097248E"/>
    <w:rsid w:val="00972626"/>
    <w:rsid w:val="00972697"/>
    <w:rsid w:val="0097269E"/>
    <w:rsid w:val="00972AE0"/>
    <w:rsid w:val="00972BD9"/>
    <w:rsid w:val="0097323B"/>
    <w:rsid w:val="009733C2"/>
    <w:rsid w:val="009737F6"/>
    <w:rsid w:val="00973919"/>
    <w:rsid w:val="009739A5"/>
    <w:rsid w:val="009739C2"/>
    <w:rsid w:val="00973E27"/>
    <w:rsid w:val="00973EB7"/>
    <w:rsid w:val="00974301"/>
    <w:rsid w:val="00974BD8"/>
    <w:rsid w:val="00974DFC"/>
    <w:rsid w:val="00974E5C"/>
    <w:rsid w:val="0097506A"/>
    <w:rsid w:val="009751D4"/>
    <w:rsid w:val="009753EE"/>
    <w:rsid w:val="0097558A"/>
    <w:rsid w:val="009755A6"/>
    <w:rsid w:val="0097567A"/>
    <w:rsid w:val="00975753"/>
    <w:rsid w:val="00975DAB"/>
    <w:rsid w:val="00975F0F"/>
    <w:rsid w:val="009763AF"/>
    <w:rsid w:val="009763BB"/>
    <w:rsid w:val="00976412"/>
    <w:rsid w:val="0097651A"/>
    <w:rsid w:val="00976609"/>
    <w:rsid w:val="009766B5"/>
    <w:rsid w:val="00976AE5"/>
    <w:rsid w:val="00976C3C"/>
    <w:rsid w:val="00976EF7"/>
    <w:rsid w:val="00976FB8"/>
    <w:rsid w:val="00977007"/>
    <w:rsid w:val="00977167"/>
    <w:rsid w:val="009772AB"/>
    <w:rsid w:val="009773C9"/>
    <w:rsid w:val="009776FB"/>
    <w:rsid w:val="00977837"/>
    <w:rsid w:val="009778B6"/>
    <w:rsid w:val="00977AB7"/>
    <w:rsid w:val="00977D8E"/>
    <w:rsid w:val="00977E78"/>
    <w:rsid w:val="00977F6D"/>
    <w:rsid w:val="009801CE"/>
    <w:rsid w:val="009802F8"/>
    <w:rsid w:val="00980559"/>
    <w:rsid w:val="009805C6"/>
    <w:rsid w:val="0098098E"/>
    <w:rsid w:val="00980B72"/>
    <w:rsid w:val="009810F1"/>
    <w:rsid w:val="009815D5"/>
    <w:rsid w:val="009818B8"/>
    <w:rsid w:val="00981999"/>
    <w:rsid w:val="00981CB3"/>
    <w:rsid w:val="00981F28"/>
    <w:rsid w:val="0098220E"/>
    <w:rsid w:val="00982907"/>
    <w:rsid w:val="009829B2"/>
    <w:rsid w:val="00982C44"/>
    <w:rsid w:val="00983248"/>
    <w:rsid w:val="009832CA"/>
    <w:rsid w:val="009832DC"/>
    <w:rsid w:val="0098370E"/>
    <w:rsid w:val="00983740"/>
    <w:rsid w:val="00983A31"/>
    <w:rsid w:val="00983A78"/>
    <w:rsid w:val="00983C09"/>
    <w:rsid w:val="00983C4E"/>
    <w:rsid w:val="009840C0"/>
    <w:rsid w:val="00984322"/>
    <w:rsid w:val="00984372"/>
    <w:rsid w:val="0098446C"/>
    <w:rsid w:val="00984649"/>
    <w:rsid w:val="00984674"/>
    <w:rsid w:val="00984872"/>
    <w:rsid w:val="009848DE"/>
    <w:rsid w:val="00984D1F"/>
    <w:rsid w:val="009851AC"/>
    <w:rsid w:val="009854E9"/>
    <w:rsid w:val="0098571C"/>
    <w:rsid w:val="00985756"/>
    <w:rsid w:val="009857E2"/>
    <w:rsid w:val="009858A7"/>
    <w:rsid w:val="00985938"/>
    <w:rsid w:val="00985DB8"/>
    <w:rsid w:val="00986098"/>
    <w:rsid w:val="00986120"/>
    <w:rsid w:val="00986B44"/>
    <w:rsid w:val="00986BE0"/>
    <w:rsid w:val="00986CD7"/>
    <w:rsid w:val="00987084"/>
    <w:rsid w:val="00987265"/>
    <w:rsid w:val="009872DD"/>
    <w:rsid w:val="00987315"/>
    <w:rsid w:val="009876C1"/>
    <w:rsid w:val="00987A44"/>
    <w:rsid w:val="00990018"/>
    <w:rsid w:val="00990178"/>
    <w:rsid w:val="0099054D"/>
    <w:rsid w:val="009905B6"/>
    <w:rsid w:val="009905D2"/>
    <w:rsid w:val="009907B0"/>
    <w:rsid w:val="009909C8"/>
    <w:rsid w:val="00990D01"/>
    <w:rsid w:val="00990E42"/>
    <w:rsid w:val="00990EE2"/>
    <w:rsid w:val="00991266"/>
    <w:rsid w:val="009913E4"/>
    <w:rsid w:val="0099157C"/>
    <w:rsid w:val="00991619"/>
    <w:rsid w:val="00991749"/>
    <w:rsid w:val="00991829"/>
    <w:rsid w:val="00991C1B"/>
    <w:rsid w:val="00991CD6"/>
    <w:rsid w:val="00991D70"/>
    <w:rsid w:val="00991F6F"/>
    <w:rsid w:val="009921E9"/>
    <w:rsid w:val="0099273B"/>
    <w:rsid w:val="0099276A"/>
    <w:rsid w:val="00992C1A"/>
    <w:rsid w:val="00992EDF"/>
    <w:rsid w:val="00993141"/>
    <w:rsid w:val="009931FC"/>
    <w:rsid w:val="00993277"/>
    <w:rsid w:val="00993282"/>
    <w:rsid w:val="00993610"/>
    <w:rsid w:val="009937D1"/>
    <w:rsid w:val="00993A99"/>
    <w:rsid w:val="00993CF9"/>
    <w:rsid w:val="00993D02"/>
    <w:rsid w:val="00993D33"/>
    <w:rsid w:val="00993E4A"/>
    <w:rsid w:val="00993EF6"/>
    <w:rsid w:val="0099409A"/>
    <w:rsid w:val="00994480"/>
    <w:rsid w:val="00994993"/>
    <w:rsid w:val="00994A7A"/>
    <w:rsid w:val="00994B23"/>
    <w:rsid w:val="00994D25"/>
    <w:rsid w:val="00994D9F"/>
    <w:rsid w:val="00994E74"/>
    <w:rsid w:val="00995375"/>
    <w:rsid w:val="0099539D"/>
    <w:rsid w:val="009953CD"/>
    <w:rsid w:val="0099571B"/>
    <w:rsid w:val="009958CB"/>
    <w:rsid w:val="00995A92"/>
    <w:rsid w:val="00995EE6"/>
    <w:rsid w:val="00995F22"/>
    <w:rsid w:val="0099628D"/>
    <w:rsid w:val="009963A5"/>
    <w:rsid w:val="00996578"/>
    <w:rsid w:val="009966AB"/>
    <w:rsid w:val="009978B7"/>
    <w:rsid w:val="009979A3"/>
    <w:rsid w:val="009979D5"/>
    <w:rsid w:val="00997A60"/>
    <w:rsid w:val="00997EE7"/>
    <w:rsid w:val="00997F1C"/>
    <w:rsid w:val="009A02BB"/>
    <w:rsid w:val="009A0632"/>
    <w:rsid w:val="009A0685"/>
    <w:rsid w:val="009A083C"/>
    <w:rsid w:val="009A0A63"/>
    <w:rsid w:val="009A0E8B"/>
    <w:rsid w:val="009A100C"/>
    <w:rsid w:val="009A13A1"/>
    <w:rsid w:val="009A144F"/>
    <w:rsid w:val="009A14FC"/>
    <w:rsid w:val="009A1515"/>
    <w:rsid w:val="009A166F"/>
    <w:rsid w:val="009A17B1"/>
    <w:rsid w:val="009A18A5"/>
    <w:rsid w:val="009A1BBE"/>
    <w:rsid w:val="009A1F4F"/>
    <w:rsid w:val="009A1FA0"/>
    <w:rsid w:val="009A210B"/>
    <w:rsid w:val="009A216D"/>
    <w:rsid w:val="009A22B2"/>
    <w:rsid w:val="009A236C"/>
    <w:rsid w:val="009A23AF"/>
    <w:rsid w:val="009A2C08"/>
    <w:rsid w:val="009A2C7E"/>
    <w:rsid w:val="009A2DA7"/>
    <w:rsid w:val="009A2E68"/>
    <w:rsid w:val="009A331D"/>
    <w:rsid w:val="009A3458"/>
    <w:rsid w:val="009A370B"/>
    <w:rsid w:val="009A3933"/>
    <w:rsid w:val="009A3D30"/>
    <w:rsid w:val="009A3D84"/>
    <w:rsid w:val="009A4449"/>
    <w:rsid w:val="009A487A"/>
    <w:rsid w:val="009A4954"/>
    <w:rsid w:val="009A4B34"/>
    <w:rsid w:val="009A4E2F"/>
    <w:rsid w:val="009A51CB"/>
    <w:rsid w:val="009A5206"/>
    <w:rsid w:val="009A5287"/>
    <w:rsid w:val="009A5371"/>
    <w:rsid w:val="009A53F9"/>
    <w:rsid w:val="009A5406"/>
    <w:rsid w:val="009A58FB"/>
    <w:rsid w:val="009A5A0E"/>
    <w:rsid w:val="009A5B03"/>
    <w:rsid w:val="009A5B69"/>
    <w:rsid w:val="009A5C43"/>
    <w:rsid w:val="009A5DB8"/>
    <w:rsid w:val="009A5F35"/>
    <w:rsid w:val="009A625D"/>
    <w:rsid w:val="009A6506"/>
    <w:rsid w:val="009A670D"/>
    <w:rsid w:val="009A6D30"/>
    <w:rsid w:val="009A6F0F"/>
    <w:rsid w:val="009A71A9"/>
    <w:rsid w:val="009A7291"/>
    <w:rsid w:val="009A72FD"/>
    <w:rsid w:val="009A73C3"/>
    <w:rsid w:val="009A7403"/>
    <w:rsid w:val="009A757C"/>
    <w:rsid w:val="009A76A0"/>
    <w:rsid w:val="009A7701"/>
    <w:rsid w:val="009A780C"/>
    <w:rsid w:val="009A780F"/>
    <w:rsid w:val="009A78D4"/>
    <w:rsid w:val="009A7A12"/>
    <w:rsid w:val="009A7BB4"/>
    <w:rsid w:val="009A7CFB"/>
    <w:rsid w:val="009A7E24"/>
    <w:rsid w:val="009A7EB3"/>
    <w:rsid w:val="009B00E3"/>
    <w:rsid w:val="009B02FE"/>
    <w:rsid w:val="009B07CA"/>
    <w:rsid w:val="009B0825"/>
    <w:rsid w:val="009B0B32"/>
    <w:rsid w:val="009B0FBD"/>
    <w:rsid w:val="009B1066"/>
    <w:rsid w:val="009B115E"/>
    <w:rsid w:val="009B1241"/>
    <w:rsid w:val="009B1397"/>
    <w:rsid w:val="009B13B1"/>
    <w:rsid w:val="009B1430"/>
    <w:rsid w:val="009B16E0"/>
    <w:rsid w:val="009B1704"/>
    <w:rsid w:val="009B1793"/>
    <w:rsid w:val="009B17AB"/>
    <w:rsid w:val="009B1862"/>
    <w:rsid w:val="009B1952"/>
    <w:rsid w:val="009B1B24"/>
    <w:rsid w:val="009B1C6B"/>
    <w:rsid w:val="009B1D71"/>
    <w:rsid w:val="009B1F35"/>
    <w:rsid w:val="009B2046"/>
    <w:rsid w:val="009B225A"/>
    <w:rsid w:val="009B2276"/>
    <w:rsid w:val="009B2333"/>
    <w:rsid w:val="009B235C"/>
    <w:rsid w:val="009B2488"/>
    <w:rsid w:val="009B2518"/>
    <w:rsid w:val="009B25D0"/>
    <w:rsid w:val="009B263A"/>
    <w:rsid w:val="009B264D"/>
    <w:rsid w:val="009B267D"/>
    <w:rsid w:val="009B28CB"/>
    <w:rsid w:val="009B2A9E"/>
    <w:rsid w:val="009B2B34"/>
    <w:rsid w:val="009B30EC"/>
    <w:rsid w:val="009B3291"/>
    <w:rsid w:val="009B3540"/>
    <w:rsid w:val="009B3545"/>
    <w:rsid w:val="009B370E"/>
    <w:rsid w:val="009B396F"/>
    <w:rsid w:val="009B3A41"/>
    <w:rsid w:val="009B3A9B"/>
    <w:rsid w:val="009B3AD3"/>
    <w:rsid w:val="009B3B6E"/>
    <w:rsid w:val="009B43B2"/>
    <w:rsid w:val="009B44AB"/>
    <w:rsid w:val="009B4616"/>
    <w:rsid w:val="009B47A2"/>
    <w:rsid w:val="009B4990"/>
    <w:rsid w:val="009B4BF9"/>
    <w:rsid w:val="009B4C39"/>
    <w:rsid w:val="009B4EB5"/>
    <w:rsid w:val="009B5178"/>
    <w:rsid w:val="009B52DB"/>
    <w:rsid w:val="009B53BE"/>
    <w:rsid w:val="009B56AB"/>
    <w:rsid w:val="009B594C"/>
    <w:rsid w:val="009B5B62"/>
    <w:rsid w:val="009B5F74"/>
    <w:rsid w:val="009B61DA"/>
    <w:rsid w:val="009B624F"/>
    <w:rsid w:val="009B63F0"/>
    <w:rsid w:val="009B63F7"/>
    <w:rsid w:val="009B6430"/>
    <w:rsid w:val="009B6795"/>
    <w:rsid w:val="009B6821"/>
    <w:rsid w:val="009B6AC8"/>
    <w:rsid w:val="009B6AD3"/>
    <w:rsid w:val="009B6B9B"/>
    <w:rsid w:val="009B6BA5"/>
    <w:rsid w:val="009B6C35"/>
    <w:rsid w:val="009B6E77"/>
    <w:rsid w:val="009B6EE0"/>
    <w:rsid w:val="009B7010"/>
    <w:rsid w:val="009B71CC"/>
    <w:rsid w:val="009B71D4"/>
    <w:rsid w:val="009B7459"/>
    <w:rsid w:val="009B7931"/>
    <w:rsid w:val="009C00D2"/>
    <w:rsid w:val="009C016A"/>
    <w:rsid w:val="009C01E9"/>
    <w:rsid w:val="009C01FE"/>
    <w:rsid w:val="009C0365"/>
    <w:rsid w:val="009C058E"/>
    <w:rsid w:val="009C09EA"/>
    <w:rsid w:val="009C0A7B"/>
    <w:rsid w:val="009C0AA4"/>
    <w:rsid w:val="009C0B48"/>
    <w:rsid w:val="009C0CE6"/>
    <w:rsid w:val="009C0FCD"/>
    <w:rsid w:val="009C1077"/>
    <w:rsid w:val="009C1135"/>
    <w:rsid w:val="009C11D7"/>
    <w:rsid w:val="009C124B"/>
    <w:rsid w:val="009C17A1"/>
    <w:rsid w:val="009C18A8"/>
    <w:rsid w:val="009C1F39"/>
    <w:rsid w:val="009C21D5"/>
    <w:rsid w:val="009C223D"/>
    <w:rsid w:val="009C2352"/>
    <w:rsid w:val="009C27D3"/>
    <w:rsid w:val="009C2B27"/>
    <w:rsid w:val="009C2EED"/>
    <w:rsid w:val="009C3064"/>
    <w:rsid w:val="009C32D4"/>
    <w:rsid w:val="009C33A3"/>
    <w:rsid w:val="009C3429"/>
    <w:rsid w:val="009C349A"/>
    <w:rsid w:val="009C37E3"/>
    <w:rsid w:val="009C3868"/>
    <w:rsid w:val="009C3FCD"/>
    <w:rsid w:val="009C4105"/>
    <w:rsid w:val="009C46CA"/>
    <w:rsid w:val="009C46F8"/>
    <w:rsid w:val="009C485B"/>
    <w:rsid w:val="009C4885"/>
    <w:rsid w:val="009C49EE"/>
    <w:rsid w:val="009C52DE"/>
    <w:rsid w:val="009C56D9"/>
    <w:rsid w:val="009C5905"/>
    <w:rsid w:val="009C5D3E"/>
    <w:rsid w:val="009C5F88"/>
    <w:rsid w:val="009C6086"/>
    <w:rsid w:val="009C6478"/>
    <w:rsid w:val="009C6A0D"/>
    <w:rsid w:val="009C6B5A"/>
    <w:rsid w:val="009C6C74"/>
    <w:rsid w:val="009C6E62"/>
    <w:rsid w:val="009C71CC"/>
    <w:rsid w:val="009C730E"/>
    <w:rsid w:val="009C76BC"/>
    <w:rsid w:val="009C7790"/>
    <w:rsid w:val="009C7877"/>
    <w:rsid w:val="009C795A"/>
    <w:rsid w:val="009C79FA"/>
    <w:rsid w:val="009C7BFA"/>
    <w:rsid w:val="009C7E16"/>
    <w:rsid w:val="009C7EA1"/>
    <w:rsid w:val="009C7EFF"/>
    <w:rsid w:val="009D00B4"/>
    <w:rsid w:val="009D0135"/>
    <w:rsid w:val="009D01DD"/>
    <w:rsid w:val="009D077F"/>
    <w:rsid w:val="009D0943"/>
    <w:rsid w:val="009D11B3"/>
    <w:rsid w:val="009D16FC"/>
    <w:rsid w:val="009D17AD"/>
    <w:rsid w:val="009D1828"/>
    <w:rsid w:val="009D18FA"/>
    <w:rsid w:val="009D1BC9"/>
    <w:rsid w:val="009D1CEF"/>
    <w:rsid w:val="009D1D76"/>
    <w:rsid w:val="009D1DC8"/>
    <w:rsid w:val="009D1F17"/>
    <w:rsid w:val="009D2007"/>
    <w:rsid w:val="009D2013"/>
    <w:rsid w:val="009D21FE"/>
    <w:rsid w:val="009D2362"/>
    <w:rsid w:val="009D246B"/>
    <w:rsid w:val="009D263A"/>
    <w:rsid w:val="009D2787"/>
    <w:rsid w:val="009D2941"/>
    <w:rsid w:val="009D294F"/>
    <w:rsid w:val="009D2A4B"/>
    <w:rsid w:val="009D2A6F"/>
    <w:rsid w:val="009D2B29"/>
    <w:rsid w:val="009D2B4D"/>
    <w:rsid w:val="009D3777"/>
    <w:rsid w:val="009D391E"/>
    <w:rsid w:val="009D3985"/>
    <w:rsid w:val="009D3A57"/>
    <w:rsid w:val="009D3AD2"/>
    <w:rsid w:val="009D3B73"/>
    <w:rsid w:val="009D3E9B"/>
    <w:rsid w:val="009D40A7"/>
    <w:rsid w:val="009D4124"/>
    <w:rsid w:val="009D421E"/>
    <w:rsid w:val="009D437B"/>
    <w:rsid w:val="009D4706"/>
    <w:rsid w:val="009D4943"/>
    <w:rsid w:val="009D497D"/>
    <w:rsid w:val="009D4A33"/>
    <w:rsid w:val="009D4D40"/>
    <w:rsid w:val="009D5092"/>
    <w:rsid w:val="009D5697"/>
    <w:rsid w:val="009D571D"/>
    <w:rsid w:val="009D5931"/>
    <w:rsid w:val="009D5A20"/>
    <w:rsid w:val="009D5BED"/>
    <w:rsid w:val="009D5C05"/>
    <w:rsid w:val="009D5D6A"/>
    <w:rsid w:val="009D6448"/>
    <w:rsid w:val="009D65EF"/>
    <w:rsid w:val="009D6785"/>
    <w:rsid w:val="009D7077"/>
    <w:rsid w:val="009D7116"/>
    <w:rsid w:val="009D7596"/>
    <w:rsid w:val="009D773A"/>
    <w:rsid w:val="009D77D5"/>
    <w:rsid w:val="009D77FB"/>
    <w:rsid w:val="009D7930"/>
    <w:rsid w:val="009D79C2"/>
    <w:rsid w:val="009D7C65"/>
    <w:rsid w:val="009E0024"/>
    <w:rsid w:val="009E00D5"/>
    <w:rsid w:val="009E01C5"/>
    <w:rsid w:val="009E0460"/>
    <w:rsid w:val="009E0512"/>
    <w:rsid w:val="009E0712"/>
    <w:rsid w:val="009E0D21"/>
    <w:rsid w:val="009E0D6E"/>
    <w:rsid w:val="009E0D73"/>
    <w:rsid w:val="009E11E1"/>
    <w:rsid w:val="009E136D"/>
    <w:rsid w:val="009E1388"/>
    <w:rsid w:val="009E169B"/>
    <w:rsid w:val="009E1767"/>
    <w:rsid w:val="009E1A8E"/>
    <w:rsid w:val="009E1B28"/>
    <w:rsid w:val="009E1BCA"/>
    <w:rsid w:val="009E1BD3"/>
    <w:rsid w:val="009E1D4B"/>
    <w:rsid w:val="009E214B"/>
    <w:rsid w:val="009E21EF"/>
    <w:rsid w:val="009E248A"/>
    <w:rsid w:val="009E24CA"/>
    <w:rsid w:val="009E291A"/>
    <w:rsid w:val="009E2BC0"/>
    <w:rsid w:val="009E2BD3"/>
    <w:rsid w:val="009E2C0A"/>
    <w:rsid w:val="009E2C12"/>
    <w:rsid w:val="009E2D0B"/>
    <w:rsid w:val="009E2E7F"/>
    <w:rsid w:val="009E2EA2"/>
    <w:rsid w:val="009E317D"/>
    <w:rsid w:val="009E3301"/>
    <w:rsid w:val="009E3419"/>
    <w:rsid w:val="009E3ED4"/>
    <w:rsid w:val="009E4095"/>
    <w:rsid w:val="009E4719"/>
    <w:rsid w:val="009E487B"/>
    <w:rsid w:val="009E4966"/>
    <w:rsid w:val="009E4C0B"/>
    <w:rsid w:val="009E5083"/>
    <w:rsid w:val="009E51E9"/>
    <w:rsid w:val="009E52B3"/>
    <w:rsid w:val="009E560A"/>
    <w:rsid w:val="009E5920"/>
    <w:rsid w:val="009E59BA"/>
    <w:rsid w:val="009E606F"/>
    <w:rsid w:val="009E648D"/>
    <w:rsid w:val="009E64D1"/>
    <w:rsid w:val="009E6553"/>
    <w:rsid w:val="009E69F9"/>
    <w:rsid w:val="009E6C3E"/>
    <w:rsid w:val="009E6F06"/>
    <w:rsid w:val="009E6FB7"/>
    <w:rsid w:val="009E7348"/>
    <w:rsid w:val="009E7839"/>
    <w:rsid w:val="009E783F"/>
    <w:rsid w:val="009E7A4A"/>
    <w:rsid w:val="009E7C87"/>
    <w:rsid w:val="009E7CD3"/>
    <w:rsid w:val="009E7D18"/>
    <w:rsid w:val="009E7E17"/>
    <w:rsid w:val="009F0094"/>
    <w:rsid w:val="009F0585"/>
    <w:rsid w:val="009F090D"/>
    <w:rsid w:val="009F09E1"/>
    <w:rsid w:val="009F0AA5"/>
    <w:rsid w:val="009F0C6B"/>
    <w:rsid w:val="009F1066"/>
    <w:rsid w:val="009F106C"/>
    <w:rsid w:val="009F11F4"/>
    <w:rsid w:val="009F139F"/>
    <w:rsid w:val="009F190F"/>
    <w:rsid w:val="009F2537"/>
    <w:rsid w:val="009F260A"/>
    <w:rsid w:val="009F28C7"/>
    <w:rsid w:val="009F2FCC"/>
    <w:rsid w:val="009F3862"/>
    <w:rsid w:val="009F387A"/>
    <w:rsid w:val="009F3897"/>
    <w:rsid w:val="009F3AAD"/>
    <w:rsid w:val="009F3F4A"/>
    <w:rsid w:val="009F3F7B"/>
    <w:rsid w:val="009F43C2"/>
    <w:rsid w:val="009F495B"/>
    <w:rsid w:val="009F4AB5"/>
    <w:rsid w:val="009F4CBF"/>
    <w:rsid w:val="009F4F6C"/>
    <w:rsid w:val="009F5111"/>
    <w:rsid w:val="009F5613"/>
    <w:rsid w:val="009F569E"/>
    <w:rsid w:val="009F5839"/>
    <w:rsid w:val="009F58AA"/>
    <w:rsid w:val="009F5A8D"/>
    <w:rsid w:val="009F5E07"/>
    <w:rsid w:val="009F5E66"/>
    <w:rsid w:val="009F5FA3"/>
    <w:rsid w:val="009F5FBA"/>
    <w:rsid w:val="009F6066"/>
    <w:rsid w:val="009F670E"/>
    <w:rsid w:val="009F67DE"/>
    <w:rsid w:val="009F680B"/>
    <w:rsid w:val="009F6867"/>
    <w:rsid w:val="009F6AA5"/>
    <w:rsid w:val="009F6F7F"/>
    <w:rsid w:val="009F764D"/>
    <w:rsid w:val="009F7A3D"/>
    <w:rsid w:val="009F7A8D"/>
    <w:rsid w:val="009F7F58"/>
    <w:rsid w:val="00A00C65"/>
    <w:rsid w:val="00A01054"/>
    <w:rsid w:val="00A010A7"/>
    <w:rsid w:val="00A01290"/>
    <w:rsid w:val="00A0129D"/>
    <w:rsid w:val="00A01314"/>
    <w:rsid w:val="00A016AF"/>
    <w:rsid w:val="00A0197C"/>
    <w:rsid w:val="00A01B9D"/>
    <w:rsid w:val="00A01E4A"/>
    <w:rsid w:val="00A01FA6"/>
    <w:rsid w:val="00A02120"/>
    <w:rsid w:val="00A0224E"/>
    <w:rsid w:val="00A022A7"/>
    <w:rsid w:val="00A0256B"/>
    <w:rsid w:val="00A029F4"/>
    <w:rsid w:val="00A02BE8"/>
    <w:rsid w:val="00A02CDE"/>
    <w:rsid w:val="00A0356D"/>
    <w:rsid w:val="00A0359E"/>
    <w:rsid w:val="00A03717"/>
    <w:rsid w:val="00A0372D"/>
    <w:rsid w:val="00A03779"/>
    <w:rsid w:val="00A037A9"/>
    <w:rsid w:val="00A037E2"/>
    <w:rsid w:val="00A03915"/>
    <w:rsid w:val="00A03C83"/>
    <w:rsid w:val="00A04D72"/>
    <w:rsid w:val="00A04FF9"/>
    <w:rsid w:val="00A0516A"/>
    <w:rsid w:val="00A0580C"/>
    <w:rsid w:val="00A059B5"/>
    <w:rsid w:val="00A05A08"/>
    <w:rsid w:val="00A05B0B"/>
    <w:rsid w:val="00A05D66"/>
    <w:rsid w:val="00A05FAD"/>
    <w:rsid w:val="00A06056"/>
    <w:rsid w:val="00A06526"/>
    <w:rsid w:val="00A0688C"/>
    <w:rsid w:val="00A07BB9"/>
    <w:rsid w:val="00A07CBA"/>
    <w:rsid w:val="00A07CED"/>
    <w:rsid w:val="00A07E76"/>
    <w:rsid w:val="00A10499"/>
    <w:rsid w:val="00A1063B"/>
    <w:rsid w:val="00A106F8"/>
    <w:rsid w:val="00A10A83"/>
    <w:rsid w:val="00A10AA6"/>
    <w:rsid w:val="00A10C4E"/>
    <w:rsid w:val="00A10FF5"/>
    <w:rsid w:val="00A111BC"/>
    <w:rsid w:val="00A11707"/>
    <w:rsid w:val="00A1198A"/>
    <w:rsid w:val="00A11F4E"/>
    <w:rsid w:val="00A1201D"/>
    <w:rsid w:val="00A120F3"/>
    <w:rsid w:val="00A12285"/>
    <w:rsid w:val="00A1245E"/>
    <w:rsid w:val="00A124A6"/>
    <w:rsid w:val="00A125FB"/>
    <w:rsid w:val="00A1267E"/>
    <w:rsid w:val="00A12791"/>
    <w:rsid w:val="00A127BE"/>
    <w:rsid w:val="00A12A84"/>
    <w:rsid w:val="00A12E40"/>
    <w:rsid w:val="00A12F0A"/>
    <w:rsid w:val="00A13135"/>
    <w:rsid w:val="00A131E7"/>
    <w:rsid w:val="00A13473"/>
    <w:rsid w:val="00A13BA1"/>
    <w:rsid w:val="00A14084"/>
    <w:rsid w:val="00A1410F"/>
    <w:rsid w:val="00A141F3"/>
    <w:rsid w:val="00A14275"/>
    <w:rsid w:val="00A14398"/>
    <w:rsid w:val="00A1473C"/>
    <w:rsid w:val="00A14845"/>
    <w:rsid w:val="00A14905"/>
    <w:rsid w:val="00A14E13"/>
    <w:rsid w:val="00A151DA"/>
    <w:rsid w:val="00A1538A"/>
    <w:rsid w:val="00A15523"/>
    <w:rsid w:val="00A15654"/>
    <w:rsid w:val="00A1573D"/>
    <w:rsid w:val="00A1582B"/>
    <w:rsid w:val="00A158EC"/>
    <w:rsid w:val="00A158FD"/>
    <w:rsid w:val="00A15DBD"/>
    <w:rsid w:val="00A15F03"/>
    <w:rsid w:val="00A15F13"/>
    <w:rsid w:val="00A1606D"/>
    <w:rsid w:val="00A161A2"/>
    <w:rsid w:val="00A163FA"/>
    <w:rsid w:val="00A164FB"/>
    <w:rsid w:val="00A167A7"/>
    <w:rsid w:val="00A16FDE"/>
    <w:rsid w:val="00A173B3"/>
    <w:rsid w:val="00A1773F"/>
    <w:rsid w:val="00A17A65"/>
    <w:rsid w:val="00A17E00"/>
    <w:rsid w:val="00A20045"/>
    <w:rsid w:val="00A20221"/>
    <w:rsid w:val="00A20824"/>
    <w:rsid w:val="00A20A17"/>
    <w:rsid w:val="00A20C6F"/>
    <w:rsid w:val="00A20D7A"/>
    <w:rsid w:val="00A2136E"/>
    <w:rsid w:val="00A215CB"/>
    <w:rsid w:val="00A21662"/>
    <w:rsid w:val="00A216BC"/>
    <w:rsid w:val="00A21840"/>
    <w:rsid w:val="00A21848"/>
    <w:rsid w:val="00A21D35"/>
    <w:rsid w:val="00A2226B"/>
    <w:rsid w:val="00A222F3"/>
    <w:rsid w:val="00A22350"/>
    <w:rsid w:val="00A22750"/>
    <w:rsid w:val="00A228C8"/>
    <w:rsid w:val="00A228F0"/>
    <w:rsid w:val="00A22B60"/>
    <w:rsid w:val="00A22C48"/>
    <w:rsid w:val="00A22D6F"/>
    <w:rsid w:val="00A22DFE"/>
    <w:rsid w:val="00A22E78"/>
    <w:rsid w:val="00A23526"/>
    <w:rsid w:val="00A237D9"/>
    <w:rsid w:val="00A2384D"/>
    <w:rsid w:val="00A23A5B"/>
    <w:rsid w:val="00A23AAA"/>
    <w:rsid w:val="00A23B35"/>
    <w:rsid w:val="00A23E70"/>
    <w:rsid w:val="00A24004"/>
    <w:rsid w:val="00A2412A"/>
    <w:rsid w:val="00A24329"/>
    <w:rsid w:val="00A244C7"/>
    <w:rsid w:val="00A2459E"/>
    <w:rsid w:val="00A246B1"/>
    <w:rsid w:val="00A24D1D"/>
    <w:rsid w:val="00A253AD"/>
    <w:rsid w:val="00A2568B"/>
    <w:rsid w:val="00A25856"/>
    <w:rsid w:val="00A25BF9"/>
    <w:rsid w:val="00A26057"/>
    <w:rsid w:val="00A26427"/>
    <w:rsid w:val="00A26585"/>
    <w:rsid w:val="00A26886"/>
    <w:rsid w:val="00A2688A"/>
    <w:rsid w:val="00A270E6"/>
    <w:rsid w:val="00A27277"/>
    <w:rsid w:val="00A272A7"/>
    <w:rsid w:val="00A272BD"/>
    <w:rsid w:val="00A2750A"/>
    <w:rsid w:val="00A2763C"/>
    <w:rsid w:val="00A2773D"/>
    <w:rsid w:val="00A279CE"/>
    <w:rsid w:val="00A27B14"/>
    <w:rsid w:val="00A27E94"/>
    <w:rsid w:val="00A300BC"/>
    <w:rsid w:val="00A300E4"/>
    <w:rsid w:val="00A30342"/>
    <w:rsid w:val="00A30443"/>
    <w:rsid w:val="00A30736"/>
    <w:rsid w:val="00A30C5B"/>
    <w:rsid w:val="00A30DBC"/>
    <w:rsid w:val="00A30EE8"/>
    <w:rsid w:val="00A30F40"/>
    <w:rsid w:val="00A311A5"/>
    <w:rsid w:val="00A3123D"/>
    <w:rsid w:val="00A31721"/>
    <w:rsid w:val="00A3177D"/>
    <w:rsid w:val="00A31CDD"/>
    <w:rsid w:val="00A31D90"/>
    <w:rsid w:val="00A32058"/>
    <w:rsid w:val="00A32138"/>
    <w:rsid w:val="00A321B1"/>
    <w:rsid w:val="00A32329"/>
    <w:rsid w:val="00A32440"/>
    <w:rsid w:val="00A32593"/>
    <w:rsid w:val="00A3273D"/>
    <w:rsid w:val="00A32790"/>
    <w:rsid w:val="00A32A63"/>
    <w:rsid w:val="00A32B32"/>
    <w:rsid w:val="00A32C09"/>
    <w:rsid w:val="00A32EF2"/>
    <w:rsid w:val="00A33520"/>
    <w:rsid w:val="00A337AC"/>
    <w:rsid w:val="00A337BA"/>
    <w:rsid w:val="00A3407F"/>
    <w:rsid w:val="00A34F07"/>
    <w:rsid w:val="00A34F94"/>
    <w:rsid w:val="00A353B1"/>
    <w:rsid w:val="00A356B2"/>
    <w:rsid w:val="00A357C2"/>
    <w:rsid w:val="00A359F5"/>
    <w:rsid w:val="00A35D0A"/>
    <w:rsid w:val="00A35D44"/>
    <w:rsid w:val="00A35FC0"/>
    <w:rsid w:val="00A3606E"/>
    <w:rsid w:val="00A368AC"/>
    <w:rsid w:val="00A36AD8"/>
    <w:rsid w:val="00A36DB6"/>
    <w:rsid w:val="00A37063"/>
    <w:rsid w:val="00A370DC"/>
    <w:rsid w:val="00A37108"/>
    <w:rsid w:val="00A37491"/>
    <w:rsid w:val="00A3753E"/>
    <w:rsid w:val="00A375F3"/>
    <w:rsid w:val="00A37AE0"/>
    <w:rsid w:val="00A37B1A"/>
    <w:rsid w:val="00A37FB5"/>
    <w:rsid w:val="00A40003"/>
    <w:rsid w:val="00A4011B"/>
    <w:rsid w:val="00A40468"/>
    <w:rsid w:val="00A40586"/>
    <w:rsid w:val="00A40903"/>
    <w:rsid w:val="00A40ADF"/>
    <w:rsid w:val="00A40B61"/>
    <w:rsid w:val="00A40C83"/>
    <w:rsid w:val="00A40F3F"/>
    <w:rsid w:val="00A410A1"/>
    <w:rsid w:val="00A41341"/>
    <w:rsid w:val="00A41381"/>
    <w:rsid w:val="00A413F8"/>
    <w:rsid w:val="00A41406"/>
    <w:rsid w:val="00A414BF"/>
    <w:rsid w:val="00A415AE"/>
    <w:rsid w:val="00A41787"/>
    <w:rsid w:val="00A417F3"/>
    <w:rsid w:val="00A41A4E"/>
    <w:rsid w:val="00A41DC0"/>
    <w:rsid w:val="00A41DEB"/>
    <w:rsid w:val="00A4217E"/>
    <w:rsid w:val="00A42570"/>
    <w:rsid w:val="00A426A3"/>
    <w:rsid w:val="00A42893"/>
    <w:rsid w:val="00A428AA"/>
    <w:rsid w:val="00A42977"/>
    <w:rsid w:val="00A42A19"/>
    <w:rsid w:val="00A42B29"/>
    <w:rsid w:val="00A42BDC"/>
    <w:rsid w:val="00A42CE9"/>
    <w:rsid w:val="00A42FB7"/>
    <w:rsid w:val="00A42FD1"/>
    <w:rsid w:val="00A43336"/>
    <w:rsid w:val="00A433DF"/>
    <w:rsid w:val="00A4386C"/>
    <w:rsid w:val="00A43997"/>
    <w:rsid w:val="00A43CB6"/>
    <w:rsid w:val="00A43D2A"/>
    <w:rsid w:val="00A43D59"/>
    <w:rsid w:val="00A43DF2"/>
    <w:rsid w:val="00A43E5F"/>
    <w:rsid w:val="00A43EC4"/>
    <w:rsid w:val="00A43F56"/>
    <w:rsid w:val="00A443A4"/>
    <w:rsid w:val="00A443A8"/>
    <w:rsid w:val="00A443D0"/>
    <w:rsid w:val="00A44AE2"/>
    <w:rsid w:val="00A44B03"/>
    <w:rsid w:val="00A44CBD"/>
    <w:rsid w:val="00A44EBB"/>
    <w:rsid w:val="00A44F41"/>
    <w:rsid w:val="00A44F97"/>
    <w:rsid w:val="00A450AA"/>
    <w:rsid w:val="00A451A2"/>
    <w:rsid w:val="00A45238"/>
    <w:rsid w:val="00A455D9"/>
    <w:rsid w:val="00A455E4"/>
    <w:rsid w:val="00A45760"/>
    <w:rsid w:val="00A457D1"/>
    <w:rsid w:val="00A45C1B"/>
    <w:rsid w:val="00A45D69"/>
    <w:rsid w:val="00A45DD4"/>
    <w:rsid w:val="00A45F52"/>
    <w:rsid w:val="00A46080"/>
    <w:rsid w:val="00A4613A"/>
    <w:rsid w:val="00A462D3"/>
    <w:rsid w:val="00A4699D"/>
    <w:rsid w:val="00A46AD1"/>
    <w:rsid w:val="00A46AE5"/>
    <w:rsid w:val="00A46F2D"/>
    <w:rsid w:val="00A46F6D"/>
    <w:rsid w:val="00A46FDC"/>
    <w:rsid w:val="00A46FFA"/>
    <w:rsid w:val="00A47417"/>
    <w:rsid w:val="00A475EE"/>
    <w:rsid w:val="00A4783D"/>
    <w:rsid w:val="00A478CC"/>
    <w:rsid w:val="00A47B05"/>
    <w:rsid w:val="00A47BBA"/>
    <w:rsid w:val="00A47C46"/>
    <w:rsid w:val="00A47DC9"/>
    <w:rsid w:val="00A5041C"/>
    <w:rsid w:val="00A50690"/>
    <w:rsid w:val="00A5085B"/>
    <w:rsid w:val="00A50AC1"/>
    <w:rsid w:val="00A50AF4"/>
    <w:rsid w:val="00A50B8C"/>
    <w:rsid w:val="00A50F43"/>
    <w:rsid w:val="00A51014"/>
    <w:rsid w:val="00A51185"/>
    <w:rsid w:val="00A51365"/>
    <w:rsid w:val="00A513DD"/>
    <w:rsid w:val="00A51573"/>
    <w:rsid w:val="00A516B8"/>
    <w:rsid w:val="00A5173F"/>
    <w:rsid w:val="00A51A13"/>
    <w:rsid w:val="00A51DA8"/>
    <w:rsid w:val="00A51DEE"/>
    <w:rsid w:val="00A51E51"/>
    <w:rsid w:val="00A51ECF"/>
    <w:rsid w:val="00A52257"/>
    <w:rsid w:val="00A5228E"/>
    <w:rsid w:val="00A52296"/>
    <w:rsid w:val="00A52740"/>
    <w:rsid w:val="00A52757"/>
    <w:rsid w:val="00A52913"/>
    <w:rsid w:val="00A52C5F"/>
    <w:rsid w:val="00A52C64"/>
    <w:rsid w:val="00A52F9F"/>
    <w:rsid w:val="00A52FA5"/>
    <w:rsid w:val="00A53046"/>
    <w:rsid w:val="00A535D8"/>
    <w:rsid w:val="00A53675"/>
    <w:rsid w:val="00A536AF"/>
    <w:rsid w:val="00A537FA"/>
    <w:rsid w:val="00A5383B"/>
    <w:rsid w:val="00A538F3"/>
    <w:rsid w:val="00A5434D"/>
    <w:rsid w:val="00A54494"/>
    <w:rsid w:val="00A547B3"/>
    <w:rsid w:val="00A54ABE"/>
    <w:rsid w:val="00A54DE0"/>
    <w:rsid w:val="00A551B1"/>
    <w:rsid w:val="00A55356"/>
    <w:rsid w:val="00A553FB"/>
    <w:rsid w:val="00A5551A"/>
    <w:rsid w:val="00A55ABF"/>
    <w:rsid w:val="00A55AF8"/>
    <w:rsid w:val="00A55B5C"/>
    <w:rsid w:val="00A55C61"/>
    <w:rsid w:val="00A563C4"/>
    <w:rsid w:val="00A56A91"/>
    <w:rsid w:val="00A56DBF"/>
    <w:rsid w:val="00A57160"/>
    <w:rsid w:val="00A57216"/>
    <w:rsid w:val="00A5723E"/>
    <w:rsid w:val="00A5749A"/>
    <w:rsid w:val="00A575A9"/>
    <w:rsid w:val="00A57B36"/>
    <w:rsid w:val="00A57BDF"/>
    <w:rsid w:val="00A57FB6"/>
    <w:rsid w:val="00A601AD"/>
    <w:rsid w:val="00A602D0"/>
    <w:rsid w:val="00A606C3"/>
    <w:rsid w:val="00A608E7"/>
    <w:rsid w:val="00A60E14"/>
    <w:rsid w:val="00A60E3B"/>
    <w:rsid w:val="00A60F31"/>
    <w:rsid w:val="00A611FF"/>
    <w:rsid w:val="00A61301"/>
    <w:rsid w:val="00A6170A"/>
    <w:rsid w:val="00A617D3"/>
    <w:rsid w:val="00A61A2B"/>
    <w:rsid w:val="00A61A34"/>
    <w:rsid w:val="00A61C90"/>
    <w:rsid w:val="00A6211F"/>
    <w:rsid w:val="00A621D1"/>
    <w:rsid w:val="00A6220C"/>
    <w:rsid w:val="00A62317"/>
    <w:rsid w:val="00A62438"/>
    <w:rsid w:val="00A624A1"/>
    <w:rsid w:val="00A62989"/>
    <w:rsid w:val="00A62F23"/>
    <w:rsid w:val="00A62FCF"/>
    <w:rsid w:val="00A63094"/>
    <w:rsid w:val="00A6309D"/>
    <w:rsid w:val="00A633D9"/>
    <w:rsid w:val="00A6341C"/>
    <w:rsid w:val="00A635BA"/>
    <w:rsid w:val="00A63715"/>
    <w:rsid w:val="00A63806"/>
    <w:rsid w:val="00A6385C"/>
    <w:rsid w:val="00A639E3"/>
    <w:rsid w:val="00A63D16"/>
    <w:rsid w:val="00A63FB5"/>
    <w:rsid w:val="00A64011"/>
    <w:rsid w:val="00A6462D"/>
    <w:rsid w:val="00A6474D"/>
    <w:rsid w:val="00A647E4"/>
    <w:rsid w:val="00A648A0"/>
    <w:rsid w:val="00A64A26"/>
    <w:rsid w:val="00A64A36"/>
    <w:rsid w:val="00A64F26"/>
    <w:rsid w:val="00A652CF"/>
    <w:rsid w:val="00A6554F"/>
    <w:rsid w:val="00A65AC9"/>
    <w:rsid w:val="00A65B5F"/>
    <w:rsid w:val="00A65B67"/>
    <w:rsid w:val="00A65C5B"/>
    <w:rsid w:val="00A65CFA"/>
    <w:rsid w:val="00A65DC9"/>
    <w:rsid w:val="00A65E19"/>
    <w:rsid w:val="00A65E7C"/>
    <w:rsid w:val="00A661C3"/>
    <w:rsid w:val="00A66B95"/>
    <w:rsid w:val="00A66C5B"/>
    <w:rsid w:val="00A673A8"/>
    <w:rsid w:val="00A67404"/>
    <w:rsid w:val="00A675CA"/>
    <w:rsid w:val="00A677D1"/>
    <w:rsid w:val="00A67813"/>
    <w:rsid w:val="00A679BD"/>
    <w:rsid w:val="00A67A2C"/>
    <w:rsid w:val="00A67D44"/>
    <w:rsid w:val="00A70028"/>
    <w:rsid w:val="00A7015B"/>
    <w:rsid w:val="00A703D8"/>
    <w:rsid w:val="00A7057D"/>
    <w:rsid w:val="00A705C4"/>
    <w:rsid w:val="00A70713"/>
    <w:rsid w:val="00A70757"/>
    <w:rsid w:val="00A70A9B"/>
    <w:rsid w:val="00A70AE6"/>
    <w:rsid w:val="00A70F76"/>
    <w:rsid w:val="00A7116B"/>
    <w:rsid w:val="00A71517"/>
    <w:rsid w:val="00A71670"/>
    <w:rsid w:val="00A7176B"/>
    <w:rsid w:val="00A71771"/>
    <w:rsid w:val="00A71D1D"/>
    <w:rsid w:val="00A71DDE"/>
    <w:rsid w:val="00A71EE6"/>
    <w:rsid w:val="00A7218E"/>
    <w:rsid w:val="00A7226A"/>
    <w:rsid w:val="00A7232D"/>
    <w:rsid w:val="00A7257B"/>
    <w:rsid w:val="00A72699"/>
    <w:rsid w:val="00A72893"/>
    <w:rsid w:val="00A72CEB"/>
    <w:rsid w:val="00A7305A"/>
    <w:rsid w:val="00A731DA"/>
    <w:rsid w:val="00A732CE"/>
    <w:rsid w:val="00A7375B"/>
    <w:rsid w:val="00A73A1B"/>
    <w:rsid w:val="00A73BCE"/>
    <w:rsid w:val="00A73CCA"/>
    <w:rsid w:val="00A73D14"/>
    <w:rsid w:val="00A73D96"/>
    <w:rsid w:val="00A73F7E"/>
    <w:rsid w:val="00A7451D"/>
    <w:rsid w:val="00A750D7"/>
    <w:rsid w:val="00A7514B"/>
    <w:rsid w:val="00A751B2"/>
    <w:rsid w:val="00A753A6"/>
    <w:rsid w:val="00A754E7"/>
    <w:rsid w:val="00A75523"/>
    <w:rsid w:val="00A75703"/>
    <w:rsid w:val="00A7585A"/>
    <w:rsid w:val="00A758A6"/>
    <w:rsid w:val="00A7595C"/>
    <w:rsid w:val="00A75A42"/>
    <w:rsid w:val="00A75C44"/>
    <w:rsid w:val="00A75D0A"/>
    <w:rsid w:val="00A75E13"/>
    <w:rsid w:val="00A75E55"/>
    <w:rsid w:val="00A7605E"/>
    <w:rsid w:val="00A7647C"/>
    <w:rsid w:val="00A76508"/>
    <w:rsid w:val="00A7660F"/>
    <w:rsid w:val="00A76758"/>
    <w:rsid w:val="00A76776"/>
    <w:rsid w:val="00A769E9"/>
    <w:rsid w:val="00A76D09"/>
    <w:rsid w:val="00A76FD4"/>
    <w:rsid w:val="00A770F0"/>
    <w:rsid w:val="00A7714E"/>
    <w:rsid w:val="00A774D3"/>
    <w:rsid w:val="00A77536"/>
    <w:rsid w:val="00A77670"/>
    <w:rsid w:val="00A777CE"/>
    <w:rsid w:val="00A777E8"/>
    <w:rsid w:val="00A777F6"/>
    <w:rsid w:val="00A77DC4"/>
    <w:rsid w:val="00A803D3"/>
    <w:rsid w:val="00A80686"/>
    <w:rsid w:val="00A80B7B"/>
    <w:rsid w:val="00A80BA4"/>
    <w:rsid w:val="00A8140C"/>
    <w:rsid w:val="00A814C1"/>
    <w:rsid w:val="00A81609"/>
    <w:rsid w:val="00A817E5"/>
    <w:rsid w:val="00A81FA1"/>
    <w:rsid w:val="00A81FBF"/>
    <w:rsid w:val="00A82130"/>
    <w:rsid w:val="00A82200"/>
    <w:rsid w:val="00A8221F"/>
    <w:rsid w:val="00A8222B"/>
    <w:rsid w:val="00A8234C"/>
    <w:rsid w:val="00A82495"/>
    <w:rsid w:val="00A82567"/>
    <w:rsid w:val="00A825EB"/>
    <w:rsid w:val="00A826AE"/>
    <w:rsid w:val="00A82DC0"/>
    <w:rsid w:val="00A82E2E"/>
    <w:rsid w:val="00A82E36"/>
    <w:rsid w:val="00A8305A"/>
    <w:rsid w:val="00A8313C"/>
    <w:rsid w:val="00A83C24"/>
    <w:rsid w:val="00A83D82"/>
    <w:rsid w:val="00A83DC6"/>
    <w:rsid w:val="00A84170"/>
    <w:rsid w:val="00A84FD0"/>
    <w:rsid w:val="00A85296"/>
    <w:rsid w:val="00A855F5"/>
    <w:rsid w:val="00A856A9"/>
    <w:rsid w:val="00A85731"/>
    <w:rsid w:val="00A85E99"/>
    <w:rsid w:val="00A85FEC"/>
    <w:rsid w:val="00A86219"/>
    <w:rsid w:val="00A86551"/>
    <w:rsid w:val="00A86607"/>
    <w:rsid w:val="00A8679F"/>
    <w:rsid w:val="00A868B8"/>
    <w:rsid w:val="00A86976"/>
    <w:rsid w:val="00A869AE"/>
    <w:rsid w:val="00A86A15"/>
    <w:rsid w:val="00A86E66"/>
    <w:rsid w:val="00A86F0E"/>
    <w:rsid w:val="00A8734C"/>
    <w:rsid w:val="00A874C8"/>
    <w:rsid w:val="00A878F9"/>
    <w:rsid w:val="00A87A47"/>
    <w:rsid w:val="00A87D1B"/>
    <w:rsid w:val="00A90102"/>
    <w:rsid w:val="00A90568"/>
    <w:rsid w:val="00A905C5"/>
    <w:rsid w:val="00A909BD"/>
    <w:rsid w:val="00A90B6A"/>
    <w:rsid w:val="00A9136C"/>
    <w:rsid w:val="00A91763"/>
    <w:rsid w:val="00A91768"/>
    <w:rsid w:val="00A917A1"/>
    <w:rsid w:val="00A9194C"/>
    <w:rsid w:val="00A91D05"/>
    <w:rsid w:val="00A91DF1"/>
    <w:rsid w:val="00A929A0"/>
    <w:rsid w:val="00A92A86"/>
    <w:rsid w:val="00A92E7D"/>
    <w:rsid w:val="00A93039"/>
    <w:rsid w:val="00A93280"/>
    <w:rsid w:val="00A934FE"/>
    <w:rsid w:val="00A935BE"/>
    <w:rsid w:val="00A93807"/>
    <w:rsid w:val="00A94064"/>
    <w:rsid w:val="00A94107"/>
    <w:rsid w:val="00A94789"/>
    <w:rsid w:val="00A94AB3"/>
    <w:rsid w:val="00A94CC1"/>
    <w:rsid w:val="00A94E6E"/>
    <w:rsid w:val="00A95146"/>
    <w:rsid w:val="00A95562"/>
    <w:rsid w:val="00A95773"/>
    <w:rsid w:val="00A95946"/>
    <w:rsid w:val="00A9596E"/>
    <w:rsid w:val="00A95A2B"/>
    <w:rsid w:val="00A95B56"/>
    <w:rsid w:val="00A95BD4"/>
    <w:rsid w:val="00A95C3D"/>
    <w:rsid w:val="00A95DF9"/>
    <w:rsid w:val="00A95EFD"/>
    <w:rsid w:val="00A95F86"/>
    <w:rsid w:val="00A96357"/>
    <w:rsid w:val="00A9672F"/>
    <w:rsid w:val="00A9679B"/>
    <w:rsid w:val="00A96887"/>
    <w:rsid w:val="00A969D7"/>
    <w:rsid w:val="00A9702E"/>
    <w:rsid w:val="00A9716E"/>
    <w:rsid w:val="00A9750C"/>
    <w:rsid w:val="00A978FE"/>
    <w:rsid w:val="00A97D70"/>
    <w:rsid w:val="00A97EF3"/>
    <w:rsid w:val="00AA0075"/>
    <w:rsid w:val="00AA01F8"/>
    <w:rsid w:val="00AA0336"/>
    <w:rsid w:val="00AA057F"/>
    <w:rsid w:val="00AA0971"/>
    <w:rsid w:val="00AA0BCD"/>
    <w:rsid w:val="00AA0D5A"/>
    <w:rsid w:val="00AA0EF4"/>
    <w:rsid w:val="00AA1058"/>
    <w:rsid w:val="00AA10C7"/>
    <w:rsid w:val="00AA11D9"/>
    <w:rsid w:val="00AA152C"/>
    <w:rsid w:val="00AA1AAD"/>
    <w:rsid w:val="00AA1D6F"/>
    <w:rsid w:val="00AA1F6F"/>
    <w:rsid w:val="00AA1FE5"/>
    <w:rsid w:val="00AA2106"/>
    <w:rsid w:val="00AA23A1"/>
    <w:rsid w:val="00AA23A8"/>
    <w:rsid w:val="00AA23FD"/>
    <w:rsid w:val="00AA252D"/>
    <w:rsid w:val="00AA2855"/>
    <w:rsid w:val="00AA29B1"/>
    <w:rsid w:val="00AA2A9E"/>
    <w:rsid w:val="00AA2B33"/>
    <w:rsid w:val="00AA2B40"/>
    <w:rsid w:val="00AA2FB1"/>
    <w:rsid w:val="00AA30BD"/>
    <w:rsid w:val="00AA318A"/>
    <w:rsid w:val="00AA31F8"/>
    <w:rsid w:val="00AA3557"/>
    <w:rsid w:val="00AA3626"/>
    <w:rsid w:val="00AA375B"/>
    <w:rsid w:val="00AA3806"/>
    <w:rsid w:val="00AA3868"/>
    <w:rsid w:val="00AA3C73"/>
    <w:rsid w:val="00AA4441"/>
    <w:rsid w:val="00AA4724"/>
    <w:rsid w:val="00AA4D88"/>
    <w:rsid w:val="00AA524E"/>
    <w:rsid w:val="00AA55DE"/>
    <w:rsid w:val="00AA5842"/>
    <w:rsid w:val="00AA5C2F"/>
    <w:rsid w:val="00AA5F9F"/>
    <w:rsid w:val="00AA6033"/>
    <w:rsid w:val="00AA60AA"/>
    <w:rsid w:val="00AA60F4"/>
    <w:rsid w:val="00AA6144"/>
    <w:rsid w:val="00AA65E1"/>
    <w:rsid w:val="00AA668D"/>
    <w:rsid w:val="00AA670E"/>
    <w:rsid w:val="00AA676A"/>
    <w:rsid w:val="00AA69E3"/>
    <w:rsid w:val="00AA6B9F"/>
    <w:rsid w:val="00AA6BC2"/>
    <w:rsid w:val="00AA6E13"/>
    <w:rsid w:val="00AA715D"/>
    <w:rsid w:val="00AA79E3"/>
    <w:rsid w:val="00AA7AFE"/>
    <w:rsid w:val="00AA7BCB"/>
    <w:rsid w:val="00AA7BFD"/>
    <w:rsid w:val="00AA7C97"/>
    <w:rsid w:val="00AA7DC2"/>
    <w:rsid w:val="00AB00C1"/>
    <w:rsid w:val="00AB0123"/>
    <w:rsid w:val="00AB03F3"/>
    <w:rsid w:val="00AB0683"/>
    <w:rsid w:val="00AB08D7"/>
    <w:rsid w:val="00AB0B79"/>
    <w:rsid w:val="00AB1309"/>
    <w:rsid w:val="00AB1553"/>
    <w:rsid w:val="00AB1C0A"/>
    <w:rsid w:val="00AB1ED7"/>
    <w:rsid w:val="00AB2177"/>
    <w:rsid w:val="00AB22C7"/>
    <w:rsid w:val="00AB2326"/>
    <w:rsid w:val="00AB23D2"/>
    <w:rsid w:val="00AB2511"/>
    <w:rsid w:val="00AB2548"/>
    <w:rsid w:val="00AB2A52"/>
    <w:rsid w:val="00AB2BE8"/>
    <w:rsid w:val="00AB2C9C"/>
    <w:rsid w:val="00AB2DDD"/>
    <w:rsid w:val="00AB2EA4"/>
    <w:rsid w:val="00AB3217"/>
    <w:rsid w:val="00AB3274"/>
    <w:rsid w:val="00AB36A1"/>
    <w:rsid w:val="00AB3D24"/>
    <w:rsid w:val="00AB40B1"/>
    <w:rsid w:val="00AB4111"/>
    <w:rsid w:val="00AB4481"/>
    <w:rsid w:val="00AB448C"/>
    <w:rsid w:val="00AB44F9"/>
    <w:rsid w:val="00AB4648"/>
    <w:rsid w:val="00AB46D0"/>
    <w:rsid w:val="00AB4847"/>
    <w:rsid w:val="00AB4BFE"/>
    <w:rsid w:val="00AB4D60"/>
    <w:rsid w:val="00AB5104"/>
    <w:rsid w:val="00AB5953"/>
    <w:rsid w:val="00AB5FEC"/>
    <w:rsid w:val="00AB612D"/>
    <w:rsid w:val="00AB6811"/>
    <w:rsid w:val="00AB6BBD"/>
    <w:rsid w:val="00AB6CDC"/>
    <w:rsid w:val="00AB72D7"/>
    <w:rsid w:val="00AB7397"/>
    <w:rsid w:val="00AB73FF"/>
    <w:rsid w:val="00AB744F"/>
    <w:rsid w:val="00AB7495"/>
    <w:rsid w:val="00AB77A7"/>
    <w:rsid w:val="00AB7C02"/>
    <w:rsid w:val="00AB7D1B"/>
    <w:rsid w:val="00AB7FDB"/>
    <w:rsid w:val="00AC001C"/>
    <w:rsid w:val="00AC01AC"/>
    <w:rsid w:val="00AC02FA"/>
    <w:rsid w:val="00AC0AB8"/>
    <w:rsid w:val="00AC0DE2"/>
    <w:rsid w:val="00AC0F18"/>
    <w:rsid w:val="00AC0FF3"/>
    <w:rsid w:val="00AC10B6"/>
    <w:rsid w:val="00AC1202"/>
    <w:rsid w:val="00AC133E"/>
    <w:rsid w:val="00AC1415"/>
    <w:rsid w:val="00AC154D"/>
    <w:rsid w:val="00AC15CB"/>
    <w:rsid w:val="00AC18F4"/>
    <w:rsid w:val="00AC1C83"/>
    <w:rsid w:val="00AC1CDF"/>
    <w:rsid w:val="00AC1DB1"/>
    <w:rsid w:val="00AC1FCA"/>
    <w:rsid w:val="00AC2338"/>
    <w:rsid w:val="00AC2345"/>
    <w:rsid w:val="00AC246B"/>
    <w:rsid w:val="00AC26A7"/>
    <w:rsid w:val="00AC26F0"/>
    <w:rsid w:val="00AC277F"/>
    <w:rsid w:val="00AC2922"/>
    <w:rsid w:val="00AC2A2B"/>
    <w:rsid w:val="00AC2B8D"/>
    <w:rsid w:val="00AC2BA9"/>
    <w:rsid w:val="00AC2BD2"/>
    <w:rsid w:val="00AC2F85"/>
    <w:rsid w:val="00AC3A2E"/>
    <w:rsid w:val="00AC3B01"/>
    <w:rsid w:val="00AC3B49"/>
    <w:rsid w:val="00AC3EF2"/>
    <w:rsid w:val="00AC3FA1"/>
    <w:rsid w:val="00AC4139"/>
    <w:rsid w:val="00AC414D"/>
    <w:rsid w:val="00AC415F"/>
    <w:rsid w:val="00AC47AA"/>
    <w:rsid w:val="00AC4855"/>
    <w:rsid w:val="00AC4A6D"/>
    <w:rsid w:val="00AC4B88"/>
    <w:rsid w:val="00AC4D6E"/>
    <w:rsid w:val="00AC4DFC"/>
    <w:rsid w:val="00AC4F24"/>
    <w:rsid w:val="00AC5006"/>
    <w:rsid w:val="00AC536B"/>
    <w:rsid w:val="00AC53F0"/>
    <w:rsid w:val="00AC5D35"/>
    <w:rsid w:val="00AC622F"/>
    <w:rsid w:val="00AC653A"/>
    <w:rsid w:val="00AC6823"/>
    <w:rsid w:val="00AC6A9B"/>
    <w:rsid w:val="00AC6AB8"/>
    <w:rsid w:val="00AC6ED0"/>
    <w:rsid w:val="00AC7119"/>
    <w:rsid w:val="00AC720A"/>
    <w:rsid w:val="00AC722A"/>
    <w:rsid w:val="00AC7259"/>
    <w:rsid w:val="00AC76D1"/>
    <w:rsid w:val="00AC79EF"/>
    <w:rsid w:val="00AC79FC"/>
    <w:rsid w:val="00AD0054"/>
    <w:rsid w:val="00AD03B8"/>
    <w:rsid w:val="00AD0480"/>
    <w:rsid w:val="00AD04E2"/>
    <w:rsid w:val="00AD06A5"/>
    <w:rsid w:val="00AD06D9"/>
    <w:rsid w:val="00AD0831"/>
    <w:rsid w:val="00AD1047"/>
    <w:rsid w:val="00AD1763"/>
    <w:rsid w:val="00AD1784"/>
    <w:rsid w:val="00AD1865"/>
    <w:rsid w:val="00AD1915"/>
    <w:rsid w:val="00AD1A2A"/>
    <w:rsid w:val="00AD1B5F"/>
    <w:rsid w:val="00AD1CCC"/>
    <w:rsid w:val="00AD1FD7"/>
    <w:rsid w:val="00AD2089"/>
    <w:rsid w:val="00AD20EE"/>
    <w:rsid w:val="00AD25FC"/>
    <w:rsid w:val="00AD2676"/>
    <w:rsid w:val="00AD2768"/>
    <w:rsid w:val="00AD28F7"/>
    <w:rsid w:val="00AD2968"/>
    <w:rsid w:val="00AD29A7"/>
    <w:rsid w:val="00AD2CD6"/>
    <w:rsid w:val="00AD2CF8"/>
    <w:rsid w:val="00AD2D7F"/>
    <w:rsid w:val="00AD2EA9"/>
    <w:rsid w:val="00AD3168"/>
    <w:rsid w:val="00AD3A94"/>
    <w:rsid w:val="00AD3B2B"/>
    <w:rsid w:val="00AD3C36"/>
    <w:rsid w:val="00AD3CD9"/>
    <w:rsid w:val="00AD4311"/>
    <w:rsid w:val="00AD44BD"/>
    <w:rsid w:val="00AD488A"/>
    <w:rsid w:val="00AD4B66"/>
    <w:rsid w:val="00AD50BF"/>
    <w:rsid w:val="00AD52CB"/>
    <w:rsid w:val="00AD5316"/>
    <w:rsid w:val="00AD5576"/>
    <w:rsid w:val="00AD5648"/>
    <w:rsid w:val="00AD57A8"/>
    <w:rsid w:val="00AD5953"/>
    <w:rsid w:val="00AD5958"/>
    <w:rsid w:val="00AD5CC6"/>
    <w:rsid w:val="00AD5CEB"/>
    <w:rsid w:val="00AD5DAE"/>
    <w:rsid w:val="00AD5F11"/>
    <w:rsid w:val="00AD6439"/>
    <w:rsid w:val="00AD644F"/>
    <w:rsid w:val="00AD6CF4"/>
    <w:rsid w:val="00AD6DBD"/>
    <w:rsid w:val="00AD7026"/>
    <w:rsid w:val="00AD70DB"/>
    <w:rsid w:val="00AD7182"/>
    <w:rsid w:val="00AD72FE"/>
    <w:rsid w:val="00AD7639"/>
    <w:rsid w:val="00AD79AE"/>
    <w:rsid w:val="00AD7A9A"/>
    <w:rsid w:val="00AD7B05"/>
    <w:rsid w:val="00AD7B8D"/>
    <w:rsid w:val="00AD7D34"/>
    <w:rsid w:val="00AE022D"/>
    <w:rsid w:val="00AE0681"/>
    <w:rsid w:val="00AE0775"/>
    <w:rsid w:val="00AE0B17"/>
    <w:rsid w:val="00AE0DE2"/>
    <w:rsid w:val="00AE0EDE"/>
    <w:rsid w:val="00AE1158"/>
    <w:rsid w:val="00AE11D3"/>
    <w:rsid w:val="00AE11DB"/>
    <w:rsid w:val="00AE11FA"/>
    <w:rsid w:val="00AE1262"/>
    <w:rsid w:val="00AE1314"/>
    <w:rsid w:val="00AE14B1"/>
    <w:rsid w:val="00AE157A"/>
    <w:rsid w:val="00AE164D"/>
    <w:rsid w:val="00AE1838"/>
    <w:rsid w:val="00AE1D33"/>
    <w:rsid w:val="00AE1DAD"/>
    <w:rsid w:val="00AE1EA0"/>
    <w:rsid w:val="00AE1FEC"/>
    <w:rsid w:val="00AE2042"/>
    <w:rsid w:val="00AE20D1"/>
    <w:rsid w:val="00AE2191"/>
    <w:rsid w:val="00AE231C"/>
    <w:rsid w:val="00AE256B"/>
    <w:rsid w:val="00AE2671"/>
    <w:rsid w:val="00AE285B"/>
    <w:rsid w:val="00AE2925"/>
    <w:rsid w:val="00AE2B32"/>
    <w:rsid w:val="00AE2D4A"/>
    <w:rsid w:val="00AE2D8E"/>
    <w:rsid w:val="00AE324B"/>
    <w:rsid w:val="00AE3460"/>
    <w:rsid w:val="00AE3663"/>
    <w:rsid w:val="00AE3C21"/>
    <w:rsid w:val="00AE3D93"/>
    <w:rsid w:val="00AE41F4"/>
    <w:rsid w:val="00AE432B"/>
    <w:rsid w:val="00AE45F2"/>
    <w:rsid w:val="00AE4ABE"/>
    <w:rsid w:val="00AE4D23"/>
    <w:rsid w:val="00AE5749"/>
    <w:rsid w:val="00AE58FF"/>
    <w:rsid w:val="00AE599C"/>
    <w:rsid w:val="00AE5BE7"/>
    <w:rsid w:val="00AE614E"/>
    <w:rsid w:val="00AE64AC"/>
    <w:rsid w:val="00AE6DAC"/>
    <w:rsid w:val="00AE6FD4"/>
    <w:rsid w:val="00AE6FDF"/>
    <w:rsid w:val="00AE70ED"/>
    <w:rsid w:val="00AE74DF"/>
    <w:rsid w:val="00AE752E"/>
    <w:rsid w:val="00AE76F4"/>
    <w:rsid w:val="00AE7E3C"/>
    <w:rsid w:val="00AF07BB"/>
    <w:rsid w:val="00AF0C41"/>
    <w:rsid w:val="00AF1323"/>
    <w:rsid w:val="00AF139C"/>
    <w:rsid w:val="00AF14D7"/>
    <w:rsid w:val="00AF19C1"/>
    <w:rsid w:val="00AF1A64"/>
    <w:rsid w:val="00AF1E3A"/>
    <w:rsid w:val="00AF1F43"/>
    <w:rsid w:val="00AF1FDC"/>
    <w:rsid w:val="00AF239D"/>
    <w:rsid w:val="00AF28CA"/>
    <w:rsid w:val="00AF3062"/>
    <w:rsid w:val="00AF3D25"/>
    <w:rsid w:val="00AF41C0"/>
    <w:rsid w:val="00AF4209"/>
    <w:rsid w:val="00AF4269"/>
    <w:rsid w:val="00AF4A04"/>
    <w:rsid w:val="00AF4EA4"/>
    <w:rsid w:val="00AF4EE9"/>
    <w:rsid w:val="00AF50FF"/>
    <w:rsid w:val="00AF533B"/>
    <w:rsid w:val="00AF53AC"/>
    <w:rsid w:val="00AF568C"/>
    <w:rsid w:val="00AF5B07"/>
    <w:rsid w:val="00AF5E22"/>
    <w:rsid w:val="00AF5F37"/>
    <w:rsid w:val="00AF5F7A"/>
    <w:rsid w:val="00AF6733"/>
    <w:rsid w:val="00AF6A4A"/>
    <w:rsid w:val="00AF6B87"/>
    <w:rsid w:val="00AF6D0F"/>
    <w:rsid w:val="00AF6E33"/>
    <w:rsid w:val="00AF6E8A"/>
    <w:rsid w:val="00AF70FB"/>
    <w:rsid w:val="00AF7156"/>
    <w:rsid w:val="00AF7AB9"/>
    <w:rsid w:val="00AF7BFE"/>
    <w:rsid w:val="00AF7FBF"/>
    <w:rsid w:val="00AF7FD7"/>
    <w:rsid w:val="00B002EA"/>
    <w:rsid w:val="00B00326"/>
    <w:rsid w:val="00B004A4"/>
    <w:rsid w:val="00B008AC"/>
    <w:rsid w:val="00B0093B"/>
    <w:rsid w:val="00B00AE0"/>
    <w:rsid w:val="00B00DA6"/>
    <w:rsid w:val="00B010B3"/>
    <w:rsid w:val="00B01168"/>
    <w:rsid w:val="00B01169"/>
    <w:rsid w:val="00B01269"/>
    <w:rsid w:val="00B01425"/>
    <w:rsid w:val="00B0144E"/>
    <w:rsid w:val="00B015E4"/>
    <w:rsid w:val="00B01604"/>
    <w:rsid w:val="00B017AF"/>
    <w:rsid w:val="00B017DD"/>
    <w:rsid w:val="00B01B58"/>
    <w:rsid w:val="00B01FB0"/>
    <w:rsid w:val="00B022DF"/>
    <w:rsid w:val="00B02427"/>
    <w:rsid w:val="00B0257E"/>
    <w:rsid w:val="00B02AEE"/>
    <w:rsid w:val="00B02D0B"/>
    <w:rsid w:val="00B02E8B"/>
    <w:rsid w:val="00B0312E"/>
    <w:rsid w:val="00B0320B"/>
    <w:rsid w:val="00B033F6"/>
    <w:rsid w:val="00B0345C"/>
    <w:rsid w:val="00B03701"/>
    <w:rsid w:val="00B0375E"/>
    <w:rsid w:val="00B037C0"/>
    <w:rsid w:val="00B0391F"/>
    <w:rsid w:val="00B03A91"/>
    <w:rsid w:val="00B03C94"/>
    <w:rsid w:val="00B03F87"/>
    <w:rsid w:val="00B03FAF"/>
    <w:rsid w:val="00B04261"/>
    <w:rsid w:val="00B043A0"/>
    <w:rsid w:val="00B0441A"/>
    <w:rsid w:val="00B04DE5"/>
    <w:rsid w:val="00B04DFB"/>
    <w:rsid w:val="00B04F87"/>
    <w:rsid w:val="00B04FAB"/>
    <w:rsid w:val="00B05017"/>
    <w:rsid w:val="00B056CC"/>
    <w:rsid w:val="00B05733"/>
    <w:rsid w:val="00B05855"/>
    <w:rsid w:val="00B05998"/>
    <w:rsid w:val="00B05AB9"/>
    <w:rsid w:val="00B05B00"/>
    <w:rsid w:val="00B05FDA"/>
    <w:rsid w:val="00B06036"/>
    <w:rsid w:val="00B06077"/>
    <w:rsid w:val="00B063B4"/>
    <w:rsid w:val="00B065C6"/>
    <w:rsid w:val="00B0680D"/>
    <w:rsid w:val="00B06BB6"/>
    <w:rsid w:val="00B072DC"/>
    <w:rsid w:val="00B07A21"/>
    <w:rsid w:val="00B07B3B"/>
    <w:rsid w:val="00B07E1E"/>
    <w:rsid w:val="00B07EEF"/>
    <w:rsid w:val="00B101FC"/>
    <w:rsid w:val="00B1025F"/>
    <w:rsid w:val="00B102C7"/>
    <w:rsid w:val="00B1056C"/>
    <w:rsid w:val="00B105BE"/>
    <w:rsid w:val="00B10A43"/>
    <w:rsid w:val="00B10FB5"/>
    <w:rsid w:val="00B11179"/>
    <w:rsid w:val="00B11476"/>
    <w:rsid w:val="00B11711"/>
    <w:rsid w:val="00B11A35"/>
    <w:rsid w:val="00B11AE3"/>
    <w:rsid w:val="00B11AFF"/>
    <w:rsid w:val="00B11BF9"/>
    <w:rsid w:val="00B11F10"/>
    <w:rsid w:val="00B11F3F"/>
    <w:rsid w:val="00B1218F"/>
    <w:rsid w:val="00B1223C"/>
    <w:rsid w:val="00B12288"/>
    <w:rsid w:val="00B12527"/>
    <w:rsid w:val="00B126D3"/>
    <w:rsid w:val="00B1271E"/>
    <w:rsid w:val="00B12A13"/>
    <w:rsid w:val="00B12CB5"/>
    <w:rsid w:val="00B12E28"/>
    <w:rsid w:val="00B132B8"/>
    <w:rsid w:val="00B1343C"/>
    <w:rsid w:val="00B13830"/>
    <w:rsid w:val="00B1395D"/>
    <w:rsid w:val="00B13C1C"/>
    <w:rsid w:val="00B13DB9"/>
    <w:rsid w:val="00B140C1"/>
    <w:rsid w:val="00B141EA"/>
    <w:rsid w:val="00B14334"/>
    <w:rsid w:val="00B14345"/>
    <w:rsid w:val="00B14490"/>
    <w:rsid w:val="00B14534"/>
    <w:rsid w:val="00B14713"/>
    <w:rsid w:val="00B14874"/>
    <w:rsid w:val="00B14875"/>
    <w:rsid w:val="00B149D2"/>
    <w:rsid w:val="00B14B1F"/>
    <w:rsid w:val="00B14C6C"/>
    <w:rsid w:val="00B14CE5"/>
    <w:rsid w:val="00B14E4F"/>
    <w:rsid w:val="00B14EF8"/>
    <w:rsid w:val="00B14FA8"/>
    <w:rsid w:val="00B15043"/>
    <w:rsid w:val="00B15095"/>
    <w:rsid w:val="00B153AF"/>
    <w:rsid w:val="00B15554"/>
    <w:rsid w:val="00B15A12"/>
    <w:rsid w:val="00B15BE8"/>
    <w:rsid w:val="00B15FB4"/>
    <w:rsid w:val="00B15FD5"/>
    <w:rsid w:val="00B16199"/>
    <w:rsid w:val="00B1642C"/>
    <w:rsid w:val="00B169DE"/>
    <w:rsid w:val="00B16A3D"/>
    <w:rsid w:val="00B16AF2"/>
    <w:rsid w:val="00B16C3E"/>
    <w:rsid w:val="00B16CF5"/>
    <w:rsid w:val="00B16D88"/>
    <w:rsid w:val="00B16E6E"/>
    <w:rsid w:val="00B1709C"/>
    <w:rsid w:val="00B1792B"/>
    <w:rsid w:val="00B179CB"/>
    <w:rsid w:val="00B17A38"/>
    <w:rsid w:val="00B17A70"/>
    <w:rsid w:val="00B17D0E"/>
    <w:rsid w:val="00B202A1"/>
    <w:rsid w:val="00B20374"/>
    <w:rsid w:val="00B20610"/>
    <w:rsid w:val="00B206BF"/>
    <w:rsid w:val="00B21231"/>
    <w:rsid w:val="00B2135B"/>
    <w:rsid w:val="00B213F2"/>
    <w:rsid w:val="00B21785"/>
    <w:rsid w:val="00B21904"/>
    <w:rsid w:val="00B21935"/>
    <w:rsid w:val="00B21AFE"/>
    <w:rsid w:val="00B21D08"/>
    <w:rsid w:val="00B22471"/>
    <w:rsid w:val="00B224C7"/>
    <w:rsid w:val="00B22826"/>
    <w:rsid w:val="00B22930"/>
    <w:rsid w:val="00B22A66"/>
    <w:rsid w:val="00B22C00"/>
    <w:rsid w:val="00B22F4A"/>
    <w:rsid w:val="00B230B7"/>
    <w:rsid w:val="00B232C1"/>
    <w:rsid w:val="00B23ABF"/>
    <w:rsid w:val="00B23C36"/>
    <w:rsid w:val="00B24131"/>
    <w:rsid w:val="00B24284"/>
    <w:rsid w:val="00B2433C"/>
    <w:rsid w:val="00B2446A"/>
    <w:rsid w:val="00B24479"/>
    <w:rsid w:val="00B246D4"/>
    <w:rsid w:val="00B24AB4"/>
    <w:rsid w:val="00B24BEC"/>
    <w:rsid w:val="00B24FE9"/>
    <w:rsid w:val="00B25096"/>
    <w:rsid w:val="00B2553C"/>
    <w:rsid w:val="00B25967"/>
    <w:rsid w:val="00B25DC5"/>
    <w:rsid w:val="00B263B3"/>
    <w:rsid w:val="00B26540"/>
    <w:rsid w:val="00B2663F"/>
    <w:rsid w:val="00B2671E"/>
    <w:rsid w:val="00B26873"/>
    <w:rsid w:val="00B269AD"/>
    <w:rsid w:val="00B26C00"/>
    <w:rsid w:val="00B26D2C"/>
    <w:rsid w:val="00B26F9C"/>
    <w:rsid w:val="00B270BC"/>
    <w:rsid w:val="00B272DF"/>
    <w:rsid w:val="00B27393"/>
    <w:rsid w:val="00B27478"/>
    <w:rsid w:val="00B27643"/>
    <w:rsid w:val="00B276C8"/>
    <w:rsid w:val="00B277C8"/>
    <w:rsid w:val="00B27DB1"/>
    <w:rsid w:val="00B27F06"/>
    <w:rsid w:val="00B30051"/>
    <w:rsid w:val="00B302B1"/>
    <w:rsid w:val="00B302EE"/>
    <w:rsid w:val="00B3073F"/>
    <w:rsid w:val="00B3076C"/>
    <w:rsid w:val="00B307C0"/>
    <w:rsid w:val="00B30C90"/>
    <w:rsid w:val="00B31095"/>
    <w:rsid w:val="00B310B3"/>
    <w:rsid w:val="00B31154"/>
    <w:rsid w:val="00B316A1"/>
    <w:rsid w:val="00B31B23"/>
    <w:rsid w:val="00B31E44"/>
    <w:rsid w:val="00B3211B"/>
    <w:rsid w:val="00B32340"/>
    <w:rsid w:val="00B325D6"/>
    <w:rsid w:val="00B32CB1"/>
    <w:rsid w:val="00B332DC"/>
    <w:rsid w:val="00B33701"/>
    <w:rsid w:val="00B33CEA"/>
    <w:rsid w:val="00B34084"/>
    <w:rsid w:val="00B3417A"/>
    <w:rsid w:val="00B3444F"/>
    <w:rsid w:val="00B34B4D"/>
    <w:rsid w:val="00B34F72"/>
    <w:rsid w:val="00B35031"/>
    <w:rsid w:val="00B351F4"/>
    <w:rsid w:val="00B3543A"/>
    <w:rsid w:val="00B35B06"/>
    <w:rsid w:val="00B35CC9"/>
    <w:rsid w:val="00B361B4"/>
    <w:rsid w:val="00B36436"/>
    <w:rsid w:val="00B36966"/>
    <w:rsid w:val="00B369E4"/>
    <w:rsid w:val="00B37234"/>
    <w:rsid w:val="00B373DF"/>
    <w:rsid w:val="00B37495"/>
    <w:rsid w:val="00B3766F"/>
    <w:rsid w:val="00B3776C"/>
    <w:rsid w:val="00B37892"/>
    <w:rsid w:val="00B378B4"/>
    <w:rsid w:val="00B37969"/>
    <w:rsid w:val="00B379C3"/>
    <w:rsid w:val="00B37BBA"/>
    <w:rsid w:val="00B37C71"/>
    <w:rsid w:val="00B4041D"/>
    <w:rsid w:val="00B40690"/>
    <w:rsid w:val="00B4078E"/>
    <w:rsid w:val="00B408A5"/>
    <w:rsid w:val="00B40A2F"/>
    <w:rsid w:val="00B40FEB"/>
    <w:rsid w:val="00B418B5"/>
    <w:rsid w:val="00B41D2A"/>
    <w:rsid w:val="00B41DA9"/>
    <w:rsid w:val="00B41DD5"/>
    <w:rsid w:val="00B41ECD"/>
    <w:rsid w:val="00B42034"/>
    <w:rsid w:val="00B420C6"/>
    <w:rsid w:val="00B4269D"/>
    <w:rsid w:val="00B4280D"/>
    <w:rsid w:val="00B42B0A"/>
    <w:rsid w:val="00B42BF4"/>
    <w:rsid w:val="00B42CEE"/>
    <w:rsid w:val="00B42D0B"/>
    <w:rsid w:val="00B42E8E"/>
    <w:rsid w:val="00B430FC"/>
    <w:rsid w:val="00B43160"/>
    <w:rsid w:val="00B43659"/>
    <w:rsid w:val="00B4398B"/>
    <w:rsid w:val="00B439BF"/>
    <w:rsid w:val="00B43B0D"/>
    <w:rsid w:val="00B43D8E"/>
    <w:rsid w:val="00B43EB7"/>
    <w:rsid w:val="00B43FD8"/>
    <w:rsid w:val="00B43FF7"/>
    <w:rsid w:val="00B4401B"/>
    <w:rsid w:val="00B4458D"/>
    <w:rsid w:val="00B446D3"/>
    <w:rsid w:val="00B44BFF"/>
    <w:rsid w:val="00B44C9F"/>
    <w:rsid w:val="00B44D51"/>
    <w:rsid w:val="00B44EB6"/>
    <w:rsid w:val="00B4525C"/>
    <w:rsid w:val="00B45695"/>
    <w:rsid w:val="00B458F3"/>
    <w:rsid w:val="00B45BB7"/>
    <w:rsid w:val="00B45D0B"/>
    <w:rsid w:val="00B45E09"/>
    <w:rsid w:val="00B4601B"/>
    <w:rsid w:val="00B4612C"/>
    <w:rsid w:val="00B46441"/>
    <w:rsid w:val="00B4647D"/>
    <w:rsid w:val="00B4648B"/>
    <w:rsid w:val="00B465F5"/>
    <w:rsid w:val="00B46774"/>
    <w:rsid w:val="00B46820"/>
    <w:rsid w:val="00B46913"/>
    <w:rsid w:val="00B46943"/>
    <w:rsid w:val="00B46994"/>
    <w:rsid w:val="00B46B42"/>
    <w:rsid w:val="00B46C3C"/>
    <w:rsid w:val="00B46DC6"/>
    <w:rsid w:val="00B46F4B"/>
    <w:rsid w:val="00B47032"/>
    <w:rsid w:val="00B47309"/>
    <w:rsid w:val="00B47812"/>
    <w:rsid w:val="00B479FA"/>
    <w:rsid w:val="00B47A0C"/>
    <w:rsid w:val="00B47A2D"/>
    <w:rsid w:val="00B47AC1"/>
    <w:rsid w:val="00B47CC4"/>
    <w:rsid w:val="00B47D16"/>
    <w:rsid w:val="00B5034A"/>
    <w:rsid w:val="00B50826"/>
    <w:rsid w:val="00B5084E"/>
    <w:rsid w:val="00B50A75"/>
    <w:rsid w:val="00B50B42"/>
    <w:rsid w:val="00B50E2F"/>
    <w:rsid w:val="00B510B1"/>
    <w:rsid w:val="00B5116A"/>
    <w:rsid w:val="00B5141C"/>
    <w:rsid w:val="00B517EA"/>
    <w:rsid w:val="00B5194B"/>
    <w:rsid w:val="00B51AF5"/>
    <w:rsid w:val="00B51CBF"/>
    <w:rsid w:val="00B51E7B"/>
    <w:rsid w:val="00B5209C"/>
    <w:rsid w:val="00B5220B"/>
    <w:rsid w:val="00B5240A"/>
    <w:rsid w:val="00B5243D"/>
    <w:rsid w:val="00B527AB"/>
    <w:rsid w:val="00B52849"/>
    <w:rsid w:val="00B52A44"/>
    <w:rsid w:val="00B52F70"/>
    <w:rsid w:val="00B531EB"/>
    <w:rsid w:val="00B53262"/>
    <w:rsid w:val="00B532D4"/>
    <w:rsid w:val="00B53400"/>
    <w:rsid w:val="00B538A8"/>
    <w:rsid w:val="00B539E6"/>
    <w:rsid w:val="00B542D8"/>
    <w:rsid w:val="00B542E1"/>
    <w:rsid w:val="00B543C4"/>
    <w:rsid w:val="00B54412"/>
    <w:rsid w:val="00B544A3"/>
    <w:rsid w:val="00B544A7"/>
    <w:rsid w:val="00B54560"/>
    <w:rsid w:val="00B54573"/>
    <w:rsid w:val="00B54600"/>
    <w:rsid w:val="00B54610"/>
    <w:rsid w:val="00B547CE"/>
    <w:rsid w:val="00B548A1"/>
    <w:rsid w:val="00B548D7"/>
    <w:rsid w:val="00B549BE"/>
    <w:rsid w:val="00B54B3E"/>
    <w:rsid w:val="00B54B48"/>
    <w:rsid w:val="00B54B82"/>
    <w:rsid w:val="00B54D8E"/>
    <w:rsid w:val="00B54DEE"/>
    <w:rsid w:val="00B553D0"/>
    <w:rsid w:val="00B555BB"/>
    <w:rsid w:val="00B555DC"/>
    <w:rsid w:val="00B557AC"/>
    <w:rsid w:val="00B55A2A"/>
    <w:rsid w:val="00B55E29"/>
    <w:rsid w:val="00B56051"/>
    <w:rsid w:val="00B56476"/>
    <w:rsid w:val="00B5651A"/>
    <w:rsid w:val="00B56770"/>
    <w:rsid w:val="00B56796"/>
    <w:rsid w:val="00B56BBE"/>
    <w:rsid w:val="00B56E20"/>
    <w:rsid w:val="00B5752C"/>
    <w:rsid w:val="00B577F3"/>
    <w:rsid w:val="00B57880"/>
    <w:rsid w:val="00B578AF"/>
    <w:rsid w:val="00B57B9D"/>
    <w:rsid w:val="00B57FF4"/>
    <w:rsid w:val="00B60073"/>
    <w:rsid w:val="00B6009E"/>
    <w:rsid w:val="00B600F5"/>
    <w:rsid w:val="00B60235"/>
    <w:rsid w:val="00B602BE"/>
    <w:rsid w:val="00B60389"/>
    <w:rsid w:val="00B603F1"/>
    <w:rsid w:val="00B605C4"/>
    <w:rsid w:val="00B609D2"/>
    <w:rsid w:val="00B60BD5"/>
    <w:rsid w:val="00B60C9E"/>
    <w:rsid w:val="00B611F8"/>
    <w:rsid w:val="00B6128B"/>
    <w:rsid w:val="00B612D2"/>
    <w:rsid w:val="00B61332"/>
    <w:rsid w:val="00B61507"/>
    <w:rsid w:val="00B616F6"/>
    <w:rsid w:val="00B617FF"/>
    <w:rsid w:val="00B620F0"/>
    <w:rsid w:val="00B621EC"/>
    <w:rsid w:val="00B62287"/>
    <w:rsid w:val="00B623E5"/>
    <w:rsid w:val="00B62A99"/>
    <w:rsid w:val="00B62C78"/>
    <w:rsid w:val="00B6324E"/>
    <w:rsid w:val="00B633EF"/>
    <w:rsid w:val="00B636BA"/>
    <w:rsid w:val="00B6379A"/>
    <w:rsid w:val="00B637CF"/>
    <w:rsid w:val="00B63A23"/>
    <w:rsid w:val="00B63EF2"/>
    <w:rsid w:val="00B63F84"/>
    <w:rsid w:val="00B64019"/>
    <w:rsid w:val="00B64281"/>
    <w:rsid w:val="00B6449F"/>
    <w:rsid w:val="00B6457B"/>
    <w:rsid w:val="00B64602"/>
    <w:rsid w:val="00B6471C"/>
    <w:rsid w:val="00B6484F"/>
    <w:rsid w:val="00B649CC"/>
    <w:rsid w:val="00B64AC2"/>
    <w:rsid w:val="00B64F42"/>
    <w:rsid w:val="00B64FAE"/>
    <w:rsid w:val="00B65023"/>
    <w:rsid w:val="00B65105"/>
    <w:rsid w:val="00B652A6"/>
    <w:rsid w:val="00B65AAD"/>
    <w:rsid w:val="00B65B86"/>
    <w:rsid w:val="00B65CCB"/>
    <w:rsid w:val="00B66094"/>
    <w:rsid w:val="00B662F6"/>
    <w:rsid w:val="00B66360"/>
    <w:rsid w:val="00B66B79"/>
    <w:rsid w:val="00B66D5C"/>
    <w:rsid w:val="00B66DFA"/>
    <w:rsid w:val="00B673B3"/>
    <w:rsid w:val="00B67425"/>
    <w:rsid w:val="00B67462"/>
    <w:rsid w:val="00B67544"/>
    <w:rsid w:val="00B67776"/>
    <w:rsid w:val="00B6778A"/>
    <w:rsid w:val="00B67823"/>
    <w:rsid w:val="00B67C72"/>
    <w:rsid w:val="00B67D70"/>
    <w:rsid w:val="00B67E34"/>
    <w:rsid w:val="00B70570"/>
    <w:rsid w:val="00B705FC"/>
    <w:rsid w:val="00B70B15"/>
    <w:rsid w:val="00B70C87"/>
    <w:rsid w:val="00B70CF9"/>
    <w:rsid w:val="00B70F18"/>
    <w:rsid w:val="00B70FC4"/>
    <w:rsid w:val="00B71257"/>
    <w:rsid w:val="00B713CB"/>
    <w:rsid w:val="00B71976"/>
    <w:rsid w:val="00B71D0B"/>
    <w:rsid w:val="00B71D68"/>
    <w:rsid w:val="00B71DF9"/>
    <w:rsid w:val="00B71E13"/>
    <w:rsid w:val="00B71E54"/>
    <w:rsid w:val="00B71EC7"/>
    <w:rsid w:val="00B71F1B"/>
    <w:rsid w:val="00B7215D"/>
    <w:rsid w:val="00B7234B"/>
    <w:rsid w:val="00B725E2"/>
    <w:rsid w:val="00B726F1"/>
    <w:rsid w:val="00B72773"/>
    <w:rsid w:val="00B73061"/>
    <w:rsid w:val="00B7309F"/>
    <w:rsid w:val="00B730C6"/>
    <w:rsid w:val="00B737AC"/>
    <w:rsid w:val="00B73AE1"/>
    <w:rsid w:val="00B74078"/>
    <w:rsid w:val="00B7451F"/>
    <w:rsid w:val="00B747CF"/>
    <w:rsid w:val="00B74808"/>
    <w:rsid w:val="00B74958"/>
    <w:rsid w:val="00B74991"/>
    <w:rsid w:val="00B74C7D"/>
    <w:rsid w:val="00B74D16"/>
    <w:rsid w:val="00B74D78"/>
    <w:rsid w:val="00B7519F"/>
    <w:rsid w:val="00B75205"/>
    <w:rsid w:val="00B753AB"/>
    <w:rsid w:val="00B753DE"/>
    <w:rsid w:val="00B7549B"/>
    <w:rsid w:val="00B75545"/>
    <w:rsid w:val="00B75970"/>
    <w:rsid w:val="00B76493"/>
    <w:rsid w:val="00B76566"/>
    <w:rsid w:val="00B765BA"/>
    <w:rsid w:val="00B76661"/>
    <w:rsid w:val="00B766AA"/>
    <w:rsid w:val="00B7675D"/>
    <w:rsid w:val="00B7689D"/>
    <w:rsid w:val="00B76907"/>
    <w:rsid w:val="00B76AD1"/>
    <w:rsid w:val="00B771A6"/>
    <w:rsid w:val="00B771EF"/>
    <w:rsid w:val="00B77292"/>
    <w:rsid w:val="00B773A3"/>
    <w:rsid w:val="00B773E7"/>
    <w:rsid w:val="00B77A73"/>
    <w:rsid w:val="00B77B26"/>
    <w:rsid w:val="00B77C37"/>
    <w:rsid w:val="00B77ECB"/>
    <w:rsid w:val="00B803A1"/>
    <w:rsid w:val="00B803CA"/>
    <w:rsid w:val="00B80833"/>
    <w:rsid w:val="00B80A33"/>
    <w:rsid w:val="00B80DBC"/>
    <w:rsid w:val="00B80EEF"/>
    <w:rsid w:val="00B810DC"/>
    <w:rsid w:val="00B811F5"/>
    <w:rsid w:val="00B81329"/>
    <w:rsid w:val="00B818AA"/>
    <w:rsid w:val="00B81A75"/>
    <w:rsid w:val="00B81AEE"/>
    <w:rsid w:val="00B81CE5"/>
    <w:rsid w:val="00B81E0E"/>
    <w:rsid w:val="00B81FD5"/>
    <w:rsid w:val="00B81FF2"/>
    <w:rsid w:val="00B822BA"/>
    <w:rsid w:val="00B82331"/>
    <w:rsid w:val="00B82403"/>
    <w:rsid w:val="00B827AB"/>
    <w:rsid w:val="00B82A7F"/>
    <w:rsid w:val="00B83163"/>
    <w:rsid w:val="00B83444"/>
    <w:rsid w:val="00B834C5"/>
    <w:rsid w:val="00B83679"/>
    <w:rsid w:val="00B8373D"/>
    <w:rsid w:val="00B839BC"/>
    <w:rsid w:val="00B84025"/>
    <w:rsid w:val="00B84BA1"/>
    <w:rsid w:val="00B84BF2"/>
    <w:rsid w:val="00B84C25"/>
    <w:rsid w:val="00B84D6E"/>
    <w:rsid w:val="00B84FDB"/>
    <w:rsid w:val="00B85030"/>
    <w:rsid w:val="00B8516A"/>
    <w:rsid w:val="00B8541F"/>
    <w:rsid w:val="00B8564B"/>
    <w:rsid w:val="00B85759"/>
    <w:rsid w:val="00B8578B"/>
    <w:rsid w:val="00B85998"/>
    <w:rsid w:val="00B85B47"/>
    <w:rsid w:val="00B85CCA"/>
    <w:rsid w:val="00B85D6C"/>
    <w:rsid w:val="00B85E1F"/>
    <w:rsid w:val="00B8664B"/>
    <w:rsid w:val="00B866B9"/>
    <w:rsid w:val="00B86765"/>
    <w:rsid w:val="00B868FE"/>
    <w:rsid w:val="00B869F6"/>
    <w:rsid w:val="00B86B4B"/>
    <w:rsid w:val="00B86FCA"/>
    <w:rsid w:val="00B8721D"/>
    <w:rsid w:val="00B8726E"/>
    <w:rsid w:val="00B87371"/>
    <w:rsid w:val="00B8764F"/>
    <w:rsid w:val="00B876E2"/>
    <w:rsid w:val="00B87951"/>
    <w:rsid w:val="00B87A4A"/>
    <w:rsid w:val="00B87AEA"/>
    <w:rsid w:val="00B9005B"/>
    <w:rsid w:val="00B900C2"/>
    <w:rsid w:val="00B90BD0"/>
    <w:rsid w:val="00B90F17"/>
    <w:rsid w:val="00B9126C"/>
    <w:rsid w:val="00B91320"/>
    <w:rsid w:val="00B91392"/>
    <w:rsid w:val="00B917EC"/>
    <w:rsid w:val="00B91935"/>
    <w:rsid w:val="00B91968"/>
    <w:rsid w:val="00B91F55"/>
    <w:rsid w:val="00B9201D"/>
    <w:rsid w:val="00B9204C"/>
    <w:rsid w:val="00B92141"/>
    <w:rsid w:val="00B92352"/>
    <w:rsid w:val="00B92973"/>
    <w:rsid w:val="00B92B35"/>
    <w:rsid w:val="00B92B3D"/>
    <w:rsid w:val="00B92B79"/>
    <w:rsid w:val="00B934B1"/>
    <w:rsid w:val="00B93B66"/>
    <w:rsid w:val="00B93DAB"/>
    <w:rsid w:val="00B93EFE"/>
    <w:rsid w:val="00B9424E"/>
    <w:rsid w:val="00B9428F"/>
    <w:rsid w:val="00B943E8"/>
    <w:rsid w:val="00B94771"/>
    <w:rsid w:val="00B947CB"/>
    <w:rsid w:val="00B949C5"/>
    <w:rsid w:val="00B94B88"/>
    <w:rsid w:val="00B94E96"/>
    <w:rsid w:val="00B94EA0"/>
    <w:rsid w:val="00B94F65"/>
    <w:rsid w:val="00B95411"/>
    <w:rsid w:val="00B9567D"/>
    <w:rsid w:val="00B95878"/>
    <w:rsid w:val="00B959CC"/>
    <w:rsid w:val="00B96194"/>
    <w:rsid w:val="00B96249"/>
    <w:rsid w:val="00B964B9"/>
    <w:rsid w:val="00B96560"/>
    <w:rsid w:val="00B96564"/>
    <w:rsid w:val="00B96973"/>
    <w:rsid w:val="00B96B79"/>
    <w:rsid w:val="00B96C0D"/>
    <w:rsid w:val="00B96FB2"/>
    <w:rsid w:val="00B9772C"/>
    <w:rsid w:val="00B97757"/>
    <w:rsid w:val="00B977DF"/>
    <w:rsid w:val="00B9780A"/>
    <w:rsid w:val="00B979EA"/>
    <w:rsid w:val="00B97A79"/>
    <w:rsid w:val="00B97AA9"/>
    <w:rsid w:val="00B97CF5"/>
    <w:rsid w:val="00BA0259"/>
    <w:rsid w:val="00BA02F2"/>
    <w:rsid w:val="00BA104E"/>
    <w:rsid w:val="00BA1296"/>
    <w:rsid w:val="00BA1355"/>
    <w:rsid w:val="00BA1543"/>
    <w:rsid w:val="00BA1746"/>
    <w:rsid w:val="00BA179F"/>
    <w:rsid w:val="00BA17D0"/>
    <w:rsid w:val="00BA1F23"/>
    <w:rsid w:val="00BA1F90"/>
    <w:rsid w:val="00BA1FA1"/>
    <w:rsid w:val="00BA2006"/>
    <w:rsid w:val="00BA2275"/>
    <w:rsid w:val="00BA2314"/>
    <w:rsid w:val="00BA2466"/>
    <w:rsid w:val="00BA25AD"/>
    <w:rsid w:val="00BA2645"/>
    <w:rsid w:val="00BA2673"/>
    <w:rsid w:val="00BA2708"/>
    <w:rsid w:val="00BA2A6B"/>
    <w:rsid w:val="00BA2B5F"/>
    <w:rsid w:val="00BA3005"/>
    <w:rsid w:val="00BA30DF"/>
    <w:rsid w:val="00BA334C"/>
    <w:rsid w:val="00BA3359"/>
    <w:rsid w:val="00BA34E6"/>
    <w:rsid w:val="00BA4A11"/>
    <w:rsid w:val="00BA4A34"/>
    <w:rsid w:val="00BA4D49"/>
    <w:rsid w:val="00BA4ED5"/>
    <w:rsid w:val="00BA515D"/>
    <w:rsid w:val="00BA5535"/>
    <w:rsid w:val="00BA5A77"/>
    <w:rsid w:val="00BA5B65"/>
    <w:rsid w:val="00BA6024"/>
    <w:rsid w:val="00BA630C"/>
    <w:rsid w:val="00BA64BE"/>
    <w:rsid w:val="00BA661B"/>
    <w:rsid w:val="00BA6B7F"/>
    <w:rsid w:val="00BA6CF5"/>
    <w:rsid w:val="00BA6E77"/>
    <w:rsid w:val="00BA7045"/>
    <w:rsid w:val="00BA7064"/>
    <w:rsid w:val="00BA7216"/>
    <w:rsid w:val="00BA7226"/>
    <w:rsid w:val="00BA73AB"/>
    <w:rsid w:val="00BA7627"/>
    <w:rsid w:val="00BA77B4"/>
    <w:rsid w:val="00BA798D"/>
    <w:rsid w:val="00BA7E13"/>
    <w:rsid w:val="00BB0121"/>
    <w:rsid w:val="00BB03FE"/>
    <w:rsid w:val="00BB057B"/>
    <w:rsid w:val="00BB0634"/>
    <w:rsid w:val="00BB0C65"/>
    <w:rsid w:val="00BB0D69"/>
    <w:rsid w:val="00BB10D1"/>
    <w:rsid w:val="00BB191E"/>
    <w:rsid w:val="00BB1B2F"/>
    <w:rsid w:val="00BB1D11"/>
    <w:rsid w:val="00BB1F66"/>
    <w:rsid w:val="00BB1F78"/>
    <w:rsid w:val="00BB2208"/>
    <w:rsid w:val="00BB27D4"/>
    <w:rsid w:val="00BB2B7C"/>
    <w:rsid w:val="00BB2BE3"/>
    <w:rsid w:val="00BB2E98"/>
    <w:rsid w:val="00BB30CA"/>
    <w:rsid w:val="00BB322B"/>
    <w:rsid w:val="00BB33D4"/>
    <w:rsid w:val="00BB3A2F"/>
    <w:rsid w:val="00BB407F"/>
    <w:rsid w:val="00BB4477"/>
    <w:rsid w:val="00BB451B"/>
    <w:rsid w:val="00BB4948"/>
    <w:rsid w:val="00BB4FFE"/>
    <w:rsid w:val="00BB5674"/>
    <w:rsid w:val="00BB5C1E"/>
    <w:rsid w:val="00BB6223"/>
    <w:rsid w:val="00BB6304"/>
    <w:rsid w:val="00BB6414"/>
    <w:rsid w:val="00BB68AF"/>
    <w:rsid w:val="00BB69A2"/>
    <w:rsid w:val="00BB6B32"/>
    <w:rsid w:val="00BB6C59"/>
    <w:rsid w:val="00BB6DA5"/>
    <w:rsid w:val="00BB6F0D"/>
    <w:rsid w:val="00BB6FDE"/>
    <w:rsid w:val="00BB71B8"/>
    <w:rsid w:val="00BB729B"/>
    <w:rsid w:val="00BB74FC"/>
    <w:rsid w:val="00BB7576"/>
    <w:rsid w:val="00BB75D1"/>
    <w:rsid w:val="00BB76DB"/>
    <w:rsid w:val="00BB7839"/>
    <w:rsid w:val="00BB7854"/>
    <w:rsid w:val="00BB78B1"/>
    <w:rsid w:val="00BB7917"/>
    <w:rsid w:val="00BB7E78"/>
    <w:rsid w:val="00BC02FD"/>
    <w:rsid w:val="00BC065A"/>
    <w:rsid w:val="00BC0744"/>
    <w:rsid w:val="00BC0EEB"/>
    <w:rsid w:val="00BC0F21"/>
    <w:rsid w:val="00BC10FC"/>
    <w:rsid w:val="00BC175B"/>
    <w:rsid w:val="00BC17CA"/>
    <w:rsid w:val="00BC1B43"/>
    <w:rsid w:val="00BC1C57"/>
    <w:rsid w:val="00BC1ED1"/>
    <w:rsid w:val="00BC2269"/>
    <w:rsid w:val="00BC230C"/>
    <w:rsid w:val="00BC235B"/>
    <w:rsid w:val="00BC272D"/>
    <w:rsid w:val="00BC29A8"/>
    <w:rsid w:val="00BC2CDB"/>
    <w:rsid w:val="00BC2E4F"/>
    <w:rsid w:val="00BC2E88"/>
    <w:rsid w:val="00BC3123"/>
    <w:rsid w:val="00BC32DA"/>
    <w:rsid w:val="00BC34BB"/>
    <w:rsid w:val="00BC35C6"/>
    <w:rsid w:val="00BC3A68"/>
    <w:rsid w:val="00BC3E1E"/>
    <w:rsid w:val="00BC42FF"/>
    <w:rsid w:val="00BC434C"/>
    <w:rsid w:val="00BC457D"/>
    <w:rsid w:val="00BC4677"/>
    <w:rsid w:val="00BC4BC7"/>
    <w:rsid w:val="00BC4D3E"/>
    <w:rsid w:val="00BC5397"/>
    <w:rsid w:val="00BC53DE"/>
    <w:rsid w:val="00BC5425"/>
    <w:rsid w:val="00BC552E"/>
    <w:rsid w:val="00BC57FF"/>
    <w:rsid w:val="00BC592D"/>
    <w:rsid w:val="00BC5D41"/>
    <w:rsid w:val="00BC5F8A"/>
    <w:rsid w:val="00BC5FF4"/>
    <w:rsid w:val="00BC62FE"/>
    <w:rsid w:val="00BC6622"/>
    <w:rsid w:val="00BC6719"/>
    <w:rsid w:val="00BC674F"/>
    <w:rsid w:val="00BC68A3"/>
    <w:rsid w:val="00BC69FC"/>
    <w:rsid w:val="00BC6D91"/>
    <w:rsid w:val="00BC6DE9"/>
    <w:rsid w:val="00BC7190"/>
    <w:rsid w:val="00BC7579"/>
    <w:rsid w:val="00BC7924"/>
    <w:rsid w:val="00BC79F3"/>
    <w:rsid w:val="00BD02F6"/>
    <w:rsid w:val="00BD0366"/>
    <w:rsid w:val="00BD054A"/>
    <w:rsid w:val="00BD054B"/>
    <w:rsid w:val="00BD0591"/>
    <w:rsid w:val="00BD07F4"/>
    <w:rsid w:val="00BD1191"/>
    <w:rsid w:val="00BD120A"/>
    <w:rsid w:val="00BD165F"/>
    <w:rsid w:val="00BD16C1"/>
    <w:rsid w:val="00BD17E8"/>
    <w:rsid w:val="00BD1B18"/>
    <w:rsid w:val="00BD1D6D"/>
    <w:rsid w:val="00BD1E22"/>
    <w:rsid w:val="00BD1E9F"/>
    <w:rsid w:val="00BD24A0"/>
    <w:rsid w:val="00BD2DEE"/>
    <w:rsid w:val="00BD2E0D"/>
    <w:rsid w:val="00BD2F11"/>
    <w:rsid w:val="00BD32CE"/>
    <w:rsid w:val="00BD34B6"/>
    <w:rsid w:val="00BD3600"/>
    <w:rsid w:val="00BD388F"/>
    <w:rsid w:val="00BD3985"/>
    <w:rsid w:val="00BD3AD0"/>
    <w:rsid w:val="00BD41F7"/>
    <w:rsid w:val="00BD42A6"/>
    <w:rsid w:val="00BD434A"/>
    <w:rsid w:val="00BD47A8"/>
    <w:rsid w:val="00BD48E6"/>
    <w:rsid w:val="00BD4E31"/>
    <w:rsid w:val="00BD5376"/>
    <w:rsid w:val="00BD53B0"/>
    <w:rsid w:val="00BD53DB"/>
    <w:rsid w:val="00BD543E"/>
    <w:rsid w:val="00BD61A2"/>
    <w:rsid w:val="00BD678C"/>
    <w:rsid w:val="00BD6960"/>
    <w:rsid w:val="00BD6A34"/>
    <w:rsid w:val="00BD6B2F"/>
    <w:rsid w:val="00BD6C00"/>
    <w:rsid w:val="00BD6D63"/>
    <w:rsid w:val="00BD739B"/>
    <w:rsid w:val="00BD745E"/>
    <w:rsid w:val="00BD761A"/>
    <w:rsid w:val="00BD76DA"/>
    <w:rsid w:val="00BD79BE"/>
    <w:rsid w:val="00BD7B73"/>
    <w:rsid w:val="00BD7CF6"/>
    <w:rsid w:val="00BD7D04"/>
    <w:rsid w:val="00BD7D0F"/>
    <w:rsid w:val="00BE00B2"/>
    <w:rsid w:val="00BE056B"/>
    <w:rsid w:val="00BE07F7"/>
    <w:rsid w:val="00BE0D93"/>
    <w:rsid w:val="00BE10F2"/>
    <w:rsid w:val="00BE11D8"/>
    <w:rsid w:val="00BE139F"/>
    <w:rsid w:val="00BE174A"/>
    <w:rsid w:val="00BE198C"/>
    <w:rsid w:val="00BE1B44"/>
    <w:rsid w:val="00BE2060"/>
    <w:rsid w:val="00BE2249"/>
    <w:rsid w:val="00BE267B"/>
    <w:rsid w:val="00BE268B"/>
    <w:rsid w:val="00BE2953"/>
    <w:rsid w:val="00BE2975"/>
    <w:rsid w:val="00BE2CF7"/>
    <w:rsid w:val="00BE2F5A"/>
    <w:rsid w:val="00BE3035"/>
    <w:rsid w:val="00BE3233"/>
    <w:rsid w:val="00BE348E"/>
    <w:rsid w:val="00BE353F"/>
    <w:rsid w:val="00BE3960"/>
    <w:rsid w:val="00BE3C36"/>
    <w:rsid w:val="00BE3E8A"/>
    <w:rsid w:val="00BE3E9B"/>
    <w:rsid w:val="00BE3F8F"/>
    <w:rsid w:val="00BE489A"/>
    <w:rsid w:val="00BE4EDB"/>
    <w:rsid w:val="00BE521A"/>
    <w:rsid w:val="00BE564F"/>
    <w:rsid w:val="00BE5658"/>
    <w:rsid w:val="00BE584B"/>
    <w:rsid w:val="00BE5933"/>
    <w:rsid w:val="00BE5B1D"/>
    <w:rsid w:val="00BE5E33"/>
    <w:rsid w:val="00BE6515"/>
    <w:rsid w:val="00BE68A7"/>
    <w:rsid w:val="00BE68AD"/>
    <w:rsid w:val="00BE68E7"/>
    <w:rsid w:val="00BE6E87"/>
    <w:rsid w:val="00BE7395"/>
    <w:rsid w:val="00BE7493"/>
    <w:rsid w:val="00BE788F"/>
    <w:rsid w:val="00BE7A7B"/>
    <w:rsid w:val="00BE7CC7"/>
    <w:rsid w:val="00BE7D49"/>
    <w:rsid w:val="00BE7E9D"/>
    <w:rsid w:val="00BE7FDF"/>
    <w:rsid w:val="00BF000B"/>
    <w:rsid w:val="00BF00B8"/>
    <w:rsid w:val="00BF01B8"/>
    <w:rsid w:val="00BF05CC"/>
    <w:rsid w:val="00BF0652"/>
    <w:rsid w:val="00BF081E"/>
    <w:rsid w:val="00BF0913"/>
    <w:rsid w:val="00BF09D6"/>
    <w:rsid w:val="00BF0A2E"/>
    <w:rsid w:val="00BF0B78"/>
    <w:rsid w:val="00BF0BFA"/>
    <w:rsid w:val="00BF0FE7"/>
    <w:rsid w:val="00BF159E"/>
    <w:rsid w:val="00BF1830"/>
    <w:rsid w:val="00BF1FF5"/>
    <w:rsid w:val="00BF212B"/>
    <w:rsid w:val="00BF22BD"/>
    <w:rsid w:val="00BF2581"/>
    <w:rsid w:val="00BF2CED"/>
    <w:rsid w:val="00BF303F"/>
    <w:rsid w:val="00BF32CF"/>
    <w:rsid w:val="00BF3399"/>
    <w:rsid w:val="00BF3670"/>
    <w:rsid w:val="00BF36C1"/>
    <w:rsid w:val="00BF3C5D"/>
    <w:rsid w:val="00BF3C8D"/>
    <w:rsid w:val="00BF3F1D"/>
    <w:rsid w:val="00BF4015"/>
    <w:rsid w:val="00BF4166"/>
    <w:rsid w:val="00BF4168"/>
    <w:rsid w:val="00BF424D"/>
    <w:rsid w:val="00BF4698"/>
    <w:rsid w:val="00BF495E"/>
    <w:rsid w:val="00BF4E90"/>
    <w:rsid w:val="00BF4FED"/>
    <w:rsid w:val="00BF51C8"/>
    <w:rsid w:val="00BF5416"/>
    <w:rsid w:val="00BF547E"/>
    <w:rsid w:val="00BF55FE"/>
    <w:rsid w:val="00BF56F0"/>
    <w:rsid w:val="00BF5A0E"/>
    <w:rsid w:val="00BF5D64"/>
    <w:rsid w:val="00BF5E3B"/>
    <w:rsid w:val="00BF5F1E"/>
    <w:rsid w:val="00BF6185"/>
    <w:rsid w:val="00BF6349"/>
    <w:rsid w:val="00BF6369"/>
    <w:rsid w:val="00BF63B2"/>
    <w:rsid w:val="00BF6B7F"/>
    <w:rsid w:val="00BF6BC6"/>
    <w:rsid w:val="00BF6E12"/>
    <w:rsid w:val="00BF7167"/>
    <w:rsid w:val="00BF71F2"/>
    <w:rsid w:val="00BF7304"/>
    <w:rsid w:val="00BF730B"/>
    <w:rsid w:val="00BF73F6"/>
    <w:rsid w:val="00BF762A"/>
    <w:rsid w:val="00BF791C"/>
    <w:rsid w:val="00BF7B25"/>
    <w:rsid w:val="00BF7B3B"/>
    <w:rsid w:val="00BF7E14"/>
    <w:rsid w:val="00C002A5"/>
    <w:rsid w:val="00C00302"/>
    <w:rsid w:val="00C00582"/>
    <w:rsid w:val="00C005C2"/>
    <w:rsid w:val="00C00669"/>
    <w:rsid w:val="00C00776"/>
    <w:rsid w:val="00C00817"/>
    <w:rsid w:val="00C00846"/>
    <w:rsid w:val="00C00930"/>
    <w:rsid w:val="00C00951"/>
    <w:rsid w:val="00C00B6C"/>
    <w:rsid w:val="00C01140"/>
    <w:rsid w:val="00C01207"/>
    <w:rsid w:val="00C0142C"/>
    <w:rsid w:val="00C0151A"/>
    <w:rsid w:val="00C01759"/>
    <w:rsid w:val="00C017BA"/>
    <w:rsid w:val="00C018F7"/>
    <w:rsid w:val="00C019C3"/>
    <w:rsid w:val="00C01BCA"/>
    <w:rsid w:val="00C01C16"/>
    <w:rsid w:val="00C01E2C"/>
    <w:rsid w:val="00C01FC2"/>
    <w:rsid w:val="00C022A8"/>
    <w:rsid w:val="00C023EF"/>
    <w:rsid w:val="00C0263F"/>
    <w:rsid w:val="00C029A1"/>
    <w:rsid w:val="00C02DBC"/>
    <w:rsid w:val="00C02E79"/>
    <w:rsid w:val="00C02F28"/>
    <w:rsid w:val="00C02F68"/>
    <w:rsid w:val="00C02FFA"/>
    <w:rsid w:val="00C0312E"/>
    <w:rsid w:val="00C03204"/>
    <w:rsid w:val="00C032DA"/>
    <w:rsid w:val="00C034E8"/>
    <w:rsid w:val="00C0398A"/>
    <w:rsid w:val="00C03F77"/>
    <w:rsid w:val="00C03FCA"/>
    <w:rsid w:val="00C041EE"/>
    <w:rsid w:val="00C04209"/>
    <w:rsid w:val="00C04445"/>
    <w:rsid w:val="00C047A8"/>
    <w:rsid w:val="00C04D59"/>
    <w:rsid w:val="00C05078"/>
    <w:rsid w:val="00C0544C"/>
    <w:rsid w:val="00C05838"/>
    <w:rsid w:val="00C05A2A"/>
    <w:rsid w:val="00C05A6B"/>
    <w:rsid w:val="00C05C76"/>
    <w:rsid w:val="00C05C9F"/>
    <w:rsid w:val="00C05D46"/>
    <w:rsid w:val="00C05FA2"/>
    <w:rsid w:val="00C0600D"/>
    <w:rsid w:val="00C0612E"/>
    <w:rsid w:val="00C06325"/>
    <w:rsid w:val="00C06464"/>
    <w:rsid w:val="00C067F3"/>
    <w:rsid w:val="00C069F6"/>
    <w:rsid w:val="00C06B22"/>
    <w:rsid w:val="00C06B3A"/>
    <w:rsid w:val="00C06BE8"/>
    <w:rsid w:val="00C06D90"/>
    <w:rsid w:val="00C06E14"/>
    <w:rsid w:val="00C06F08"/>
    <w:rsid w:val="00C073B9"/>
    <w:rsid w:val="00C07537"/>
    <w:rsid w:val="00C07538"/>
    <w:rsid w:val="00C07796"/>
    <w:rsid w:val="00C07940"/>
    <w:rsid w:val="00C07A52"/>
    <w:rsid w:val="00C10042"/>
    <w:rsid w:val="00C10084"/>
    <w:rsid w:val="00C10330"/>
    <w:rsid w:val="00C108C4"/>
    <w:rsid w:val="00C10B71"/>
    <w:rsid w:val="00C10CC0"/>
    <w:rsid w:val="00C10DAC"/>
    <w:rsid w:val="00C10F13"/>
    <w:rsid w:val="00C10FB0"/>
    <w:rsid w:val="00C110A6"/>
    <w:rsid w:val="00C11445"/>
    <w:rsid w:val="00C114FB"/>
    <w:rsid w:val="00C11D18"/>
    <w:rsid w:val="00C12707"/>
    <w:rsid w:val="00C1276D"/>
    <w:rsid w:val="00C12924"/>
    <w:rsid w:val="00C12DF5"/>
    <w:rsid w:val="00C12F1D"/>
    <w:rsid w:val="00C1326F"/>
    <w:rsid w:val="00C13433"/>
    <w:rsid w:val="00C134A4"/>
    <w:rsid w:val="00C13777"/>
    <w:rsid w:val="00C13C79"/>
    <w:rsid w:val="00C14CC8"/>
    <w:rsid w:val="00C15358"/>
    <w:rsid w:val="00C15406"/>
    <w:rsid w:val="00C15C6A"/>
    <w:rsid w:val="00C15D76"/>
    <w:rsid w:val="00C15DC6"/>
    <w:rsid w:val="00C15ECF"/>
    <w:rsid w:val="00C162DB"/>
    <w:rsid w:val="00C16487"/>
    <w:rsid w:val="00C16626"/>
    <w:rsid w:val="00C1673C"/>
    <w:rsid w:val="00C168DF"/>
    <w:rsid w:val="00C16AAC"/>
    <w:rsid w:val="00C16C1C"/>
    <w:rsid w:val="00C17013"/>
    <w:rsid w:val="00C17548"/>
    <w:rsid w:val="00C17692"/>
    <w:rsid w:val="00C17968"/>
    <w:rsid w:val="00C179C2"/>
    <w:rsid w:val="00C17A94"/>
    <w:rsid w:val="00C17B34"/>
    <w:rsid w:val="00C2011F"/>
    <w:rsid w:val="00C206F6"/>
    <w:rsid w:val="00C20B10"/>
    <w:rsid w:val="00C20BCE"/>
    <w:rsid w:val="00C20D81"/>
    <w:rsid w:val="00C20DFF"/>
    <w:rsid w:val="00C210B3"/>
    <w:rsid w:val="00C211A5"/>
    <w:rsid w:val="00C212F6"/>
    <w:rsid w:val="00C21383"/>
    <w:rsid w:val="00C2138A"/>
    <w:rsid w:val="00C213AA"/>
    <w:rsid w:val="00C213EE"/>
    <w:rsid w:val="00C214ED"/>
    <w:rsid w:val="00C2151B"/>
    <w:rsid w:val="00C21669"/>
    <w:rsid w:val="00C217E5"/>
    <w:rsid w:val="00C21A8B"/>
    <w:rsid w:val="00C21B95"/>
    <w:rsid w:val="00C21E04"/>
    <w:rsid w:val="00C21E13"/>
    <w:rsid w:val="00C21E6D"/>
    <w:rsid w:val="00C21FAC"/>
    <w:rsid w:val="00C22191"/>
    <w:rsid w:val="00C225E4"/>
    <w:rsid w:val="00C2275B"/>
    <w:rsid w:val="00C22C3C"/>
    <w:rsid w:val="00C23112"/>
    <w:rsid w:val="00C2323D"/>
    <w:rsid w:val="00C23241"/>
    <w:rsid w:val="00C233A4"/>
    <w:rsid w:val="00C2347E"/>
    <w:rsid w:val="00C23608"/>
    <w:rsid w:val="00C236B0"/>
    <w:rsid w:val="00C236C7"/>
    <w:rsid w:val="00C23703"/>
    <w:rsid w:val="00C23744"/>
    <w:rsid w:val="00C23790"/>
    <w:rsid w:val="00C238E7"/>
    <w:rsid w:val="00C238F2"/>
    <w:rsid w:val="00C23914"/>
    <w:rsid w:val="00C2398B"/>
    <w:rsid w:val="00C2399D"/>
    <w:rsid w:val="00C239AC"/>
    <w:rsid w:val="00C239E1"/>
    <w:rsid w:val="00C23E3A"/>
    <w:rsid w:val="00C24B0B"/>
    <w:rsid w:val="00C24C33"/>
    <w:rsid w:val="00C24D82"/>
    <w:rsid w:val="00C24F9C"/>
    <w:rsid w:val="00C2503A"/>
    <w:rsid w:val="00C25154"/>
    <w:rsid w:val="00C2535A"/>
    <w:rsid w:val="00C2540D"/>
    <w:rsid w:val="00C256CC"/>
    <w:rsid w:val="00C256F8"/>
    <w:rsid w:val="00C2598C"/>
    <w:rsid w:val="00C25DB2"/>
    <w:rsid w:val="00C25EC4"/>
    <w:rsid w:val="00C261D3"/>
    <w:rsid w:val="00C2623D"/>
    <w:rsid w:val="00C263F1"/>
    <w:rsid w:val="00C266E5"/>
    <w:rsid w:val="00C26B40"/>
    <w:rsid w:val="00C26C04"/>
    <w:rsid w:val="00C26F31"/>
    <w:rsid w:val="00C272A2"/>
    <w:rsid w:val="00C274D7"/>
    <w:rsid w:val="00C27670"/>
    <w:rsid w:val="00C27679"/>
    <w:rsid w:val="00C2780F"/>
    <w:rsid w:val="00C2786A"/>
    <w:rsid w:val="00C27BE7"/>
    <w:rsid w:val="00C27CA6"/>
    <w:rsid w:val="00C3017A"/>
    <w:rsid w:val="00C301DF"/>
    <w:rsid w:val="00C30270"/>
    <w:rsid w:val="00C302F6"/>
    <w:rsid w:val="00C3034D"/>
    <w:rsid w:val="00C30953"/>
    <w:rsid w:val="00C30BD8"/>
    <w:rsid w:val="00C30E6D"/>
    <w:rsid w:val="00C30E8D"/>
    <w:rsid w:val="00C30F9D"/>
    <w:rsid w:val="00C311C0"/>
    <w:rsid w:val="00C31521"/>
    <w:rsid w:val="00C31593"/>
    <w:rsid w:val="00C31760"/>
    <w:rsid w:val="00C318D3"/>
    <w:rsid w:val="00C318FA"/>
    <w:rsid w:val="00C31913"/>
    <w:rsid w:val="00C31BCF"/>
    <w:rsid w:val="00C31E36"/>
    <w:rsid w:val="00C32189"/>
    <w:rsid w:val="00C3228E"/>
    <w:rsid w:val="00C322C5"/>
    <w:rsid w:val="00C3244C"/>
    <w:rsid w:val="00C326B5"/>
    <w:rsid w:val="00C32994"/>
    <w:rsid w:val="00C32B4D"/>
    <w:rsid w:val="00C32CA5"/>
    <w:rsid w:val="00C32D32"/>
    <w:rsid w:val="00C339C7"/>
    <w:rsid w:val="00C33A54"/>
    <w:rsid w:val="00C33AEF"/>
    <w:rsid w:val="00C33BEC"/>
    <w:rsid w:val="00C33C40"/>
    <w:rsid w:val="00C3428A"/>
    <w:rsid w:val="00C3440D"/>
    <w:rsid w:val="00C345C6"/>
    <w:rsid w:val="00C34751"/>
    <w:rsid w:val="00C34809"/>
    <w:rsid w:val="00C34819"/>
    <w:rsid w:val="00C34C04"/>
    <w:rsid w:val="00C351FE"/>
    <w:rsid w:val="00C353D3"/>
    <w:rsid w:val="00C353F4"/>
    <w:rsid w:val="00C354A6"/>
    <w:rsid w:val="00C356CE"/>
    <w:rsid w:val="00C35744"/>
    <w:rsid w:val="00C35BA8"/>
    <w:rsid w:val="00C36366"/>
    <w:rsid w:val="00C36379"/>
    <w:rsid w:val="00C3647A"/>
    <w:rsid w:val="00C366FF"/>
    <w:rsid w:val="00C36A81"/>
    <w:rsid w:val="00C36D32"/>
    <w:rsid w:val="00C37086"/>
    <w:rsid w:val="00C37866"/>
    <w:rsid w:val="00C379B0"/>
    <w:rsid w:val="00C37ACA"/>
    <w:rsid w:val="00C37C54"/>
    <w:rsid w:val="00C37DCF"/>
    <w:rsid w:val="00C37E81"/>
    <w:rsid w:val="00C37EDA"/>
    <w:rsid w:val="00C4031E"/>
    <w:rsid w:val="00C40505"/>
    <w:rsid w:val="00C4074E"/>
    <w:rsid w:val="00C408E5"/>
    <w:rsid w:val="00C409EB"/>
    <w:rsid w:val="00C40D15"/>
    <w:rsid w:val="00C41329"/>
    <w:rsid w:val="00C41448"/>
    <w:rsid w:val="00C41663"/>
    <w:rsid w:val="00C41AE5"/>
    <w:rsid w:val="00C41C5D"/>
    <w:rsid w:val="00C41E23"/>
    <w:rsid w:val="00C41E78"/>
    <w:rsid w:val="00C41E93"/>
    <w:rsid w:val="00C42284"/>
    <w:rsid w:val="00C42592"/>
    <w:rsid w:val="00C426B7"/>
    <w:rsid w:val="00C426C2"/>
    <w:rsid w:val="00C426F2"/>
    <w:rsid w:val="00C4285F"/>
    <w:rsid w:val="00C42B08"/>
    <w:rsid w:val="00C430B7"/>
    <w:rsid w:val="00C43850"/>
    <w:rsid w:val="00C43A7C"/>
    <w:rsid w:val="00C43DCA"/>
    <w:rsid w:val="00C4489C"/>
    <w:rsid w:val="00C44908"/>
    <w:rsid w:val="00C44BA6"/>
    <w:rsid w:val="00C44DB0"/>
    <w:rsid w:val="00C44DC2"/>
    <w:rsid w:val="00C44EDC"/>
    <w:rsid w:val="00C450B6"/>
    <w:rsid w:val="00C451AA"/>
    <w:rsid w:val="00C45278"/>
    <w:rsid w:val="00C453A9"/>
    <w:rsid w:val="00C4541E"/>
    <w:rsid w:val="00C45696"/>
    <w:rsid w:val="00C456FE"/>
    <w:rsid w:val="00C45C7E"/>
    <w:rsid w:val="00C45E20"/>
    <w:rsid w:val="00C4644D"/>
    <w:rsid w:val="00C468C4"/>
    <w:rsid w:val="00C4695B"/>
    <w:rsid w:val="00C46DF5"/>
    <w:rsid w:val="00C47108"/>
    <w:rsid w:val="00C471E2"/>
    <w:rsid w:val="00C472F7"/>
    <w:rsid w:val="00C47369"/>
    <w:rsid w:val="00C4752A"/>
    <w:rsid w:val="00C47708"/>
    <w:rsid w:val="00C477D1"/>
    <w:rsid w:val="00C4780E"/>
    <w:rsid w:val="00C478F0"/>
    <w:rsid w:val="00C47920"/>
    <w:rsid w:val="00C47969"/>
    <w:rsid w:val="00C47AFA"/>
    <w:rsid w:val="00C47B28"/>
    <w:rsid w:val="00C47E36"/>
    <w:rsid w:val="00C47E51"/>
    <w:rsid w:val="00C5031A"/>
    <w:rsid w:val="00C503CB"/>
    <w:rsid w:val="00C506AA"/>
    <w:rsid w:val="00C50C02"/>
    <w:rsid w:val="00C514DE"/>
    <w:rsid w:val="00C5185F"/>
    <w:rsid w:val="00C51AA1"/>
    <w:rsid w:val="00C51BF8"/>
    <w:rsid w:val="00C51DA4"/>
    <w:rsid w:val="00C5222F"/>
    <w:rsid w:val="00C5223F"/>
    <w:rsid w:val="00C52EF1"/>
    <w:rsid w:val="00C5308B"/>
    <w:rsid w:val="00C5358F"/>
    <w:rsid w:val="00C535D4"/>
    <w:rsid w:val="00C537AE"/>
    <w:rsid w:val="00C5391A"/>
    <w:rsid w:val="00C53E10"/>
    <w:rsid w:val="00C54737"/>
    <w:rsid w:val="00C5482D"/>
    <w:rsid w:val="00C54AF2"/>
    <w:rsid w:val="00C54E22"/>
    <w:rsid w:val="00C55189"/>
    <w:rsid w:val="00C551EA"/>
    <w:rsid w:val="00C55251"/>
    <w:rsid w:val="00C55367"/>
    <w:rsid w:val="00C55389"/>
    <w:rsid w:val="00C5539D"/>
    <w:rsid w:val="00C554B5"/>
    <w:rsid w:val="00C555C0"/>
    <w:rsid w:val="00C55622"/>
    <w:rsid w:val="00C5572F"/>
    <w:rsid w:val="00C5579F"/>
    <w:rsid w:val="00C5582B"/>
    <w:rsid w:val="00C55C65"/>
    <w:rsid w:val="00C55E9B"/>
    <w:rsid w:val="00C56143"/>
    <w:rsid w:val="00C56377"/>
    <w:rsid w:val="00C566AF"/>
    <w:rsid w:val="00C5674C"/>
    <w:rsid w:val="00C56A00"/>
    <w:rsid w:val="00C56BA5"/>
    <w:rsid w:val="00C56C4F"/>
    <w:rsid w:val="00C56C9C"/>
    <w:rsid w:val="00C56EFF"/>
    <w:rsid w:val="00C57668"/>
    <w:rsid w:val="00C5777B"/>
    <w:rsid w:val="00C57817"/>
    <w:rsid w:val="00C5785D"/>
    <w:rsid w:val="00C57A78"/>
    <w:rsid w:val="00C57C1F"/>
    <w:rsid w:val="00C57C8C"/>
    <w:rsid w:val="00C57C94"/>
    <w:rsid w:val="00C60234"/>
    <w:rsid w:val="00C6030C"/>
    <w:rsid w:val="00C6084A"/>
    <w:rsid w:val="00C60970"/>
    <w:rsid w:val="00C60A07"/>
    <w:rsid w:val="00C60C7E"/>
    <w:rsid w:val="00C60F02"/>
    <w:rsid w:val="00C60F09"/>
    <w:rsid w:val="00C613D0"/>
    <w:rsid w:val="00C61543"/>
    <w:rsid w:val="00C61773"/>
    <w:rsid w:val="00C61945"/>
    <w:rsid w:val="00C61A28"/>
    <w:rsid w:val="00C61B36"/>
    <w:rsid w:val="00C61CF6"/>
    <w:rsid w:val="00C6207A"/>
    <w:rsid w:val="00C621F0"/>
    <w:rsid w:val="00C62311"/>
    <w:rsid w:val="00C624EE"/>
    <w:rsid w:val="00C625FE"/>
    <w:rsid w:val="00C628F4"/>
    <w:rsid w:val="00C62C3A"/>
    <w:rsid w:val="00C62E82"/>
    <w:rsid w:val="00C6316F"/>
    <w:rsid w:val="00C631B2"/>
    <w:rsid w:val="00C632AB"/>
    <w:rsid w:val="00C633C8"/>
    <w:rsid w:val="00C6364E"/>
    <w:rsid w:val="00C637EA"/>
    <w:rsid w:val="00C639A0"/>
    <w:rsid w:val="00C63AFE"/>
    <w:rsid w:val="00C63B31"/>
    <w:rsid w:val="00C63CA0"/>
    <w:rsid w:val="00C64131"/>
    <w:rsid w:val="00C64230"/>
    <w:rsid w:val="00C64670"/>
    <w:rsid w:val="00C64695"/>
    <w:rsid w:val="00C64826"/>
    <w:rsid w:val="00C648F9"/>
    <w:rsid w:val="00C64A4E"/>
    <w:rsid w:val="00C64A7D"/>
    <w:rsid w:val="00C64DF6"/>
    <w:rsid w:val="00C64F3E"/>
    <w:rsid w:val="00C64FBD"/>
    <w:rsid w:val="00C6590E"/>
    <w:rsid w:val="00C659B5"/>
    <w:rsid w:val="00C65EF5"/>
    <w:rsid w:val="00C65F8A"/>
    <w:rsid w:val="00C65F8D"/>
    <w:rsid w:val="00C66286"/>
    <w:rsid w:val="00C663D4"/>
    <w:rsid w:val="00C664B6"/>
    <w:rsid w:val="00C666CB"/>
    <w:rsid w:val="00C66842"/>
    <w:rsid w:val="00C668ED"/>
    <w:rsid w:val="00C66E69"/>
    <w:rsid w:val="00C6736D"/>
    <w:rsid w:val="00C67641"/>
    <w:rsid w:val="00C6798C"/>
    <w:rsid w:val="00C67B2C"/>
    <w:rsid w:val="00C67C64"/>
    <w:rsid w:val="00C67DF1"/>
    <w:rsid w:val="00C70034"/>
    <w:rsid w:val="00C70545"/>
    <w:rsid w:val="00C70778"/>
    <w:rsid w:val="00C70AAF"/>
    <w:rsid w:val="00C70F76"/>
    <w:rsid w:val="00C710AE"/>
    <w:rsid w:val="00C71535"/>
    <w:rsid w:val="00C71541"/>
    <w:rsid w:val="00C717BD"/>
    <w:rsid w:val="00C71DBD"/>
    <w:rsid w:val="00C71DE9"/>
    <w:rsid w:val="00C71F5B"/>
    <w:rsid w:val="00C72144"/>
    <w:rsid w:val="00C725CF"/>
    <w:rsid w:val="00C72A66"/>
    <w:rsid w:val="00C72BC5"/>
    <w:rsid w:val="00C72CDA"/>
    <w:rsid w:val="00C72D64"/>
    <w:rsid w:val="00C72E47"/>
    <w:rsid w:val="00C7310B"/>
    <w:rsid w:val="00C73187"/>
    <w:rsid w:val="00C732E3"/>
    <w:rsid w:val="00C73377"/>
    <w:rsid w:val="00C733B6"/>
    <w:rsid w:val="00C73504"/>
    <w:rsid w:val="00C7358C"/>
    <w:rsid w:val="00C73770"/>
    <w:rsid w:val="00C737B8"/>
    <w:rsid w:val="00C737ED"/>
    <w:rsid w:val="00C739A5"/>
    <w:rsid w:val="00C73E08"/>
    <w:rsid w:val="00C73EB0"/>
    <w:rsid w:val="00C74005"/>
    <w:rsid w:val="00C74118"/>
    <w:rsid w:val="00C74225"/>
    <w:rsid w:val="00C742E8"/>
    <w:rsid w:val="00C743EE"/>
    <w:rsid w:val="00C745D1"/>
    <w:rsid w:val="00C749BF"/>
    <w:rsid w:val="00C74A83"/>
    <w:rsid w:val="00C74A97"/>
    <w:rsid w:val="00C74B06"/>
    <w:rsid w:val="00C74D46"/>
    <w:rsid w:val="00C75112"/>
    <w:rsid w:val="00C7549D"/>
    <w:rsid w:val="00C757F6"/>
    <w:rsid w:val="00C76505"/>
    <w:rsid w:val="00C76E98"/>
    <w:rsid w:val="00C76F38"/>
    <w:rsid w:val="00C77665"/>
    <w:rsid w:val="00C77679"/>
    <w:rsid w:val="00C779E5"/>
    <w:rsid w:val="00C77E22"/>
    <w:rsid w:val="00C77ED9"/>
    <w:rsid w:val="00C77FEC"/>
    <w:rsid w:val="00C8043D"/>
    <w:rsid w:val="00C806CD"/>
    <w:rsid w:val="00C8070D"/>
    <w:rsid w:val="00C80953"/>
    <w:rsid w:val="00C80A7E"/>
    <w:rsid w:val="00C80F16"/>
    <w:rsid w:val="00C81072"/>
    <w:rsid w:val="00C81256"/>
    <w:rsid w:val="00C81261"/>
    <w:rsid w:val="00C8159E"/>
    <w:rsid w:val="00C81653"/>
    <w:rsid w:val="00C817AF"/>
    <w:rsid w:val="00C817EF"/>
    <w:rsid w:val="00C81969"/>
    <w:rsid w:val="00C81AB0"/>
    <w:rsid w:val="00C81C6E"/>
    <w:rsid w:val="00C81E18"/>
    <w:rsid w:val="00C81EA5"/>
    <w:rsid w:val="00C8212E"/>
    <w:rsid w:val="00C8225C"/>
    <w:rsid w:val="00C82416"/>
    <w:rsid w:val="00C8249D"/>
    <w:rsid w:val="00C8262D"/>
    <w:rsid w:val="00C82928"/>
    <w:rsid w:val="00C829D9"/>
    <w:rsid w:val="00C82BE1"/>
    <w:rsid w:val="00C82D8F"/>
    <w:rsid w:val="00C82DB3"/>
    <w:rsid w:val="00C82EF7"/>
    <w:rsid w:val="00C82F47"/>
    <w:rsid w:val="00C82F9B"/>
    <w:rsid w:val="00C82FED"/>
    <w:rsid w:val="00C833AA"/>
    <w:rsid w:val="00C836BA"/>
    <w:rsid w:val="00C837B0"/>
    <w:rsid w:val="00C8397E"/>
    <w:rsid w:val="00C83A11"/>
    <w:rsid w:val="00C83C26"/>
    <w:rsid w:val="00C83F13"/>
    <w:rsid w:val="00C8418B"/>
    <w:rsid w:val="00C84203"/>
    <w:rsid w:val="00C8430F"/>
    <w:rsid w:val="00C84519"/>
    <w:rsid w:val="00C84691"/>
    <w:rsid w:val="00C847C9"/>
    <w:rsid w:val="00C847FA"/>
    <w:rsid w:val="00C848E8"/>
    <w:rsid w:val="00C84BFE"/>
    <w:rsid w:val="00C84FAB"/>
    <w:rsid w:val="00C84FED"/>
    <w:rsid w:val="00C85A4D"/>
    <w:rsid w:val="00C85CAD"/>
    <w:rsid w:val="00C86161"/>
    <w:rsid w:val="00C863B2"/>
    <w:rsid w:val="00C8647A"/>
    <w:rsid w:val="00C86516"/>
    <w:rsid w:val="00C86808"/>
    <w:rsid w:val="00C86A30"/>
    <w:rsid w:val="00C86B61"/>
    <w:rsid w:val="00C86ECD"/>
    <w:rsid w:val="00C86FA8"/>
    <w:rsid w:val="00C87581"/>
    <w:rsid w:val="00C876DD"/>
    <w:rsid w:val="00C8777C"/>
    <w:rsid w:val="00C878ED"/>
    <w:rsid w:val="00C879BE"/>
    <w:rsid w:val="00C87A44"/>
    <w:rsid w:val="00C87F39"/>
    <w:rsid w:val="00C900A1"/>
    <w:rsid w:val="00C90167"/>
    <w:rsid w:val="00C90454"/>
    <w:rsid w:val="00C904DB"/>
    <w:rsid w:val="00C9067B"/>
    <w:rsid w:val="00C908CC"/>
    <w:rsid w:val="00C90987"/>
    <w:rsid w:val="00C90B05"/>
    <w:rsid w:val="00C90D6F"/>
    <w:rsid w:val="00C90E95"/>
    <w:rsid w:val="00C90ED7"/>
    <w:rsid w:val="00C90F4C"/>
    <w:rsid w:val="00C914B7"/>
    <w:rsid w:val="00C916E2"/>
    <w:rsid w:val="00C91A42"/>
    <w:rsid w:val="00C91F1C"/>
    <w:rsid w:val="00C92087"/>
    <w:rsid w:val="00C924BB"/>
    <w:rsid w:val="00C9258A"/>
    <w:rsid w:val="00C925B6"/>
    <w:rsid w:val="00C926CD"/>
    <w:rsid w:val="00C92D88"/>
    <w:rsid w:val="00C92DA5"/>
    <w:rsid w:val="00C92E17"/>
    <w:rsid w:val="00C93137"/>
    <w:rsid w:val="00C931C0"/>
    <w:rsid w:val="00C93740"/>
    <w:rsid w:val="00C93F32"/>
    <w:rsid w:val="00C93F94"/>
    <w:rsid w:val="00C9400E"/>
    <w:rsid w:val="00C94102"/>
    <w:rsid w:val="00C94145"/>
    <w:rsid w:val="00C941CD"/>
    <w:rsid w:val="00C9426A"/>
    <w:rsid w:val="00C943AC"/>
    <w:rsid w:val="00C945F4"/>
    <w:rsid w:val="00C94844"/>
    <w:rsid w:val="00C94D42"/>
    <w:rsid w:val="00C94E85"/>
    <w:rsid w:val="00C95556"/>
    <w:rsid w:val="00C95579"/>
    <w:rsid w:val="00C95904"/>
    <w:rsid w:val="00C959EB"/>
    <w:rsid w:val="00C959FD"/>
    <w:rsid w:val="00C95B88"/>
    <w:rsid w:val="00C95C35"/>
    <w:rsid w:val="00C960D4"/>
    <w:rsid w:val="00C9615E"/>
    <w:rsid w:val="00C961FA"/>
    <w:rsid w:val="00C962B4"/>
    <w:rsid w:val="00C963B4"/>
    <w:rsid w:val="00C963B6"/>
    <w:rsid w:val="00C963DC"/>
    <w:rsid w:val="00C964AA"/>
    <w:rsid w:val="00C96890"/>
    <w:rsid w:val="00C9693A"/>
    <w:rsid w:val="00C96C0F"/>
    <w:rsid w:val="00C96C41"/>
    <w:rsid w:val="00C96FF1"/>
    <w:rsid w:val="00C970E0"/>
    <w:rsid w:val="00C971EA"/>
    <w:rsid w:val="00C972FF"/>
    <w:rsid w:val="00C974B1"/>
    <w:rsid w:val="00C97610"/>
    <w:rsid w:val="00C97831"/>
    <w:rsid w:val="00C97884"/>
    <w:rsid w:val="00C979EE"/>
    <w:rsid w:val="00C97A0F"/>
    <w:rsid w:val="00C97A7C"/>
    <w:rsid w:val="00C97EA3"/>
    <w:rsid w:val="00C97F0F"/>
    <w:rsid w:val="00C97FB6"/>
    <w:rsid w:val="00CA0364"/>
    <w:rsid w:val="00CA0F03"/>
    <w:rsid w:val="00CA0FD6"/>
    <w:rsid w:val="00CA105F"/>
    <w:rsid w:val="00CA1309"/>
    <w:rsid w:val="00CA1359"/>
    <w:rsid w:val="00CA14E7"/>
    <w:rsid w:val="00CA15C9"/>
    <w:rsid w:val="00CA1671"/>
    <w:rsid w:val="00CA17E3"/>
    <w:rsid w:val="00CA1BF5"/>
    <w:rsid w:val="00CA1DF5"/>
    <w:rsid w:val="00CA1FAB"/>
    <w:rsid w:val="00CA2171"/>
    <w:rsid w:val="00CA21C5"/>
    <w:rsid w:val="00CA243D"/>
    <w:rsid w:val="00CA2BA0"/>
    <w:rsid w:val="00CA2C12"/>
    <w:rsid w:val="00CA2E68"/>
    <w:rsid w:val="00CA2F99"/>
    <w:rsid w:val="00CA2FAD"/>
    <w:rsid w:val="00CA30AC"/>
    <w:rsid w:val="00CA30B7"/>
    <w:rsid w:val="00CA3386"/>
    <w:rsid w:val="00CA34A3"/>
    <w:rsid w:val="00CA365D"/>
    <w:rsid w:val="00CA36B1"/>
    <w:rsid w:val="00CA3911"/>
    <w:rsid w:val="00CA3BBB"/>
    <w:rsid w:val="00CA3BD0"/>
    <w:rsid w:val="00CA3D28"/>
    <w:rsid w:val="00CA3D30"/>
    <w:rsid w:val="00CA3DF2"/>
    <w:rsid w:val="00CA426C"/>
    <w:rsid w:val="00CA432D"/>
    <w:rsid w:val="00CA4490"/>
    <w:rsid w:val="00CA45E2"/>
    <w:rsid w:val="00CA46E7"/>
    <w:rsid w:val="00CA476E"/>
    <w:rsid w:val="00CA4B34"/>
    <w:rsid w:val="00CA558D"/>
    <w:rsid w:val="00CA593E"/>
    <w:rsid w:val="00CA59C7"/>
    <w:rsid w:val="00CA59DA"/>
    <w:rsid w:val="00CA5E54"/>
    <w:rsid w:val="00CA5F3A"/>
    <w:rsid w:val="00CA641F"/>
    <w:rsid w:val="00CA6607"/>
    <w:rsid w:val="00CA6782"/>
    <w:rsid w:val="00CA6CBC"/>
    <w:rsid w:val="00CA6D21"/>
    <w:rsid w:val="00CA6FC2"/>
    <w:rsid w:val="00CA735B"/>
    <w:rsid w:val="00CA74E0"/>
    <w:rsid w:val="00CA7B39"/>
    <w:rsid w:val="00CB005A"/>
    <w:rsid w:val="00CB006B"/>
    <w:rsid w:val="00CB00C1"/>
    <w:rsid w:val="00CB0362"/>
    <w:rsid w:val="00CB06A0"/>
    <w:rsid w:val="00CB06EC"/>
    <w:rsid w:val="00CB0743"/>
    <w:rsid w:val="00CB07AD"/>
    <w:rsid w:val="00CB0DE0"/>
    <w:rsid w:val="00CB0F47"/>
    <w:rsid w:val="00CB1029"/>
    <w:rsid w:val="00CB12E7"/>
    <w:rsid w:val="00CB1493"/>
    <w:rsid w:val="00CB14A7"/>
    <w:rsid w:val="00CB1619"/>
    <w:rsid w:val="00CB163A"/>
    <w:rsid w:val="00CB1679"/>
    <w:rsid w:val="00CB1761"/>
    <w:rsid w:val="00CB1891"/>
    <w:rsid w:val="00CB1B60"/>
    <w:rsid w:val="00CB1DBE"/>
    <w:rsid w:val="00CB21DE"/>
    <w:rsid w:val="00CB22CC"/>
    <w:rsid w:val="00CB25ED"/>
    <w:rsid w:val="00CB268D"/>
    <w:rsid w:val="00CB2765"/>
    <w:rsid w:val="00CB2901"/>
    <w:rsid w:val="00CB2993"/>
    <w:rsid w:val="00CB2AEB"/>
    <w:rsid w:val="00CB2BFB"/>
    <w:rsid w:val="00CB2E0A"/>
    <w:rsid w:val="00CB2ECB"/>
    <w:rsid w:val="00CB2F0A"/>
    <w:rsid w:val="00CB3143"/>
    <w:rsid w:val="00CB35DF"/>
    <w:rsid w:val="00CB383B"/>
    <w:rsid w:val="00CB3B3C"/>
    <w:rsid w:val="00CB3CB4"/>
    <w:rsid w:val="00CB3F22"/>
    <w:rsid w:val="00CB4270"/>
    <w:rsid w:val="00CB4371"/>
    <w:rsid w:val="00CB46D7"/>
    <w:rsid w:val="00CB4ABF"/>
    <w:rsid w:val="00CB4E2E"/>
    <w:rsid w:val="00CB52EA"/>
    <w:rsid w:val="00CB54BF"/>
    <w:rsid w:val="00CB55FF"/>
    <w:rsid w:val="00CB574D"/>
    <w:rsid w:val="00CB5926"/>
    <w:rsid w:val="00CB5A1E"/>
    <w:rsid w:val="00CB5D4E"/>
    <w:rsid w:val="00CB6011"/>
    <w:rsid w:val="00CB642F"/>
    <w:rsid w:val="00CB6A57"/>
    <w:rsid w:val="00CB6E35"/>
    <w:rsid w:val="00CB6E8B"/>
    <w:rsid w:val="00CB6F37"/>
    <w:rsid w:val="00CB73AC"/>
    <w:rsid w:val="00CB7D1B"/>
    <w:rsid w:val="00CC0170"/>
    <w:rsid w:val="00CC019C"/>
    <w:rsid w:val="00CC02F2"/>
    <w:rsid w:val="00CC05EA"/>
    <w:rsid w:val="00CC065F"/>
    <w:rsid w:val="00CC069E"/>
    <w:rsid w:val="00CC0966"/>
    <w:rsid w:val="00CC0A85"/>
    <w:rsid w:val="00CC0DF8"/>
    <w:rsid w:val="00CC0E09"/>
    <w:rsid w:val="00CC0F49"/>
    <w:rsid w:val="00CC0F65"/>
    <w:rsid w:val="00CC0F71"/>
    <w:rsid w:val="00CC1413"/>
    <w:rsid w:val="00CC14FE"/>
    <w:rsid w:val="00CC1524"/>
    <w:rsid w:val="00CC1573"/>
    <w:rsid w:val="00CC185C"/>
    <w:rsid w:val="00CC1A49"/>
    <w:rsid w:val="00CC1B17"/>
    <w:rsid w:val="00CC1B2D"/>
    <w:rsid w:val="00CC1EE1"/>
    <w:rsid w:val="00CC1F35"/>
    <w:rsid w:val="00CC1FB5"/>
    <w:rsid w:val="00CC2156"/>
    <w:rsid w:val="00CC2214"/>
    <w:rsid w:val="00CC2333"/>
    <w:rsid w:val="00CC24B2"/>
    <w:rsid w:val="00CC263D"/>
    <w:rsid w:val="00CC26B2"/>
    <w:rsid w:val="00CC28C8"/>
    <w:rsid w:val="00CC2B35"/>
    <w:rsid w:val="00CC2DB1"/>
    <w:rsid w:val="00CC3095"/>
    <w:rsid w:val="00CC30A6"/>
    <w:rsid w:val="00CC31DE"/>
    <w:rsid w:val="00CC34B4"/>
    <w:rsid w:val="00CC3617"/>
    <w:rsid w:val="00CC3749"/>
    <w:rsid w:val="00CC3970"/>
    <w:rsid w:val="00CC3C98"/>
    <w:rsid w:val="00CC40E5"/>
    <w:rsid w:val="00CC41A2"/>
    <w:rsid w:val="00CC4228"/>
    <w:rsid w:val="00CC4726"/>
    <w:rsid w:val="00CC4768"/>
    <w:rsid w:val="00CC48B6"/>
    <w:rsid w:val="00CC4963"/>
    <w:rsid w:val="00CC4B9E"/>
    <w:rsid w:val="00CC4CA6"/>
    <w:rsid w:val="00CC545D"/>
    <w:rsid w:val="00CC5633"/>
    <w:rsid w:val="00CC572B"/>
    <w:rsid w:val="00CC57C6"/>
    <w:rsid w:val="00CC59EE"/>
    <w:rsid w:val="00CC5FA4"/>
    <w:rsid w:val="00CC6079"/>
    <w:rsid w:val="00CC608C"/>
    <w:rsid w:val="00CC61DD"/>
    <w:rsid w:val="00CC6679"/>
    <w:rsid w:val="00CC66C1"/>
    <w:rsid w:val="00CC66E3"/>
    <w:rsid w:val="00CC6734"/>
    <w:rsid w:val="00CC68EE"/>
    <w:rsid w:val="00CC6A51"/>
    <w:rsid w:val="00CC6A6C"/>
    <w:rsid w:val="00CC7084"/>
    <w:rsid w:val="00CC70A2"/>
    <w:rsid w:val="00CC7504"/>
    <w:rsid w:val="00CC75B9"/>
    <w:rsid w:val="00CC7698"/>
    <w:rsid w:val="00CC7B07"/>
    <w:rsid w:val="00CC7B51"/>
    <w:rsid w:val="00CC7BD3"/>
    <w:rsid w:val="00CC7CC6"/>
    <w:rsid w:val="00CC7D01"/>
    <w:rsid w:val="00CC7D89"/>
    <w:rsid w:val="00CD0370"/>
    <w:rsid w:val="00CD0688"/>
    <w:rsid w:val="00CD0784"/>
    <w:rsid w:val="00CD083E"/>
    <w:rsid w:val="00CD0BC8"/>
    <w:rsid w:val="00CD0C0C"/>
    <w:rsid w:val="00CD0C5B"/>
    <w:rsid w:val="00CD157B"/>
    <w:rsid w:val="00CD16B1"/>
    <w:rsid w:val="00CD183D"/>
    <w:rsid w:val="00CD1992"/>
    <w:rsid w:val="00CD1A2F"/>
    <w:rsid w:val="00CD1B39"/>
    <w:rsid w:val="00CD1BB6"/>
    <w:rsid w:val="00CD213F"/>
    <w:rsid w:val="00CD2834"/>
    <w:rsid w:val="00CD294C"/>
    <w:rsid w:val="00CD29AB"/>
    <w:rsid w:val="00CD2BF8"/>
    <w:rsid w:val="00CD3149"/>
    <w:rsid w:val="00CD372E"/>
    <w:rsid w:val="00CD388D"/>
    <w:rsid w:val="00CD38CB"/>
    <w:rsid w:val="00CD3943"/>
    <w:rsid w:val="00CD39BD"/>
    <w:rsid w:val="00CD3B89"/>
    <w:rsid w:val="00CD431D"/>
    <w:rsid w:val="00CD43F0"/>
    <w:rsid w:val="00CD4A96"/>
    <w:rsid w:val="00CD4B50"/>
    <w:rsid w:val="00CD4EDC"/>
    <w:rsid w:val="00CD5089"/>
    <w:rsid w:val="00CD51BB"/>
    <w:rsid w:val="00CD532C"/>
    <w:rsid w:val="00CD5508"/>
    <w:rsid w:val="00CD5511"/>
    <w:rsid w:val="00CD5681"/>
    <w:rsid w:val="00CD5E0B"/>
    <w:rsid w:val="00CD6330"/>
    <w:rsid w:val="00CD64CE"/>
    <w:rsid w:val="00CD6507"/>
    <w:rsid w:val="00CD6538"/>
    <w:rsid w:val="00CD65B9"/>
    <w:rsid w:val="00CD6688"/>
    <w:rsid w:val="00CD697C"/>
    <w:rsid w:val="00CD69AE"/>
    <w:rsid w:val="00CD6FE3"/>
    <w:rsid w:val="00CD70E8"/>
    <w:rsid w:val="00CD7124"/>
    <w:rsid w:val="00CD738A"/>
    <w:rsid w:val="00CD73C1"/>
    <w:rsid w:val="00CD77F0"/>
    <w:rsid w:val="00CD79F2"/>
    <w:rsid w:val="00CD7A19"/>
    <w:rsid w:val="00CD7E51"/>
    <w:rsid w:val="00CD7E93"/>
    <w:rsid w:val="00CD7ED1"/>
    <w:rsid w:val="00CD7EFE"/>
    <w:rsid w:val="00CD7F97"/>
    <w:rsid w:val="00CD7F98"/>
    <w:rsid w:val="00CE0119"/>
    <w:rsid w:val="00CE0143"/>
    <w:rsid w:val="00CE0150"/>
    <w:rsid w:val="00CE05B3"/>
    <w:rsid w:val="00CE0671"/>
    <w:rsid w:val="00CE07B0"/>
    <w:rsid w:val="00CE0AEB"/>
    <w:rsid w:val="00CE0B11"/>
    <w:rsid w:val="00CE0C94"/>
    <w:rsid w:val="00CE0D01"/>
    <w:rsid w:val="00CE156E"/>
    <w:rsid w:val="00CE15DE"/>
    <w:rsid w:val="00CE1812"/>
    <w:rsid w:val="00CE1AB4"/>
    <w:rsid w:val="00CE1CCD"/>
    <w:rsid w:val="00CE1CF9"/>
    <w:rsid w:val="00CE1DA9"/>
    <w:rsid w:val="00CE1EB4"/>
    <w:rsid w:val="00CE1ED6"/>
    <w:rsid w:val="00CE1F56"/>
    <w:rsid w:val="00CE25CE"/>
    <w:rsid w:val="00CE2BB8"/>
    <w:rsid w:val="00CE327E"/>
    <w:rsid w:val="00CE33DF"/>
    <w:rsid w:val="00CE3560"/>
    <w:rsid w:val="00CE3861"/>
    <w:rsid w:val="00CE3AA0"/>
    <w:rsid w:val="00CE3DFD"/>
    <w:rsid w:val="00CE3EFE"/>
    <w:rsid w:val="00CE3FED"/>
    <w:rsid w:val="00CE40E2"/>
    <w:rsid w:val="00CE4474"/>
    <w:rsid w:val="00CE46A7"/>
    <w:rsid w:val="00CE4856"/>
    <w:rsid w:val="00CE4858"/>
    <w:rsid w:val="00CE4A19"/>
    <w:rsid w:val="00CE4C6C"/>
    <w:rsid w:val="00CE4CE1"/>
    <w:rsid w:val="00CE4DC6"/>
    <w:rsid w:val="00CE5170"/>
    <w:rsid w:val="00CE51F5"/>
    <w:rsid w:val="00CE550C"/>
    <w:rsid w:val="00CE5644"/>
    <w:rsid w:val="00CE570B"/>
    <w:rsid w:val="00CE5820"/>
    <w:rsid w:val="00CE59E0"/>
    <w:rsid w:val="00CE5A04"/>
    <w:rsid w:val="00CE5A1A"/>
    <w:rsid w:val="00CE5B07"/>
    <w:rsid w:val="00CE601B"/>
    <w:rsid w:val="00CE63A2"/>
    <w:rsid w:val="00CE6DFB"/>
    <w:rsid w:val="00CE700D"/>
    <w:rsid w:val="00CE7253"/>
    <w:rsid w:val="00CE7343"/>
    <w:rsid w:val="00CE73D9"/>
    <w:rsid w:val="00CE7809"/>
    <w:rsid w:val="00CE7BB2"/>
    <w:rsid w:val="00CE7BC4"/>
    <w:rsid w:val="00CE7CF8"/>
    <w:rsid w:val="00CE7E68"/>
    <w:rsid w:val="00CE7F1D"/>
    <w:rsid w:val="00CF0107"/>
    <w:rsid w:val="00CF0148"/>
    <w:rsid w:val="00CF034C"/>
    <w:rsid w:val="00CF0396"/>
    <w:rsid w:val="00CF041A"/>
    <w:rsid w:val="00CF0706"/>
    <w:rsid w:val="00CF09E4"/>
    <w:rsid w:val="00CF0BD9"/>
    <w:rsid w:val="00CF0C2F"/>
    <w:rsid w:val="00CF0D84"/>
    <w:rsid w:val="00CF1778"/>
    <w:rsid w:val="00CF1D8A"/>
    <w:rsid w:val="00CF203E"/>
    <w:rsid w:val="00CF2211"/>
    <w:rsid w:val="00CF236B"/>
    <w:rsid w:val="00CF27A8"/>
    <w:rsid w:val="00CF2937"/>
    <w:rsid w:val="00CF2AF5"/>
    <w:rsid w:val="00CF2D25"/>
    <w:rsid w:val="00CF2DEE"/>
    <w:rsid w:val="00CF3020"/>
    <w:rsid w:val="00CF30EC"/>
    <w:rsid w:val="00CF3278"/>
    <w:rsid w:val="00CF3354"/>
    <w:rsid w:val="00CF346F"/>
    <w:rsid w:val="00CF3804"/>
    <w:rsid w:val="00CF3818"/>
    <w:rsid w:val="00CF38A0"/>
    <w:rsid w:val="00CF38DE"/>
    <w:rsid w:val="00CF393B"/>
    <w:rsid w:val="00CF3A3C"/>
    <w:rsid w:val="00CF3C81"/>
    <w:rsid w:val="00CF4175"/>
    <w:rsid w:val="00CF47F9"/>
    <w:rsid w:val="00CF487B"/>
    <w:rsid w:val="00CF4B88"/>
    <w:rsid w:val="00CF4CB8"/>
    <w:rsid w:val="00CF4D45"/>
    <w:rsid w:val="00CF4E6F"/>
    <w:rsid w:val="00CF508C"/>
    <w:rsid w:val="00CF54B4"/>
    <w:rsid w:val="00CF55F7"/>
    <w:rsid w:val="00CF58FE"/>
    <w:rsid w:val="00CF5A12"/>
    <w:rsid w:val="00CF5A65"/>
    <w:rsid w:val="00CF5D42"/>
    <w:rsid w:val="00CF5DCC"/>
    <w:rsid w:val="00CF5F17"/>
    <w:rsid w:val="00CF6013"/>
    <w:rsid w:val="00CF60B7"/>
    <w:rsid w:val="00CF6222"/>
    <w:rsid w:val="00CF6286"/>
    <w:rsid w:val="00CF62B7"/>
    <w:rsid w:val="00CF662C"/>
    <w:rsid w:val="00CF6840"/>
    <w:rsid w:val="00CF6A35"/>
    <w:rsid w:val="00CF6A86"/>
    <w:rsid w:val="00CF6B59"/>
    <w:rsid w:val="00CF6DC7"/>
    <w:rsid w:val="00CF7167"/>
    <w:rsid w:val="00CF71A3"/>
    <w:rsid w:val="00CF739D"/>
    <w:rsid w:val="00CF794C"/>
    <w:rsid w:val="00CF7AAE"/>
    <w:rsid w:val="00CF7AEE"/>
    <w:rsid w:val="00CF7BB2"/>
    <w:rsid w:val="00CF7DA3"/>
    <w:rsid w:val="00D0052C"/>
    <w:rsid w:val="00D00586"/>
    <w:rsid w:val="00D009C0"/>
    <w:rsid w:val="00D00B1D"/>
    <w:rsid w:val="00D00B8D"/>
    <w:rsid w:val="00D00FD6"/>
    <w:rsid w:val="00D0123C"/>
    <w:rsid w:val="00D015A7"/>
    <w:rsid w:val="00D015AD"/>
    <w:rsid w:val="00D01A1D"/>
    <w:rsid w:val="00D01F37"/>
    <w:rsid w:val="00D01FA6"/>
    <w:rsid w:val="00D0206E"/>
    <w:rsid w:val="00D020DB"/>
    <w:rsid w:val="00D0210F"/>
    <w:rsid w:val="00D023FB"/>
    <w:rsid w:val="00D02608"/>
    <w:rsid w:val="00D02757"/>
    <w:rsid w:val="00D02C69"/>
    <w:rsid w:val="00D02D1D"/>
    <w:rsid w:val="00D02D95"/>
    <w:rsid w:val="00D02E34"/>
    <w:rsid w:val="00D02F55"/>
    <w:rsid w:val="00D0304D"/>
    <w:rsid w:val="00D03F37"/>
    <w:rsid w:val="00D03F3D"/>
    <w:rsid w:val="00D03FC6"/>
    <w:rsid w:val="00D040E9"/>
    <w:rsid w:val="00D04112"/>
    <w:rsid w:val="00D04124"/>
    <w:rsid w:val="00D041FA"/>
    <w:rsid w:val="00D0430E"/>
    <w:rsid w:val="00D043A6"/>
    <w:rsid w:val="00D043EE"/>
    <w:rsid w:val="00D04481"/>
    <w:rsid w:val="00D04499"/>
    <w:rsid w:val="00D04720"/>
    <w:rsid w:val="00D049BD"/>
    <w:rsid w:val="00D04CAD"/>
    <w:rsid w:val="00D05169"/>
    <w:rsid w:val="00D051E9"/>
    <w:rsid w:val="00D055A1"/>
    <w:rsid w:val="00D0565B"/>
    <w:rsid w:val="00D05B8D"/>
    <w:rsid w:val="00D05BC2"/>
    <w:rsid w:val="00D05D9E"/>
    <w:rsid w:val="00D05FA6"/>
    <w:rsid w:val="00D06340"/>
    <w:rsid w:val="00D06726"/>
    <w:rsid w:val="00D06830"/>
    <w:rsid w:val="00D0684A"/>
    <w:rsid w:val="00D06AEF"/>
    <w:rsid w:val="00D06C3C"/>
    <w:rsid w:val="00D06F4B"/>
    <w:rsid w:val="00D07013"/>
    <w:rsid w:val="00D071E5"/>
    <w:rsid w:val="00D07203"/>
    <w:rsid w:val="00D073A0"/>
    <w:rsid w:val="00D07400"/>
    <w:rsid w:val="00D07625"/>
    <w:rsid w:val="00D0765A"/>
    <w:rsid w:val="00D07EB7"/>
    <w:rsid w:val="00D100E5"/>
    <w:rsid w:val="00D10263"/>
    <w:rsid w:val="00D1029E"/>
    <w:rsid w:val="00D104B8"/>
    <w:rsid w:val="00D10569"/>
    <w:rsid w:val="00D10572"/>
    <w:rsid w:val="00D1070F"/>
    <w:rsid w:val="00D10CCF"/>
    <w:rsid w:val="00D10FB9"/>
    <w:rsid w:val="00D112A9"/>
    <w:rsid w:val="00D11532"/>
    <w:rsid w:val="00D11646"/>
    <w:rsid w:val="00D11958"/>
    <w:rsid w:val="00D11A9C"/>
    <w:rsid w:val="00D11AC3"/>
    <w:rsid w:val="00D11D18"/>
    <w:rsid w:val="00D12095"/>
    <w:rsid w:val="00D1210F"/>
    <w:rsid w:val="00D12263"/>
    <w:rsid w:val="00D123C8"/>
    <w:rsid w:val="00D12465"/>
    <w:rsid w:val="00D12768"/>
    <w:rsid w:val="00D12AC5"/>
    <w:rsid w:val="00D12B7A"/>
    <w:rsid w:val="00D12C1F"/>
    <w:rsid w:val="00D12D14"/>
    <w:rsid w:val="00D12F92"/>
    <w:rsid w:val="00D13137"/>
    <w:rsid w:val="00D13148"/>
    <w:rsid w:val="00D132A1"/>
    <w:rsid w:val="00D13553"/>
    <w:rsid w:val="00D137CE"/>
    <w:rsid w:val="00D13804"/>
    <w:rsid w:val="00D13A12"/>
    <w:rsid w:val="00D13A19"/>
    <w:rsid w:val="00D13B54"/>
    <w:rsid w:val="00D143D6"/>
    <w:rsid w:val="00D14542"/>
    <w:rsid w:val="00D14551"/>
    <w:rsid w:val="00D147B9"/>
    <w:rsid w:val="00D15025"/>
    <w:rsid w:val="00D1574C"/>
    <w:rsid w:val="00D15798"/>
    <w:rsid w:val="00D158CC"/>
    <w:rsid w:val="00D15951"/>
    <w:rsid w:val="00D15A0F"/>
    <w:rsid w:val="00D15A1F"/>
    <w:rsid w:val="00D15C27"/>
    <w:rsid w:val="00D15EA5"/>
    <w:rsid w:val="00D15FD1"/>
    <w:rsid w:val="00D1606A"/>
    <w:rsid w:val="00D16370"/>
    <w:rsid w:val="00D16472"/>
    <w:rsid w:val="00D164F9"/>
    <w:rsid w:val="00D16807"/>
    <w:rsid w:val="00D16A49"/>
    <w:rsid w:val="00D17349"/>
    <w:rsid w:val="00D17444"/>
    <w:rsid w:val="00D17B0E"/>
    <w:rsid w:val="00D20056"/>
    <w:rsid w:val="00D20093"/>
    <w:rsid w:val="00D20376"/>
    <w:rsid w:val="00D20671"/>
    <w:rsid w:val="00D206D6"/>
    <w:rsid w:val="00D207AB"/>
    <w:rsid w:val="00D209B7"/>
    <w:rsid w:val="00D20E87"/>
    <w:rsid w:val="00D20F33"/>
    <w:rsid w:val="00D20F5D"/>
    <w:rsid w:val="00D215DE"/>
    <w:rsid w:val="00D21666"/>
    <w:rsid w:val="00D21812"/>
    <w:rsid w:val="00D21831"/>
    <w:rsid w:val="00D21DCF"/>
    <w:rsid w:val="00D21E6D"/>
    <w:rsid w:val="00D2215C"/>
    <w:rsid w:val="00D222E3"/>
    <w:rsid w:val="00D22981"/>
    <w:rsid w:val="00D22E4F"/>
    <w:rsid w:val="00D22F66"/>
    <w:rsid w:val="00D2321D"/>
    <w:rsid w:val="00D2329D"/>
    <w:rsid w:val="00D2339F"/>
    <w:rsid w:val="00D233A4"/>
    <w:rsid w:val="00D23787"/>
    <w:rsid w:val="00D23E44"/>
    <w:rsid w:val="00D24113"/>
    <w:rsid w:val="00D2427A"/>
    <w:rsid w:val="00D242C7"/>
    <w:rsid w:val="00D24444"/>
    <w:rsid w:val="00D2467D"/>
    <w:rsid w:val="00D24988"/>
    <w:rsid w:val="00D24D17"/>
    <w:rsid w:val="00D2510C"/>
    <w:rsid w:val="00D2516D"/>
    <w:rsid w:val="00D251EF"/>
    <w:rsid w:val="00D251FD"/>
    <w:rsid w:val="00D25287"/>
    <w:rsid w:val="00D2567B"/>
    <w:rsid w:val="00D25913"/>
    <w:rsid w:val="00D25946"/>
    <w:rsid w:val="00D25980"/>
    <w:rsid w:val="00D25C62"/>
    <w:rsid w:val="00D2618B"/>
    <w:rsid w:val="00D2640E"/>
    <w:rsid w:val="00D2641C"/>
    <w:rsid w:val="00D26497"/>
    <w:rsid w:val="00D26A13"/>
    <w:rsid w:val="00D26A3D"/>
    <w:rsid w:val="00D26CE1"/>
    <w:rsid w:val="00D26E53"/>
    <w:rsid w:val="00D26FC8"/>
    <w:rsid w:val="00D271E5"/>
    <w:rsid w:val="00D272B2"/>
    <w:rsid w:val="00D27303"/>
    <w:rsid w:val="00D27319"/>
    <w:rsid w:val="00D273CB"/>
    <w:rsid w:val="00D278C6"/>
    <w:rsid w:val="00D27BF3"/>
    <w:rsid w:val="00D27C44"/>
    <w:rsid w:val="00D27F58"/>
    <w:rsid w:val="00D30018"/>
    <w:rsid w:val="00D30268"/>
    <w:rsid w:val="00D3039C"/>
    <w:rsid w:val="00D30658"/>
    <w:rsid w:val="00D307DC"/>
    <w:rsid w:val="00D30B33"/>
    <w:rsid w:val="00D30B5F"/>
    <w:rsid w:val="00D30F2D"/>
    <w:rsid w:val="00D3166A"/>
    <w:rsid w:val="00D31D41"/>
    <w:rsid w:val="00D31D60"/>
    <w:rsid w:val="00D32042"/>
    <w:rsid w:val="00D320CA"/>
    <w:rsid w:val="00D32450"/>
    <w:rsid w:val="00D3283A"/>
    <w:rsid w:val="00D3295B"/>
    <w:rsid w:val="00D32BDA"/>
    <w:rsid w:val="00D32CD4"/>
    <w:rsid w:val="00D32E00"/>
    <w:rsid w:val="00D32E93"/>
    <w:rsid w:val="00D33012"/>
    <w:rsid w:val="00D33126"/>
    <w:rsid w:val="00D3329C"/>
    <w:rsid w:val="00D332A9"/>
    <w:rsid w:val="00D333B0"/>
    <w:rsid w:val="00D333F4"/>
    <w:rsid w:val="00D33449"/>
    <w:rsid w:val="00D33545"/>
    <w:rsid w:val="00D33560"/>
    <w:rsid w:val="00D336A3"/>
    <w:rsid w:val="00D33ADB"/>
    <w:rsid w:val="00D33C75"/>
    <w:rsid w:val="00D33C9D"/>
    <w:rsid w:val="00D33DB7"/>
    <w:rsid w:val="00D33E5B"/>
    <w:rsid w:val="00D33F43"/>
    <w:rsid w:val="00D34379"/>
    <w:rsid w:val="00D3449D"/>
    <w:rsid w:val="00D345BA"/>
    <w:rsid w:val="00D345C3"/>
    <w:rsid w:val="00D3463A"/>
    <w:rsid w:val="00D346B0"/>
    <w:rsid w:val="00D34724"/>
    <w:rsid w:val="00D349EC"/>
    <w:rsid w:val="00D34D72"/>
    <w:rsid w:val="00D3505D"/>
    <w:rsid w:val="00D35390"/>
    <w:rsid w:val="00D3559F"/>
    <w:rsid w:val="00D35985"/>
    <w:rsid w:val="00D35BC8"/>
    <w:rsid w:val="00D363C9"/>
    <w:rsid w:val="00D3669C"/>
    <w:rsid w:val="00D36BD2"/>
    <w:rsid w:val="00D36E2D"/>
    <w:rsid w:val="00D3712B"/>
    <w:rsid w:val="00D3722F"/>
    <w:rsid w:val="00D373EB"/>
    <w:rsid w:val="00D37541"/>
    <w:rsid w:val="00D376FD"/>
    <w:rsid w:val="00D37789"/>
    <w:rsid w:val="00D378FD"/>
    <w:rsid w:val="00D37B0C"/>
    <w:rsid w:val="00D400F5"/>
    <w:rsid w:val="00D402CC"/>
    <w:rsid w:val="00D40643"/>
    <w:rsid w:val="00D407E4"/>
    <w:rsid w:val="00D408BA"/>
    <w:rsid w:val="00D409EB"/>
    <w:rsid w:val="00D40A74"/>
    <w:rsid w:val="00D40CC2"/>
    <w:rsid w:val="00D40D10"/>
    <w:rsid w:val="00D40D70"/>
    <w:rsid w:val="00D40E0A"/>
    <w:rsid w:val="00D411EC"/>
    <w:rsid w:val="00D41724"/>
    <w:rsid w:val="00D417A6"/>
    <w:rsid w:val="00D41898"/>
    <w:rsid w:val="00D41ED5"/>
    <w:rsid w:val="00D41F49"/>
    <w:rsid w:val="00D42042"/>
    <w:rsid w:val="00D42208"/>
    <w:rsid w:val="00D42462"/>
    <w:rsid w:val="00D425CB"/>
    <w:rsid w:val="00D427B4"/>
    <w:rsid w:val="00D4286F"/>
    <w:rsid w:val="00D429F4"/>
    <w:rsid w:val="00D42B0C"/>
    <w:rsid w:val="00D42B1A"/>
    <w:rsid w:val="00D42BBE"/>
    <w:rsid w:val="00D436D6"/>
    <w:rsid w:val="00D437EF"/>
    <w:rsid w:val="00D43B69"/>
    <w:rsid w:val="00D43C75"/>
    <w:rsid w:val="00D43D10"/>
    <w:rsid w:val="00D43D45"/>
    <w:rsid w:val="00D4409C"/>
    <w:rsid w:val="00D4409E"/>
    <w:rsid w:val="00D441BF"/>
    <w:rsid w:val="00D441EA"/>
    <w:rsid w:val="00D44550"/>
    <w:rsid w:val="00D447DB"/>
    <w:rsid w:val="00D4496E"/>
    <w:rsid w:val="00D44E1C"/>
    <w:rsid w:val="00D450C0"/>
    <w:rsid w:val="00D45242"/>
    <w:rsid w:val="00D4544C"/>
    <w:rsid w:val="00D45765"/>
    <w:rsid w:val="00D457C3"/>
    <w:rsid w:val="00D45815"/>
    <w:rsid w:val="00D45A72"/>
    <w:rsid w:val="00D45E0D"/>
    <w:rsid w:val="00D45FE2"/>
    <w:rsid w:val="00D46335"/>
    <w:rsid w:val="00D46713"/>
    <w:rsid w:val="00D4671B"/>
    <w:rsid w:val="00D469B0"/>
    <w:rsid w:val="00D46C7A"/>
    <w:rsid w:val="00D4710B"/>
    <w:rsid w:val="00D476F4"/>
    <w:rsid w:val="00D47B13"/>
    <w:rsid w:val="00D47D69"/>
    <w:rsid w:val="00D47DF6"/>
    <w:rsid w:val="00D47DFC"/>
    <w:rsid w:val="00D47E5F"/>
    <w:rsid w:val="00D502F9"/>
    <w:rsid w:val="00D50585"/>
    <w:rsid w:val="00D5064F"/>
    <w:rsid w:val="00D5067C"/>
    <w:rsid w:val="00D5087A"/>
    <w:rsid w:val="00D50962"/>
    <w:rsid w:val="00D50BAC"/>
    <w:rsid w:val="00D50C04"/>
    <w:rsid w:val="00D517A7"/>
    <w:rsid w:val="00D5184A"/>
    <w:rsid w:val="00D5189C"/>
    <w:rsid w:val="00D51E2C"/>
    <w:rsid w:val="00D52008"/>
    <w:rsid w:val="00D524D5"/>
    <w:rsid w:val="00D529B8"/>
    <w:rsid w:val="00D52B10"/>
    <w:rsid w:val="00D52B87"/>
    <w:rsid w:val="00D52CB8"/>
    <w:rsid w:val="00D531B1"/>
    <w:rsid w:val="00D53546"/>
    <w:rsid w:val="00D538E3"/>
    <w:rsid w:val="00D539F2"/>
    <w:rsid w:val="00D53A32"/>
    <w:rsid w:val="00D53BEF"/>
    <w:rsid w:val="00D53CFA"/>
    <w:rsid w:val="00D54560"/>
    <w:rsid w:val="00D549DB"/>
    <w:rsid w:val="00D54DD2"/>
    <w:rsid w:val="00D54ECC"/>
    <w:rsid w:val="00D54EF8"/>
    <w:rsid w:val="00D55048"/>
    <w:rsid w:val="00D553AA"/>
    <w:rsid w:val="00D55470"/>
    <w:rsid w:val="00D55536"/>
    <w:rsid w:val="00D55638"/>
    <w:rsid w:val="00D55D46"/>
    <w:rsid w:val="00D561F6"/>
    <w:rsid w:val="00D56211"/>
    <w:rsid w:val="00D56B9A"/>
    <w:rsid w:val="00D56D14"/>
    <w:rsid w:val="00D570AD"/>
    <w:rsid w:val="00D570EE"/>
    <w:rsid w:val="00D57128"/>
    <w:rsid w:val="00D57653"/>
    <w:rsid w:val="00D576A6"/>
    <w:rsid w:val="00D5772F"/>
    <w:rsid w:val="00D57899"/>
    <w:rsid w:val="00D57CE8"/>
    <w:rsid w:val="00D57D01"/>
    <w:rsid w:val="00D57DDE"/>
    <w:rsid w:val="00D57DDF"/>
    <w:rsid w:val="00D6026A"/>
    <w:rsid w:val="00D60325"/>
    <w:rsid w:val="00D60604"/>
    <w:rsid w:val="00D60623"/>
    <w:rsid w:val="00D60874"/>
    <w:rsid w:val="00D60ACF"/>
    <w:rsid w:val="00D60CAF"/>
    <w:rsid w:val="00D614D8"/>
    <w:rsid w:val="00D617AA"/>
    <w:rsid w:val="00D617DE"/>
    <w:rsid w:val="00D61EA5"/>
    <w:rsid w:val="00D61FAE"/>
    <w:rsid w:val="00D620A0"/>
    <w:rsid w:val="00D6253D"/>
    <w:rsid w:val="00D62831"/>
    <w:rsid w:val="00D6289B"/>
    <w:rsid w:val="00D6296E"/>
    <w:rsid w:val="00D62B04"/>
    <w:rsid w:val="00D62B68"/>
    <w:rsid w:val="00D62D08"/>
    <w:rsid w:val="00D62D6A"/>
    <w:rsid w:val="00D62EEE"/>
    <w:rsid w:val="00D63133"/>
    <w:rsid w:val="00D631FC"/>
    <w:rsid w:val="00D634E0"/>
    <w:rsid w:val="00D636C4"/>
    <w:rsid w:val="00D63861"/>
    <w:rsid w:val="00D6390E"/>
    <w:rsid w:val="00D6395C"/>
    <w:rsid w:val="00D63B47"/>
    <w:rsid w:val="00D63B93"/>
    <w:rsid w:val="00D63C34"/>
    <w:rsid w:val="00D6402F"/>
    <w:rsid w:val="00D64242"/>
    <w:rsid w:val="00D64333"/>
    <w:rsid w:val="00D64499"/>
    <w:rsid w:val="00D6471F"/>
    <w:rsid w:val="00D647EA"/>
    <w:rsid w:val="00D648D2"/>
    <w:rsid w:val="00D6498F"/>
    <w:rsid w:val="00D64A9C"/>
    <w:rsid w:val="00D64ADC"/>
    <w:rsid w:val="00D64D50"/>
    <w:rsid w:val="00D653DD"/>
    <w:rsid w:val="00D6542B"/>
    <w:rsid w:val="00D654BD"/>
    <w:rsid w:val="00D6553E"/>
    <w:rsid w:val="00D6566A"/>
    <w:rsid w:val="00D659CA"/>
    <w:rsid w:val="00D65A8B"/>
    <w:rsid w:val="00D65B15"/>
    <w:rsid w:val="00D65BEB"/>
    <w:rsid w:val="00D6600F"/>
    <w:rsid w:val="00D66134"/>
    <w:rsid w:val="00D66682"/>
    <w:rsid w:val="00D6680B"/>
    <w:rsid w:val="00D66AB1"/>
    <w:rsid w:val="00D66CF0"/>
    <w:rsid w:val="00D66D4B"/>
    <w:rsid w:val="00D67363"/>
    <w:rsid w:val="00D673D4"/>
    <w:rsid w:val="00D67583"/>
    <w:rsid w:val="00D6781A"/>
    <w:rsid w:val="00D67BCC"/>
    <w:rsid w:val="00D67CF7"/>
    <w:rsid w:val="00D67DD1"/>
    <w:rsid w:val="00D70A1E"/>
    <w:rsid w:val="00D710DF"/>
    <w:rsid w:val="00D7136B"/>
    <w:rsid w:val="00D71466"/>
    <w:rsid w:val="00D715BE"/>
    <w:rsid w:val="00D716EA"/>
    <w:rsid w:val="00D716F8"/>
    <w:rsid w:val="00D71731"/>
    <w:rsid w:val="00D719F8"/>
    <w:rsid w:val="00D71DCF"/>
    <w:rsid w:val="00D72232"/>
    <w:rsid w:val="00D725F5"/>
    <w:rsid w:val="00D7293C"/>
    <w:rsid w:val="00D72996"/>
    <w:rsid w:val="00D72CD7"/>
    <w:rsid w:val="00D72DAB"/>
    <w:rsid w:val="00D731A4"/>
    <w:rsid w:val="00D733C8"/>
    <w:rsid w:val="00D73722"/>
    <w:rsid w:val="00D7387B"/>
    <w:rsid w:val="00D739C2"/>
    <w:rsid w:val="00D73D34"/>
    <w:rsid w:val="00D7405D"/>
    <w:rsid w:val="00D741A0"/>
    <w:rsid w:val="00D741BC"/>
    <w:rsid w:val="00D7477B"/>
    <w:rsid w:val="00D747B3"/>
    <w:rsid w:val="00D7487A"/>
    <w:rsid w:val="00D74A9A"/>
    <w:rsid w:val="00D74AE4"/>
    <w:rsid w:val="00D74DA9"/>
    <w:rsid w:val="00D75022"/>
    <w:rsid w:val="00D75316"/>
    <w:rsid w:val="00D7555B"/>
    <w:rsid w:val="00D7569E"/>
    <w:rsid w:val="00D758B9"/>
    <w:rsid w:val="00D75AFD"/>
    <w:rsid w:val="00D75D00"/>
    <w:rsid w:val="00D75DBC"/>
    <w:rsid w:val="00D75E24"/>
    <w:rsid w:val="00D760A3"/>
    <w:rsid w:val="00D763C9"/>
    <w:rsid w:val="00D76971"/>
    <w:rsid w:val="00D76F8D"/>
    <w:rsid w:val="00D770EB"/>
    <w:rsid w:val="00D77246"/>
    <w:rsid w:val="00D77436"/>
    <w:rsid w:val="00D777DD"/>
    <w:rsid w:val="00D778A4"/>
    <w:rsid w:val="00D778BC"/>
    <w:rsid w:val="00D77B5B"/>
    <w:rsid w:val="00D77CE0"/>
    <w:rsid w:val="00D800CD"/>
    <w:rsid w:val="00D801A0"/>
    <w:rsid w:val="00D8021D"/>
    <w:rsid w:val="00D80279"/>
    <w:rsid w:val="00D8041F"/>
    <w:rsid w:val="00D80881"/>
    <w:rsid w:val="00D80BF8"/>
    <w:rsid w:val="00D80C7B"/>
    <w:rsid w:val="00D80F22"/>
    <w:rsid w:val="00D8111B"/>
    <w:rsid w:val="00D811CF"/>
    <w:rsid w:val="00D81344"/>
    <w:rsid w:val="00D813D4"/>
    <w:rsid w:val="00D814F0"/>
    <w:rsid w:val="00D815B4"/>
    <w:rsid w:val="00D81F03"/>
    <w:rsid w:val="00D8269E"/>
    <w:rsid w:val="00D82702"/>
    <w:rsid w:val="00D82770"/>
    <w:rsid w:val="00D8279E"/>
    <w:rsid w:val="00D827B1"/>
    <w:rsid w:val="00D82ADF"/>
    <w:rsid w:val="00D82F2A"/>
    <w:rsid w:val="00D83545"/>
    <w:rsid w:val="00D83736"/>
    <w:rsid w:val="00D8373C"/>
    <w:rsid w:val="00D83783"/>
    <w:rsid w:val="00D8387E"/>
    <w:rsid w:val="00D83A2B"/>
    <w:rsid w:val="00D83B5D"/>
    <w:rsid w:val="00D83CAC"/>
    <w:rsid w:val="00D83F80"/>
    <w:rsid w:val="00D845F5"/>
    <w:rsid w:val="00D84696"/>
    <w:rsid w:val="00D847FF"/>
    <w:rsid w:val="00D84975"/>
    <w:rsid w:val="00D84E32"/>
    <w:rsid w:val="00D8532A"/>
    <w:rsid w:val="00D85B09"/>
    <w:rsid w:val="00D85BC4"/>
    <w:rsid w:val="00D85F68"/>
    <w:rsid w:val="00D8642D"/>
    <w:rsid w:val="00D86678"/>
    <w:rsid w:val="00D86759"/>
    <w:rsid w:val="00D86A35"/>
    <w:rsid w:val="00D86FB7"/>
    <w:rsid w:val="00D86FED"/>
    <w:rsid w:val="00D870B7"/>
    <w:rsid w:val="00D87471"/>
    <w:rsid w:val="00D87654"/>
    <w:rsid w:val="00D87CC8"/>
    <w:rsid w:val="00D87DF9"/>
    <w:rsid w:val="00D87E90"/>
    <w:rsid w:val="00D87EEA"/>
    <w:rsid w:val="00D87F1F"/>
    <w:rsid w:val="00D90245"/>
    <w:rsid w:val="00D9048F"/>
    <w:rsid w:val="00D90868"/>
    <w:rsid w:val="00D90F11"/>
    <w:rsid w:val="00D9112B"/>
    <w:rsid w:val="00D9145B"/>
    <w:rsid w:val="00D91A9B"/>
    <w:rsid w:val="00D91C12"/>
    <w:rsid w:val="00D91C59"/>
    <w:rsid w:val="00D91D02"/>
    <w:rsid w:val="00D91DCE"/>
    <w:rsid w:val="00D91DEF"/>
    <w:rsid w:val="00D92167"/>
    <w:rsid w:val="00D92526"/>
    <w:rsid w:val="00D92630"/>
    <w:rsid w:val="00D9276B"/>
    <w:rsid w:val="00D9336F"/>
    <w:rsid w:val="00D9364E"/>
    <w:rsid w:val="00D938C3"/>
    <w:rsid w:val="00D93902"/>
    <w:rsid w:val="00D93DDE"/>
    <w:rsid w:val="00D93F3B"/>
    <w:rsid w:val="00D940F3"/>
    <w:rsid w:val="00D940F7"/>
    <w:rsid w:val="00D941B0"/>
    <w:rsid w:val="00D94560"/>
    <w:rsid w:val="00D946C4"/>
    <w:rsid w:val="00D947CB"/>
    <w:rsid w:val="00D94B21"/>
    <w:rsid w:val="00D94D40"/>
    <w:rsid w:val="00D94FFF"/>
    <w:rsid w:val="00D95226"/>
    <w:rsid w:val="00D954D2"/>
    <w:rsid w:val="00D95549"/>
    <w:rsid w:val="00D9559C"/>
    <w:rsid w:val="00D9562C"/>
    <w:rsid w:val="00D95ACE"/>
    <w:rsid w:val="00D95AE8"/>
    <w:rsid w:val="00D95BF2"/>
    <w:rsid w:val="00D95CEE"/>
    <w:rsid w:val="00D95D85"/>
    <w:rsid w:val="00D95EA5"/>
    <w:rsid w:val="00D95EDF"/>
    <w:rsid w:val="00D9602E"/>
    <w:rsid w:val="00D96115"/>
    <w:rsid w:val="00D96464"/>
    <w:rsid w:val="00D967DC"/>
    <w:rsid w:val="00D96AB6"/>
    <w:rsid w:val="00D96AD4"/>
    <w:rsid w:val="00D96B71"/>
    <w:rsid w:val="00D96C40"/>
    <w:rsid w:val="00D96CD3"/>
    <w:rsid w:val="00D96CD8"/>
    <w:rsid w:val="00D96FEA"/>
    <w:rsid w:val="00D9747C"/>
    <w:rsid w:val="00D97567"/>
    <w:rsid w:val="00D97779"/>
    <w:rsid w:val="00D97794"/>
    <w:rsid w:val="00D9784D"/>
    <w:rsid w:val="00D97881"/>
    <w:rsid w:val="00D97987"/>
    <w:rsid w:val="00D97AA7"/>
    <w:rsid w:val="00D97AF8"/>
    <w:rsid w:val="00D97B29"/>
    <w:rsid w:val="00D97BBC"/>
    <w:rsid w:val="00D97F67"/>
    <w:rsid w:val="00DA0110"/>
    <w:rsid w:val="00DA0443"/>
    <w:rsid w:val="00DA0478"/>
    <w:rsid w:val="00DA0665"/>
    <w:rsid w:val="00DA0696"/>
    <w:rsid w:val="00DA0AC9"/>
    <w:rsid w:val="00DA0C39"/>
    <w:rsid w:val="00DA0CFC"/>
    <w:rsid w:val="00DA0D7D"/>
    <w:rsid w:val="00DA12CE"/>
    <w:rsid w:val="00DA1467"/>
    <w:rsid w:val="00DA1602"/>
    <w:rsid w:val="00DA188D"/>
    <w:rsid w:val="00DA1968"/>
    <w:rsid w:val="00DA1980"/>
    <w:rsid w:val="00DA1C72"/>
    <w:rsid w:val="00DA2030"/>
    <w:rsid w:val="00DA21AA"/>
    <w:rsid w:val="00DA2499"/>
    <w:rsid w:val="00DA263B"/>
    <w:rsid w:val="00DA2736"/>
    <w:rsid w:val="00DA2FEA"/>
    <w:rsid w:val="00DA3248"/>
    <w:rsid w:val="00DA387C"/>
    <w:rsid w:val="00DA39AE"/>
    <w:rsid w:val="00DA3ABC"/>
    <w:rsid w:val="00DA3C43"/>
    <w:rsid w:val="00DA45A8"/>
    <w:rsid w:val="00DA485C"/>
    <w:rsid w:val="00DA49C8"/>
    <w:rsid w:val="00DA4F3E"/>
    <w:rsid w:val="00DA5132"/>
    <w:rsid w:val="00DA52E4"/>
    <w:rsid w:val="00DA576A"/>
    <w:rsid w:val="00DA589A"/>
    <w:rsid w:val="00DA5A9E"/>
    <w:rsid w:val="00DA5AD8"/>
    <w:rsid w:val="00DA5BD5"/>
    <w:rsid w:val="00DA5C32"/>
    <w:rsid w:val="00DA5EFA"/>
    <w:rsid w:val="00DA6204"/>
    <w:rsid w:val="00DA62C1"/>
    <w:rsid w:val="00DA639D"/>
    <w:rsid w:val="00DA6B1C"/>
    <w:rsid w:val="00DA6F2B"/>
    <w:rsid w:val="00DA6F73"/>
    <w:rsid w:val="00DA7044"/>
    <w:rsid w:val="00DA70C1"/>
    <w:rsid w:val="00DA71D4"/>
    <w:rsid w:val="00DA761F"/>
    <w:rsid w:val="00DA797F"/>
    <w:rsid w:val="00DA7996"/>
    <w:rsid w:val="00DA7B70"/>
    <w:rsid w:val="00DA7C57"/>
    <w:rsid w:val="00DA7C85"/>
    <w:rsid w:val="00DB02F7"/>
    <w:rsid w:val="00DB0388"/>
    <w:rsid w:val="00DB0793"/>
    <w:rsid w:val="00DB09DD"/>
    <w:rsid w:val="00DB0B10"/>
    <w:rsid w:val="00DB0E79"/>
    <w:rsid w:val="00DB0EEF"/>
    <w:rsid w:val="00DB136F"/>
    <w:rsid w:val="00DB1427"/>
    <w:rsid w:val="00DB1A5E"/>
    <w:rsid w:val="00DB1CCB"/>
    <w:rsid w:val="00DB1E1D"/>
    <w:rsid w:val="00DB226E"/>
    <w:rsid w:val="00DB25B6"/>
    <w:rsid w:val="00DB265F"/>
    <w:rsid w:val="00DB2660"/>
    <w:rsid w:val="00DB29CB"/>
    <w:rsid w:val="00DB2A3E"/>
    <w:rsid w:val="00DB2B85"/>
    <w:rsid w:val="00DB2EDD"/>
    <w:rsid w:val="00DB3797"/>
    <w:rsid w:val="00DB37CA"/>
    <w:rsid w:val="00DB3846"/>
    <w:rsid w:val="00DB3BBF"/>
    <w:rsid w:val="00DB3C19"/>
    <w:rsid w:val="00DB3D1C"/>
    <w:rsid w:val="00DB3D80"/>
    <w:rsid w:val="00DB400C"/>
    <w:rsid w:val="00DB41F2"/>
    <w:rsid w:val="00DB4619"/>
    <w:rsid w:val="00DB46F6"/>
    <w:rsid w:val="00DB49B7"/>
    <w:rsid w:val="00DB4DC8"/>
    <w:rsid w:val="00DB5046"/>
    <w:rsid w:val="00DB506A"/>
    <w:rsid w:val="00DB50AE"/>
    <w:rsid w:val="00DB5112"/>
    <w:rsid w:val="00DB534F"/>
    <w:rsid w:val="00DB577B"/>
    <w:rsid w:val="00DB58C4"/>
    <w:rsid w:val="00DB5FC1"/>
    <w:rsid w:val="00DB6148"/>
    <w:rsid w:val="00DB63E7"/>
    <w:rsid w:val="00DB675D"/>
    <w:rsid w:val="00DB6765"/>
    <w:rsid w:val="00DB67D5"/>
    <w:rsid w:val="00DB6CE4"/>
    <w:rsid w:val="00DB6D04"/>
    <w:rsid w:val="00DB709A"/>
    <w:rsid w:val="00DB709E"/>
    <w:rsid w:val="00DB715E"/>
    <w:rsid w:val="00DB7386"/>
    <w:rsid w:val="00DB7477"/>
    <w:rsid w:val="00DB794F"/>
    <w:rsid w:val="00DB7D08"/>
    <w:rsid w:val="00DB7F31"/>
    <w:rsid w:val="00DC0115"/>
    <w:rsid w:val="00DC0313"/>
    <w:rsid w:val="00DC08E1"/>
    <w:rsid w:val="00DC0C5C"/>
    <w:rsid w:val="00DC0E00"/>
    <w:rsid w:val="00DC0EA8"/>
    <w:rsid w:val="00DC13B6"/>
    <w:rsid w:val="00DC1556"/>
    <w:rsid w:val="00DC1942"/>
    <w:rsid w:val="00DC1FAB"/>
    <w:rsid w:val="00DC1FEB"/>
    <w:rsid w:val="00DC224A"/>
    <w:rsid w:val="00DC2337"/>
    <w:rsid w:val="00DC27D1"/>
    <w:rsid w:val="00DC2841"/>
    <w:rsid w:val="00DC2843"/>
    <w:rsid w:val="00DC2ADA"/>
    <w:rsid w:val="00DC2B5D"/>
    <w:rsid w:val="00DC2C6A"/>
    <w:rsid w:val="00DC2D0E"/>
    <w:rsid w:val="00DC2DAE"/>
    <w:rsid w:val="00DC2DF5"/>
    <w:rsid w:val="00DC3300"/>
    <w:rsid w:val="00DC3793"/>
    <w:rsid w:val="00DC37C4"/>
    <w:rsid w:val="00DC380B"/>
    <w:rsid w:val="00DC39A7"/>
    <w:rsid w:val="00DC39DD"/>
    <w:rsid w:val="00DC41BD"/>
    <w:rsid w:val="00DC4403"/>
    <w:rsid w:val="00DC44FB"/>
    <w:rsid w:val="00DC4663"/>
    <w:rsid w:val="00DC4C22"/>
    <w:rsid w:val="00DC4E98"/>
    <w:rsid w:val="00DC4FB6"/>
    <w:rsid w:val="00DC5072"/>
    <w:rsid w:val="00DC52CC"/>
    <w:rsid w:val="00DC540E"/>
    <w:rsid w:val="00DC548C"/>
    <w:rsid w:val="00DC54D2"/>
    <w:rsid w:val="00DC5517"/>
    <w:rsid w:val="00DC569B"/>
    <w:rsid w:val="00DC5A6A"/>
    <w:rsid w:val="00DC5BC2"/>
    <w:rsid w:val="00DC5BD1"/>
    <w:rsid w:val="00DC5E23"/>
    <w:rsid w:val="00DC5EDF"/>
    <w:rsid w:val="00DC6011"/>
    <w:rsid w:val="00DC627C"/>
    <w:rsid w:val="00DC6283"/>
    <w:rsid w:val="00DC645B"/>
    <w:rsid w:val="00DC64B2"/>
    <w:rsid w:val="00DC6736"/>
    <w:rsid w:val="00DC69D3"/>
    <w:rsid w:val="00DC6B63"/>
    <w:rsid w:val="00DC6C95"/>
    <w:rsid w:val="00DC6D2E"/>
    <w:rsid w:val="00DC6FDE"/>
    <w:rsid w:val="00DC709C"/>
    <w:rsid w:val="00DC72AC"/>
    <w:rsid w:val="00DC7307"/>
    <w:rsid w:val="00DC7349"/>
    <w:rsid w:val="00DC7A6C"/>
    <w:rsid w:val="00DC7AAF"/>
    <w:rsid w:val="00DC7B50"/>
    <w:rsid w:val="00DD044B"/>
    <w:rsid w:val="00DD04B2"/>
    <w:rsid w:val="00DD05D1"/>
    <w:rsid w:val="00DD0ADB"/>
    <w:rsid w:val="00DD0E0F"/>
    <w:rsid w:val="00DD0F4D"/>
    <w:rsid w:val="00DD107B"/>
    <w:rsid w:val="00DD17C2"/>
    <w:rsid w:val="00DD18CA"/>
    <w:rsid w:val="00DD19F5"/>
    <w:rsid w:val="00DD1AFF"/>
    <w:rsid w:val="00DD1DBD"/>
    <w:rsid w:val="00DD1F68"/>
    <w:rsid w:val="00DD2169"/>
    <w:rsid w:val="00DD2577"/>
    <w:rsid w:val="00DD2844"/>
    <w:rsid w:val="00DD2A96"/>
    <w:rsid w:val="00DD2AC1"/>
    <w:rsid w:val="00DD2C2C"/>
    <w:rsid w:val="00DD2C71"/>
    <w:rsid w:val="00DD2DAA"/>
    <w:rsid w:val="00DD31DF"/>
    <w:rsid w:val="00DD3445"/>
    <w:rsid w:val="00DD35AF"/>
    <w:rsid w:val="00DD3B94"/>
    <w:rsid w:val="00DD3D45"/>
    <w:rsid w:val="00DD3D4C"/>
    <w:rsid w:val="00DD3E52"/>
    <w:rsid w:val="00DD3FEB"/>
    <w:rsid w:val="00DD4227"/>
    <w:rsid w:val="00DD47B6"/>
    <w:rsid w:val="00DD4952"/>
    <w:rsid w:val="00DD4BC0"/>
    <w:rsid w:val="00DD4BE1"/>
    <w:rsid w:val="00DD4E15"/>
    <w:rsid w:val="00DD50DD"/>
    <w:rsid w:val="00DD53FC"/>
    <w:rsid w:val="00DD56EB"/>
    <w:rsid w:val="00DD5F21"/>
    <w:rsid w:val="00DD5F57"/>
    <w:rsid w:val="00DD6100"/>
    <w:rsid w:val="00DD6AF1"/>
    <w:rsid w:val="00DD6E56"/>
    <w:rsid w:val="00DD6FBC"/>
    <w:rsid w:val="00DD7311"/>
    <w:rsid w:val="00DD74BB"/>
    <w:rsid w:val="00DD756C"/>
    <w:rsid w:val="00DD77AA"/>
    <w:rsid w:val="00DD791E"/>
    <w:rsid w:val="00DD7D99"/>
    <w:rsid w:val="00DD7E7C"/>
    <w:rsid w:val="00DD7FB2"/>
    <w:rsid w:val="00DE0024"/>
    <w:rsid w:val="00DE0059"/>
    <w:rsid w:val="00DE024D"/>
    <w:rsid w:val="00DE04B5"/>
    <w:rsid w:val="00DE0587"/>
    <w:rsid w:val="00DE05E8"/>
    <w:rsid w:val="00DE0931"/>
    <w:rsid w:val="00DE09E4"/>
    <w:rsid w:val="00DE0BD4"/>
    <w:rsid w:val="00DE0C2C"/>
    <w:rsid w:val="00DE0F3F"/>
    <w:rsid w:val="00DE0F52"/>
    <w:rsid w:val="00DE11C5"/>
    <w:rsid w:val="00DE1215"/>
    <w:rsid w:val="00DE123D"/>
    <w:rsid w:val="00DE157B"/>
    <w:rsid w:val="00DE15B4"/>
    <w:rsid w:val="00DE187A"/>
    <w:rsid w:val="00DE1A78"/>
    <w:rsid w:val="00DE1E5D"/>
    <w:rsid w:val="00DE2ACB"/>
    <w:rsid w:val="00DE2F39"/>
    <w:rsid w:val="00DE3070"/>
    <w:rsid w:val="00DE30A9"/>
    <w:rsid w:val="00DE31F4"/>
    <w:rsid w:val="00DE336B"/>
    <w:rsid w:val="00DE33D8"/>
    <w:rsid w:val="00DE3403"/>
    <w:rsid w:val="00DE343C"/>
    <w:rsid w:val="00DE3488"/>
    <w:rsid w:val="00DE3576"/>
    <w:rsid w:val="00DE3647"/>
    <w:rsid w:val="00DE3806"/>
    <w:rsid w:val="00DE3C8D"/>
    <w:rsid w:val="00DE3C95"/>
    <w:rsid w:val="00DE3E27"/>
    <w:rsid w:val="00DE401A"/>
    <w:rsid w:val="00DE4070"/>
    <w:rsid w:val="00DE40A3"/>
    <w:rsid w:val="00DE41BE"/>
    <w:rsid w:val="00DE44C8"/>
    <w:rsid w:val="00DE4512"/>
    <w:rsid w:val="00DE4678"/>
    <w:rsid w:val="00DE49BA"/>
    <w:rsid w:val="00DE49FA"/>
    <w:rsid w:val="00DE4A4C"/>
    <w:rsid w:val="00DE4A63"/>
    <w:rsid w:val="00DE4CB0"/>
    <w:rsid w:val="00DE4D2A"/>
    <w:rsid w:val="00DE5285"/>
    <w:rsid w:val="00DE52AC"/>
    <w:rsid w:val="00DE5735"/>
    <w:rsid w:val="00DE598C"/>
    <w:rsid w:val="00DE5BD4"/>
    <w:rsid w:val="00DE5CE2"/>
    <w:rsid w:val="00DE5EEB"/>
    <w:rsid w:val="00DE6380"/>
    <w:rsid w:val="00DE657F"/>
    <w:rsid w:val="00DE6694"/>
    <w:rsid w:val="00DE6A15"/>
    <w:rsid w:val="00DE6B48"/>
    <w:rsid w:val="00DE6BFB"/>
    <w:rsid w:val="00DE734F"/>
    <w:rsid w:val="00DF01FE"/>
    <w:rsid w:val="00DF020C"/>
    <w:rsid w:val="00DF02A5"/>
    <w:rsid w:val="00DF02AA"/>
    <w:rsid w:val="00DF0375"/>
    <w:rsid w:val="00DF03A7"/>
    <w:rsid w:val="00DF0474"/>
    <w:rsid w:val="00DF0883"/>
    <w:rsid w:val="00DF0A0D"/>
    <w:rsid w:val="00DF0DC2"/>
    <w:rsid w:val="00DF0E92"/>
    <w:rsid w:val="00DF1083"/>
    <w:rsid w:val="00DF15D3"/>
    <w:rsid w:val="00DF1712"/>
    <w:rsid w:val="00DF1713"/>
    <w:rsid w:val="00DF17E3"/>
    <w:rsid w:val="00DF1865"/>
    <w:rsid w:val="00DF1CF7"/>
    <w:rsid w:val="00DF1E45"/>
    <w:rsid w:val="00DF1EC7"/>
    <w:rsid w:val="00DF1EE7"/>
    <w:rsid w:val="00DF1F92"/>
    <w:rsid w:val="00DF23FB"/>
    <w:rsid w:val="00DF252E"/>
    <w:rsid w:val="00DF2537"/>
    <w:rsid w:val="00DF2654"/>
    <w:rsid w:val="00DF2786"/>
    <w:rsid w:val="00DF2842"/>
    <w:rsid w:val="00DF2950"/>
    <w:rsid w:val="00DF2B45"/>
    <w:rsid w:val="00DF313A"/>
    <w:rsid w:val="00DF3196"/>
    <w:rsid w:val="00DF3419"/>
    <w:rsid w:val="00DF3716"/>
    <w:rsid w:val="00DF37BF"/>
    <w:rsid w:val="00DF38A4"/>
    <w:rsid w:val="00DF39C3"/>
    <w:rsid w:val="00DF3BE7"/>
    <w:rsid w:val="00DF3C1C"/>
    <w:rsid w:val="00DF3CA6"/>
    <w:rsid w:val="00DF3CCC"/>
    <w:rsid w:val="00DF3D9B"/>
    <w:rsid w:val="00DF3DD0"/>
    <w:rsid w:val="00DF3EDC"/>
    <w:rsid w:val="00DF404C"/>
    <w:rsid w:val="00DF4428"/>
    <w:rsid w:val="00DF4516"/>
    <w:rsid w:val="00DF45AD"/>
    <w:rsid w:val="00DF45B9"/>
    <w:rsid w:val="00DF48B7"/>
    <w:rsid w:val="00DF495D"/>
    <w:rsid w:val="00DF4BBF"/>
    <w:rsid w:val="00DF4BC5"/>
    <w:rsid w:val="00DF4F52"/>
    <w:rsid w:val="00DF5096"/>
    <w:rsid w:val="00DF50FF"/>
    <w:rsid w:val="00DF53C1"/>
    <w:rsid w:val="00DF562F"/>
    <w:rsid w:val="00DF56C4"/>
    <w:rsid w:val="00DF58AE"/>
    <w:rsid w:val="00DF5913"/>
    <w:rsid w:val="00DF5D8D"/>
    <w:rsid w:val="00DF61DF"/>
    <w:rsid w:val="00DF6397"/>
    <w:rsid w:val="00DF65DA"/>
    <w:rsid w:val="00DF67B7"/>
    <w:rsid w:val="00DF67ED"/>
    <w:rsid w:val="00DF6D3F"/>
    <w:rsid w:val="00DF6DF5"/>
    <w:rsid w:val="00DF6FB1"/>
    <w:rsid w:val="00DF6FB9"/>
    <w:rsid w:val="00DF720B"/>
    <w:rsid w:val="00DF735D"/>
    <w:rsid w:val="00DF735F"/>
    <w:rsid w:val="00DF7395"/>
    <w:rsid w:val="00DF770E"/>
    <w:rsid w:val="00DF77B2"/>
    <w:rsid w:val="00DF7E43"/>
    <w:rsid w:val="00E000F1"/>
    <w:rsid w:val="00E002AA"/>
    <w:rsid w:val="00E005B5"/>
    <w:rsid w:val="00E00998"/>
    <w:rsid w:val="00E009CB"/>
    <w:rsid w:val="00E00BDA"/>
    <w:rsid w:val="00E00D3E"/>
    <w:rsid w:val="00E00E0E"/>
    <w:rsid w:val="00E010B9"/>
    <w:rsid w:val="00E01563"/>
    <w:rsid w:val="00E0174E"/>
    <w:rsid w:val="00E01D4A"/>
    <w:rsid w:val="00E01D76"/>
    <w:rsid w:val="00E01E5C"/>
    <w:rsid w:val="00E020B7"/>
    <w:rsid w:val="00E02727"/>
    <w:rsid w:val="00E029A7"/>
    <w:rsid w:val="00E02DD0"/>
    <w:rsid w:val="00E02EE1"/>
    <w:rsid w:val="00E02EFD"/>
    <w:rsid w:val="00E0334E"/>
    <w:rsid w:val="00E03447"/>
    <w:rsid w:val="00E03461"/>
    <w:rsid w:val="00E038CC"/>
    <w:rsid w:val="00E03FE1"/>
    <w:rsid w:val="00E04218"/>
    <w:rsid w:val="00E04543"/>
    <w:rsid w:val="00E045CC"/>
    <w:rsid w:val="00E046C6"/>
    <w:rsid w:val="00E0492E"/>
    <w:rsid w:val="00E04BF5"/>
    <w:rsid w:val="00E04C29"/>
    <w:rsid w:val="00E04D60"/>
    <w:rsid w:val="00E05128"/>
    <w:rsid w:val="00E051A5"/>
    <w:rsid w:val="00E05291"/>
    <w:rsid w:val="00E05301"/>
    <w:rsid w:val="00E05305"/>
    <w:rsid w:val="00E0568A"/>
    <w:rsid w:val="00E0570F"/>
    <w:rsid w:val="00E057EA"/>
    <w:rsid w:val="00E0581D"/>
    <w:rsid w:val="00E05826"/>
    <w:rsid w:val="00E05CA7"/>
    <w:rsid w:val="00E05CB2"/>
    <w:rsid w:val="00E060B1"/>
    <w:rsid w:val="00E06262"/>
    <w:rsid w:val="00E067D2"/>
    <w:rsid w:val="00E068C6"/>
    <w:rsid w:val="00E06A21"/>
    <w:rsid w:val="00E06A34"/>
    <w:rsid w:val="00E06BFB"/>
    <w:rsid w:val="00E06C4A"/>
    <w:rsid w:val="00E06F07"/>
    <w:rsid w:val="00E06F30"/>
    <w:rsid w:val="00E0781C"/>
    <w:rsid w:val="00E07835"/>
    <w:rsid w:val="00E0789E"/>
    <w:rsid w:val="00E079AF"/>
    <w:rsid w:val="00E07A2E"/>
    <w:rsid w:val="00E07AC8"/>
    <w:rsid w:val="00E07BDC"/>
    <w:rsid w:val="00E07C9E"/>
    <w:rsid w:val="00E07CE7"/>
    <w:rsid w:val="00E1007F"/>
    <w:rsid w:val="00E1016D"/>
    <w:rsid w:val="00E102D6"/>
    <w:rsid w:val="00E1032D"/>
    <w:rsid w:val="00E10721"/>
    <w:rsid w:val="00E108DA"/>
    <w:rsid w:val="00E10C61"/>
    <w:rsid w:val="00E10DD1"/>
    <w:rsid w:val="00E10EBC"/>
    <w:rsid w:val="00E1114A"/>
    <w:rsid w:val="00E1117F"/>
    <w:rsid w:val="00E11291"/>
    <w:rsid w:val="00E1129E"/>
    <w:rsid w:val="00E11416"/>
    <w:rsid w:val="00E11662"/>
    <w:rsid w:val="00E11856"/>
    <w:rsid w:val="00E118C7"/>
    <w:rsid w:val="00E11B78"/>
    <w:rsid w:val="00E11CC1"/>
    <w:rsid w:val="00E11CD4"/>
    <w:rsid w:val="00E11E12"/>
    <w:rsid w:val="00E121AE"/>
    <w:rsid w:val="00E1236A"/>
    <w:rsid w:val="00E124B4"/>
    <w:rsid w:val="00E12775"/>
    <w:rsid w:val="00E127F6"/>
    <w:rsid w:val="00E12937"/>
    <w:rsid w:val="00E12987"/>
    <w:rsid w:val="00E12B9A"/>
    <w:rsid w:val="00E12F67"/>
    <w:rsid w:val="00E1378A"/>
    <w:rsid w:val="00E139A7"/>
    <w:rsid w:val="00E13A68"/>
    <w:rsid w:val="00E13B53"/>
    <w:rsid w:val="00E13E2C"/>
    <w:rsid w:val="00E13E43"/>
    <w:rsid w:val="00E13EE6"/>
    <w:rsid w:val="00E13EED"/>
    <w:rsid w:val="00E1441B"/>
    <w:rsid w:val="00E1455E"/>
    <w:rsid w:val="00E1472A"/>
    <w:rsid w:val="00E14BC9"/>
    <w:rsid w:val="00E14C8E"/>
    <w:rsid w:val="00E14C9F"/>
    <w:rsid w:val="00E14D19"/>
    <w:rsid w:val="00E14DEA"/>
    <w:rsid w:val="00E14E35"/>
    <w:rsid w:val="00E14ED6"/>
    <w:rsid w:val="00E14F50"/>
    <w:rsid w:val="00E152A2"/>
    <w:rsid w:val="00E15442"/>
    <w:rsid w:val="00E1584B"/>
    <w:rsid w:val="00E1599B"/>
    <w:rsid w:val="00E15A84"/>
    <w:rsid w:val="00E15D51"/>
    <w:rsid w:val="00E16143"/>
    <w:rsid w:val="00E16314"/>
    <w:rsid w:val="00E16321"/>
    <w:rsid w:val="00E163CB"/>
    <w:rsid w:val="00E168F0"/>
    <w:rsid w:val="00E16B34"/>
    <w:rsid w:val="00E17176"/>
    <w:rsid w:val="00E17364"/>
    <w:rsid w:val="00E1760F"/>
    <w:rsid w:val="00E1770C"/>
    <w:rsid w:val="00E177BC"/>
    <w:rsid w:val="00E17BBD"/>
    <w:rsid w:val="00E2016C"/>
    <w:rsid w:val="00E2035C"/>
    <w:rsid w:val="00E205D0"/>
    <w:rsid w:val="00E20713"/>
    <w:rsid w:val="00E20745"/>
    <w:rsid w:val="00E20CEA"/>
    <w:rsid w:val="00E20D56"/>
    <w:rsid w:val="00E20F7D"/>
    <w:rsid w:val="00E21202"/>
    <w:rsid w:val="00E21BC3"/>
    <w:rsid w:val="00E21C97"/>
    <w:rsid w:val="00E21D6F"/>
    <w:rsid w:val="00E21E66"/>
    <w:rsid w:val="00E221DA"/>
    <w:rsid w:val="00E22302"/>
    <w:rsid w:val="00E22454"/>
    <w:rsid w:val="00E225B7"/>
    <w:rsid w:val="00E228E2"/>
    <w:rsid w:val="00E22CB1"/>
    <w:rsid w:val="00E22E69"/>
    <w:rsid w:val="00E2312B"/>
    <w:rsid w:val="00E2321A"/>
    <w:rsid w:val="00E2326E"/>
    <w:rsid w:val="00E2352F"/>
    <w:rsid w:val="00E2369F"/>
    <w:rsid w:val="00E23A8A"/>
    <w:rsid w:val="00E23AE7"/>
    <w:rsid w:val="00E23AF1"/>
    <w:rsid w:val="00E24517"/>
    <w:rsid w:val="00E24C9F"/>
    <w:rsid w:val="00E24CF0"/>
    <w:rsid w:val="00E24D28"/>
    <w:rsid w:val="00E24D7C"/>
    <w:rsid w:val="00E24DB4"/>
    <w:rsid w:val="00E24EB5"/>
    <w:rsid w:val="00E254C4"/>
    <w:rsid w:val="00E25B1F"/>
    <w:rsid w:val="00E25B75"/>
    <w:rsid w:val="00E25C8C"/>
    <w:rsid w:val="00E261C2"/>
    <w:rsid w:val="00E26215"/>
    <w:rsid w:val="00E2624C"/>
    <w:rsid w:val="00E2625E"/>
    <w:rsid w:val="00E26401"/>
    <w:rsid w:val="00E26638"/>
    <w:rsid w:val="00E26D87"/>
    <w:rsid w:val="00E270C6"/>
    <w:rsid w:val="00E27914"/>
    <w:rsid w:val="00E27994"/>
    <w:rsid w:val="00E279C6"/>
    <w:rsid w:val="00E27D5C"/>
    <w:rsid w:val="00E27E05"/>
    <w:rsid w:val="00E30414"/>
    <w:rsid w:val="00E30791"/>
    <w:rsid w:val="00E30A77"/>
    <w:rsid w:val="00E30B02"/>
    <w:rsid w:val="00E30F6B"/>
    <w:rsid w:val="00E31131"/>
    <w:rsid w:val="00E311D1"/>
    <w:rsid w:val="00E3143D"/>
    <w:rsid w:val="00E31516"/>
    <w:rsid w:val="00E316D8"/>
    <w:rsid w:val="00E3183B"/>
    <w:rsid w:val="00E31898"/>
    <w:rsid w:val="00E31BB5"/>
    <w:rsid w:val="00E31C2B"/>
    <w:rsid w:val="00E31C37"/>
    <w:rsid w:val="00E31D59"/>
    <w:rsid w:val="00E31F77"/>
    <w:rsid w:val="00E320EE"/>
    <w:rsid w:val="00E328F4"/>
    <w:rsid w:val="00E32A2B"/>
    <w:rsid w:val="00E32B6E"/>
    <w:rsid w:val="00E32E84"/>
    <w:rsid w:val="00E32FB1"/>
    <w:rsid w:val="00E33006"/>
    <w:rsid w:val="00E331AE"/>
    <w:rsid w:val="00E3339B"/>
    <w:rsid w:val="00E33408"/>
    <w:rsid w:val="00E33440"/>
    <w:rsid w:val="00E33DE1"/>
    <w:rsid w:val="00E33E05"/>
    <w:rsid w:val="00E33E6A"/>
    <w:rsid w:val="00E3435D"/>
    <w:rsid w:val="00E3451A"/>
    <w:rsid w:val="00E346C8"/>
    <w:rsid w:val="00E34789"/>
    <w:rsid w:val="00E34BA4"/>
    <w:rsid w:val="00E34E3A"/>
    <w:rsid w:val="00E35061"/>
    <w:rsid w:val="00E3577F"/>
    <w:rsid w:val="00E358A1"/>
    <w:rsid w:val="00E35A31"/>
    <w:rsid w:val="00E35BAD"/>
    <w:rsid w:val="00E35C87"/>
    <w:rsid w:val="00E35CE3"/>
    <w:rsid w:val="00E35FF2"/>
    <w:rsid w:val="00E36130"/>
    <w:rsid w:val="00E36368"/>
    <w:rsid w:val="00E36A79"/>
    <w:rsid w:val="00E36AEA"/>
    <w:rsid w:val="00E36C3B"/>
    <w:rsid w:val="00E36C40"/>
    <w:rsid w:val="00E37284"/>
    <w:rsid w:val="00E37634"/>
    <w:rsid w:val="00E37791"/>
    <w:rsid w:val="00E37802"/>
    <w:rsid w:val="00E37853"/>
    <w:rsid w:val="00E37959"/>
    <w:rsid w:val="00E37BF1"/>
    <w:rsid w:val="00E37D35"/>
    <w:rsid w:val="00E37EDE"/>
    <w:rsid w:val="00E40750"/>
    <w:rsid w:val="00E4079D"/>
    <w:rsid w:val="00E40839"/>
    <w:rsid w:val="00E40A56"/>
    <w:rsid w:val="00E40D39"/>
    <w:rsid w:val="00E410A7"/>
    <w:rsid w:val="00E41287"/>
    <w:rsid w:val="00E4130C"/>
    <w:rsid w:val="00E41961"/>
    <w:rsid w:val="00E41993"/>
    <w:rsid w:val="00E41A07"/>
    <w:rsid w:val="00E41D2C"/>
    <w:rsid w:val="00E41D74"/>
    <w:rsid w:val="00E41EDE"/>
    <w:rsid w:val="00E4201F"/>
    <w:rsid w:val="00E42157"/>
    <w:rsid w:val="00E421FA"/>
    <w:rsid w:val="00E42325"/>
    <w:rsid w:val="00E42397"/>
    <w:rsid w:val="00E4274D"/>
    <w:rsid w:val="00E4284C"/>
    <w:rsid w:val="00E428C2"/>
    <w:rsid w:val="00E42B3F"/>
    <w:rsid w:val="00E42B74"/>
    <w:rsid w:val="00E43067"/>
    <w:rsid w:val="00E4336A"/>
    <w:rsid w:val="00E43405"/>
    <w:rsid w:val="00E4347B"/>
    <w:rsid w:val="00E434E5"/>
    <w:rsid w:val="00E4365E"/>
    <w:rsid w:val="00E43CC1"/>
    <w:rsid w:val="00E44076"/>
    <w:rsid w:val="00E4412D"/>
    <w:rsid w:val="00E443B3"/>
    <w:rsid w:val="00E44443"/>
    <w:rsid w:val="00E444F5"/>
    <w:rsid w:val="00E44586"/>
    <w:rsid w:val="00E44602"/>
    <w:rsid w:val="00E4478A"/>
    <w:rsid w:val="00E447EA"/>
    <w:rsid w:val="00E449C7"/>
    <w:rsid w:val="00E44C70"/>
    <w:rsid w:val="00E44D87"/>
    <w:rsid w:val="00E44E1E"/>
    <w:rsid w:val="00E44F49"/>
    <w:rsid w:val="00E45383"/>
    <w:rsid w:val="00E455CE"/>
    <w:rsid w:val="00E4576C"/>
    <w:rsid w:val="00E45866"/>
    <w:rsid w:val="00E458D9"/>
    <w:rsid w:val="00E45DDA"/>
    <w:rsid w:val="00E45E79"/>
    <w:rsid w:val="00E45FB1"/>
    <w:rsid w:val="00E4604A"/>
    <w:rsid w:val="00E4675C"/>
    <w:rsid w:val="00E468EB"/>
    <w:rsid w:val="00E46BC1"/>
    <w:rsid w:val="00E46F8B"/>
    <w:rsid w:val="00E470F3"/>
    <w:rsid w:val="00E47100"/>
    <w:rsid w:val="00E47114"/>
    <w:rsid w:val="00E473EF"/>
    <w:rsid w:val="00E4770F"/>
    <w:rsid w:val="00E477CB"/>
    <w:rsid w:val="00E4790E"/>
    <w:rsid w:val="00E47A77"/>
    <w:rsid w:val="00E47DDE"/>
    <w:rsid w:val="00E47E9D"/>
    <w:rsid w:val="00E47EB6"/>
    <w:rsid w:val="00E47F7D"/>
    <w:rsid w:val="00E47FAC"/>
    <w:rsid w:val="00E500EC"/>
    <w:rsid w:val="00E50382"/>
    <w:rsid w:val="00E503F1"/>
    <w:rsid w:val="00E5064B"/>
    <w:rsid w:val="00E506FF"/>
    <w:rsid w:val="00E50E19"/>
    <w:rsid w:val="00E51285"/>
    <w:rsid w:val="00E512A2"/>
    <w:rsid w:val="00E514E3"/>
    <w:rsid w:val="00E5151A"/>
    <w:rsid w:val="00E516F9"/>
    <w:rsid w:val="00E51AF9"/>
    <w:rsid w:val="00E51BD4"/>
    <w:rsid w:val="00E51D7A"/>
    <w:rsid w:val="00E51EB2"/>
    <w:rsid w:val="00E5234E"/>
    <w:rsid w:val="00E529C2"/>
    <w:rsid w:val="00E531AA"/>
    <w:rsid w:val="00E53A16"/>
    <w:rsid w:val="00E53AAF"/>
    <w:rsid w:val="00E53ADF"/>
    <w:rsid w:val="00E53BA9"/>
    <w:rsid w:val="00E53BCD"/>
    <w:rsid w:val="00E53D95"/>
    <w:rsid w:val="00E53E34"/>
    <w:rsid w:val="00E53EB5"/>
    <w:rsid w:val="00E53EF8"/>
    <w:rsid w:val="00E5409A"/>
    <w:rsid w:val="00E54570"/>
    <w:rsid w:val="00E546AB"/>
    <w:rsid w:val="00E54934"/>
    <w:rsid w:val="00E5494B"/>
    <w:rsid w:val="00E54AF3"/>
    <w:rsid w:val="00E54D85"/>
    <w:rsid w:val="00E5501C"/>
    <w:rsid w:val="00E5507D"/>
    <w:rsid w:val="00E551BB"/>
    <w:rsid w:val="00E554A9"/>
    <w:rsid w:val="00E55606"/>
    <w:rsid w:val="00E55AB9"/>
    <w:rsid w:val="00E55AD9"/>
    <w:rsid w:val="00E55E12"/>
    <w:rsid w:val="00E56047"/>
    <w:rsid w:val="00E561A0"/>
    <w:rsid w:val="00E56B40"/>
    <w:rsid w:val="00E56CE6"/>
    <w:rsid w:val="00E56F8E"/>
    <w:rsid w:val="00E5717B"/>
    <w:rsid w:val="00E571CD"/>
    <w:rsid w:val="00E572C8"/>
    <w:rsid w:val="00E57635"/>
    <w:rsid w:val="00E578E2"/>
    <w:rsid w:val="00E5799B"/>
    <w:rsid w:val="00E5799E"/>
    <w:rsid w:val="00E57AD2"/>
    <w:rsid w:val="00E57D0E"/>
    <w:rsid w:val="00E57D5C"/>
    <w:rsid w:val="00E6017A"/>
    <w:rsid w:val="00E603CA"/>
    <w:rsid w:val="00E6049C"/>
    <w:rsid w:val="00E604F1"/>
    <w:rsid w:val="00E60556"/>
    <w:rsid w:val="00E607EF"/>
    <w:rsid w:val="00E60A78"/>
    <w:rsid w:val="00E60F91"/>
    <w:rsid w:val="00E60F93"/>
    <w:rsid w:val="00E60FF1"/>
    <w:rsid w:val="00E61016"/>
    <w:rsid w:val="00E61029"/>
    <w:rsid w:val="00E61138"/>
    <w:rsid w:val="00E617DE"/>
    <w:rsid w:val="00E6192D"/>
    <w:rsid w:val="00E61AEC"/>
    <w:rsid w:val="00E61B44"/>
    <w:rsid w:val="00E61BA9"/>
    <w:rsid w:val="00E61BCF"/>
    <w:rsid w:val="00E621FF"/>
    <w:rsid w:val="00E62251"/>
    <w:rsid w:val="00E624DF"/>
    <w:rsid w:val="00E62624"/>
    <w:rsid w:val="00E628C4"/>
    <w:rsid w:val="00E62D95"/>
    <w:rsid w:val="00E6305B"/>
    <w:rsid w:val="00E633DA"/>
    <w:rsid w:val="00E637A9"/>
    <w:rsid w:val="00E637E2"/>
    <w:rsid w:val="00E6388F"/>
    <w:rsid w:val="00E63D14"/>
    <w:rsid w:val="00E63E8E"/>
    <w:rsid w:val="00E64085"/>
    <w:rsid w:val="00E64905"/>
    <w:rsid w:val="00E649B0"/>
    <w:rsid w:val="00E64A11"/>
    <w:rsid w:val="00E64CC9"/>
    <w:rsid w:val="00E64D2A"/>
    <w:rsid w:val="00E64DCE"/>
    <w:rsid w:val="00E64E46"/>
    <w:rsid w:val="00E65031"/>
    <w:rsid w:val="00E650D1"/>
    <w:rsid w:val="00E65171"/>
    <w:rsid w:val="00E654A3"/>
    <w:rsid w:val="00E65517"/>
    <w:rsid w:val="00E6557E"/>
    <w:rsid w:val="00E65625"/>
    <w:rsid w:val="00E65977"/>
    <w:rsid w:val="00E65D1E"/>
    <w:rsid w:val="00E6608B"/>
    <w:rsid w:val="00E66195"/>
    <w:rsid w:val="00E661D4"/>
    <w:rsid w:val="00E661E7"/>
    <w:rsid w:val="00E66A4B"/>
    <w:rsid w:val="00E66ACE"/>
    <w:rsid w:val="00E66DDE"/>
    <w:rsid w:val="00E66E23"/>
    <w:rsid w:val="00E66F30"/>
    <w:rsid w:val="00E670F9"/>
    <w:rsid w:val="00E671AC"/>
    <w:rsid w:val="00E672C3"/>
    <w:rsid w:val="00E6750F"/>
    <w:rsid w:val="00E676E1"/>
    <w:rsid w:val="00E7013C"/>
    <w:rsid w:val="00E702CE"/>
    <w:rsid w:val="00E704CD"/>
    <w:rsid w:val="00E70E47"/>
    <w:rsid w:val="00E711FC"/>
    <w:rsid w:val="00E714A7"/>
    <w:rsid w:val="00E71837"/>
    <w:rsid w:val="00E723C0"/>
    <w:rsid w:val="00E72540"/>
    <w:rsid w:val="00E726D3"/>
    <w:rsid w:val="00E7292A"/>
    <w:rsid w:val="00E72BA7"/>
    <w:rsid w:val="00E72E67"/>
    <w:rsid w:val="00E72F6A"/>
    <w:rsid w:val="00E72FAF"/>
    <w:rsid w:val="00E7342A"/>
    <w:rsid w:val="00E735F4"/>
    <w:rsid w:val="00E73950"/>
    <w:rsid w:val="00E73F6C"/>
    <w:rsid w:val="00E7400C"/>
    <w:rsid w:val="00E74352"/>
    <w:rsid w:val="00E743DC"/>
    <w:rsid w:val="00E745E9"/>
    <w:rsid w:val="00E74644"/>
    <w:rsid w:val="00E7484D"/>
    <w:rsid w:val="00E749E2"/>
    <w:rsid w:val="00E74BDB"/>
    <w:rsid w:val="00E74E1E"/>
    <w:rsid w:val="00E74E26"/>
    <w:rsid w:val="00E75213"/>
    <w:rsid w:val="00E7521E"/>
    <w:rsid w:val="00E75522"/>
    <w:rsid w:val="00E75582"/>
    <w:rsid w:val="00E755EC"/>
    <w:rsid w:val="00E75952"/>
    <w:rsid w:val="00E75955"/>
    <w:rsid w:val="00E75969"/>
    <w:rsid w:val="00E759A1"/>
    <w:rsid w:val="00E75B27"/>
    <w:rsid w:val="00E75B33"/>
    <w:rsid w:val="00E760D0"/>
    <w:rsid w:val="00E76492"/>
    <w:rsid w:val="00E766BA"/>
    <w:rsid w:val="00E7685C"/>
    <w:rsid w:val="00E768AD"/>
    <w:rsid w:val="00E76A6A"/>
    <w:rsid w:val="00E76BB5"/>
    <w:rsid w:val="00E76D85"/>
    <w:rsid w:val="00E7705E"/>
    <w:rsid w:val="00E77272"/>
    <w:rsid w:val="00E77329"/>
    <w:rsid w:val="00E77743"/>
    <w:rsid w:val="00E7774B"/>
    <w:rsid w:val="00E77892"/>
    <w:rsid w:val="00E77E40"/>
    <w:rsid w:val="00E80893"/>
    <w:rsid w:val="00E80B2F"/>
    <w:rsid w:val="00E80B65"/>
    <w:rsid w:val="00E80BE4"/>
    <w:rsid w:val="00E81611"/>
    <w:rsid w:val="00E81CD0"/>
    <w:rsid w:val="00E81D31"/>
    <w:rsid w:val="00E81D73"/>
    <w:rsid w:val="00E81EA2"/>
    <w:rsid w:val="00E82548"/>
    <w:rsid w:val="00E8280C"/>
    <w:rsid w:val="00E82A2A"/>
    <w:rsid w:val="00E82BC0"/>
    <w:rsid w:val="00E82C5D"/>
    <w:rsid w:val="00E82FC5"/>
    <w:rsid w:val="00E83021"/>
    <w:rsid w:val="00E83330"/>
    <w:rsid w:val="00E8338B"/>
    <w:rsid w:val="00E83489"/>
    <w:rsid w:val="00E837D0"/>
    <w:rsid w:val="00E8384D"/>
    <w:rsid w:val="00E84093"/>
    <w:rsid w:val="00E8461A"/>
    <w:rsid w:val="00E8470D"/>
    <w:rsid w:val="00E84C2A"/>
    <w:rsid w:val="00E84DC4"/>
    <w:rsid w:val="00E85926"/>
    <w:rsid w:val="00E8593F"/>
    <w:rsid w:val="00E85B14"/>
    <w:rsid w:val="00E85C51"/>
    <w:rsid w:val="00E85E12"/>
    <w:rsid w:val="00E861E6"/>
    <w:rsid w:val="00E86277"/>
    <w:rsid w:val="00E8627F"/>
    <w:rsid w:val="00E86502"/>
    <w:rsid w:val="00E8653F"/>
    <w:rsid w:val="00E86BBB"/>
    <w:rsid w:val="00E86F49"/>
    <w:rsid w:val="00E87205"/>
    <w:rsid w:val="00E873A2"/>
    <w:rsid w:val="00E8763D"/>
    <w:rsid w:val="00E87699"/>
    <w:rsid w:val="00E877E6"/>
    <w:rsid w:val="00E879DA"/>
    <w:rsid w:val="00E87AC4"/>
    <w:rsid w:val="00E87D5C"/>
    <w:rsid w:val="00E87EAF"/>
    <w:rsid w:val="00E90085"/>
    <w:rsid w:val="00E90166"/>
    <w:rsid w:val="00E90289"/>
    <w:rsid w:val="00E904FC"/>
    <w:rsid w:val="00E909A0"/>
    <w:rsid w:val="00E909D6"/>
    <w:rsid w:val="00E90DA9"/>
    <w:rsid w:val="00E911B1"/>
    <w:rsid w:val="00E91353"/>
    <w:rsid w:val="00E915C8"/>
    <w:rsid w:val="00E91C39"/>
    <w:rsid w:val="00E91E54"/>
    <w:rsid w:val="00E91F3D"/>
    <w:rsid w:val="00E91F54"/>
    <w:rsid w:val="00E92084"/>
    <w:rsid w:val="00E9261A"/>
    <w:rsid w:val="00E927B1"/>
    <w:rsid w:val="00E928B7"/>
    <w:rsid w:val="00E92C66"/>
    <w:rsid w:val="00E92C80"/>
    <w:rsid w:val="00E92D4D"/>
    <w:rsid w:val="00E92FBE"/>
    <w:rsid w:val="00E933D4"/>
    <w:rsid w:val="00E93407"/>
    <w:rsid w:val="00E93454"/>
    <w:rsid w:val="00E9351D"/>
    <w:rsid w:val="00E935B4"/>
    <w:rsid w:val="00E93A35"/>
    <w:rsid w:val="00E93BB9"/>
    <w:rsid w:val="00E93CD6"/>
    <w:rsid w:val="00E93CDD"/>
    <w:rsid w:val="00E93E05"/>
    <w:rsid w:val="00E941EB"/>
    <w:rsid w:val="00E94402"/>
    <w:rsid w:val="00E9440A"/>
    <w:rsid w:val="00E94531"/>
    <w:rsid w:val="00E94CE2"/>
    <w:rsid w:val="00E951D6"/>
    <w:rsid w:val="00E952FE"/>
    <w:rsid w:val="00E955AC"/>
    <w:rsid w:val="00E9577A"/>
    <w:rsid w:val="00E95946"/>
    <w:rsid w:val="00E959D8"/>
    <w:rsid w:val="00E95A82"/>
    <w:rsid w:val="00E95AA2"/>
    <w:rsid w:val="00E95B1C"/>
    <w:rsid w:val="00E95C6C"/>
    <w:rsid w:val="00E95CA1"/>
    <w:rsid w:val="00E95DF8"/>
    <w:rsid w:val="00E95F2E"/>
    <w:rsid w:val="00E9640A"/>
    <w:rsid w:val="00E965E0"/>
    <w:rsid w:val="00E96616"/>
    <w:rsid w:val="00E9664F"/>
    <w:rsid w:val="00E96799"/>
    <w:rsid w:val="00E96A45"/>
    <w:rsid w:val="00E96ABC"/>
    <w:rsid w:val="00E96ACF"/>
    <w:rsid w:val="00E96AFA"/>
    <w:rsid w:val="00E96B66"/>
    <w:rsid w:val="00E96F9D"/>
    <w:rsid w:val="00E9706A"/>
    <w:rsid w:val="00E972BD"/>
    <w:rsid w:val="00E97B47"/>
    <w:rsid w:val="00EA0030"/>
    <w:rsid w:val="00EA0387"/>
    <w:rsid w:val="00EA0461"/>
    <w:rsid w:val="00EA05FA"/>
    <w:rsid w:val="00EA0705"/>
    <w:rsid w:val="00EA0725"/>
    <w:rsid w:val="00EA09CB"/>
    <w:rsid w:val="00EA0A0B"/>
    <w:rsid w:val="00EA0A79"/>
    <w:rsid w:val="00EA0BA1"/>
    <w:rsid w:val="00EA0BEE"/>
    <w:rsid w:val="00EA0C45"/>
    <w:rsid w:val="00EA101C"/>
    <w:rsid w:val="00EA1028"/>
    <w:rsid w:val="00EA109C"/>
    <w:rsid w:val="00EA116F"/>
    <w:rsid w:val="00EA1366"/>
    <w:rsid w:val="00EA13A6"/>
    <w:rsid w:val="00EA17D3"/>
    <w:rsid w:val="00EA1C79"/>
    <w:rsid w:val="00EA1FF3"/>
    <w:rsid w:val="00EA23C2"/>
    <w:rsid w:val="00EA2415"/>
    <w:rsid w:val="00EA241C"/>
    <w:rsid w:val="00EA248D"/>
    <w:rsid w:val="00EA2529"/>
    <w:rsid w:val="00EA27DB"/>
    <w:rsid w:val="00EA2D8D"/>
    <w:rsid w:val="00EA329B"/>
    <w:rsid w:val="00EA3B00"/>
    <w:rsid w:val="00EA3B86"/>
    <w:rsid w:val="00EA3D3F"/>
    <w:rsid w:val="00EA408D"/>
    <w:rsid w:val="00EA438E"/>
    <w:rsid w:val="00EA4777"/>
    <w:rsid w:val="00EA4939"/>
    <w:rsid w:val="00EA4955"/>
    <w:rsid w:val="00EA4C4E"/>
    <w:rsid w:val="00EA4CE5"/>
    <w:rsid w:val="00EA525B"/>
    <w:rsid w:val="00EA5284"/>
    <w:rsid w:val="00EA52AB"/>
    <w:rsid w:val="00EA5892"/>
    <w:rsid w:val="00EA59C3"/>
    <w:rsid w:val="00EA5A92"/>
    <w:rsid w:val="00EA5D5B"/>
    <w:rsid w:val="00EA5E6C"/>
    <w:rsid w:val="00EA619F"/>
    <w:rsid w:val="00EA61C0"/>
    <w:rsid w:val="00EA66C3"/>
    <w:rsid w:val="00EA68E9"/>
    <w:rsid w:val="00EA6B6D"/>
    <w:rsid w:val="00EA7166"/>
    <w:rsid w:val="00EA7642"/>
    <w:rsid w:val="00EA76B2"/>
    <w:rsid w:val="00EA7FD3"/>
    <w:rsid w:val="00EB09B6"/>
    <w:rsid w:val="00EB0ADC"/>
    <w:rsid w:val="00EB0C85"/>
    <w:rsid w:val="00EB0F56"/>
    <w:rsid w:val="00EB149F"/>
    <w:rsid w:val="00EB15A2"/>
    <w:rsid w:val="00EB1731"/>
    <w:rsid w:val="00EB1929"/>
    <w:rsid w:val="00EB19D9"/>
    <w:rsid w:val="00EB1B35"/>
    <w:rsid w:val="00EB1C36"/>
    <w:rsid w:val="00EB1D06"/>
    <w:rsid w:val="00EB1F8D"/>
    <w:rsid w:val="00EB2037"/>
    <w:rsid w:val="00EB209B"/>
    <w:rsid w:val="00EB2188"/>
    <w:rsid w:val="00EB2519"/>
    <w:rsid w:val="00EB2B4C"/>
    <w:rsid w:val="00EB2C0A"/>
    <w:rsid w:val="00EB2C1D"/>
    <w:rsid w:val="00EB2EE9"/>
    <w:rsid w:val="00EB2F0B"/>
    <w:rsid w:val="00EB3157"/>
    <w:rsid w:val="00EB33AE"/>
    <w:rsid w:val="00EB3790"/>
    <w:rsid w:val="00EB39B5"/>
    <w:rsid w:val="00EB3DB6"/>
    <w:rsid w:val="00EB3EFE"/>
    <w:rsid w:val="00EB4087"/>
    <w:rsid w:val="00EB4146"/>
    <w:rsid w:val="00EB43D1"/>
    <w:rsid w:val="00EB46A3"/>
    <w:rsid w:val="00EB46B4"/>
    <w:rsid w:val="00EB475D"/>
    <w:rsid w:val="00EB4A75"/>
    <w:rsid w:val="00EB4CBE"/>
    <w:rsid w:val="00EB4D70"/>
    <w:rsid w:val="00EB55A7"/>
    <w:rsid w:val="00EB591A"/>
    <w:rsid w:val="00EB5A3D"/>
    <w:rsid w:val="00EB611E"/>
    <w:rsid w:val="00EB63F9"/>
    <w:rsid w:val="00EB64E1"/>
    <w:rsid w:val="00EB656A"/>
    <w:rsid w:val="00EB65D9"/>
    <w:rsid w:val="00EB691A"/>
    <w:rsid w:val="00EB6A80"/>
    <w:rsid w:val="00EB6DAA"/>
    <w:rsid w:val="00EB7072"/>
    <w:rsid w:val="00EB70BD"/>
    <w:rsid w:val="00EB72BC"/>
    <w:rsid w:val="00EB733C"/>
    <w:rsid w:val="00EB7629"/>
    <w:rsid w:val="00EB77A7"/>
    <w:rsid w:val="00EB79BE"/>
    <w:rsid w:val="00EB7B1C"/>
    <w:rsid w:val="00EB7BBE"/>
    <w:rsid w:val="00EB7EF0"/>
    <w:rsid w:val="00EB7EF1"/>
    <w:rsid w:val="00EC0100"/>
    <w:rsid w:val="00EC033D"/>
    <w:rsid w:val="00EC0438"/>
    <w:rsid w:val="00EC092D"/>
    <w:rsid w:val="00EC096C"/>
    <w:rsid w:val="00EC0D4A"/>
    <w:rsid w:val="00EC1C89"/>
    <w:rsid w:val="00EC1DD0"/>
    <w:rsid w:val="00EC1F1E"/>
    <w:rsid w:val="00EC1FE6"/>
    <w:rsid w:val="00EC245D"/>
    <w:rsid w:val="00EC288D"/>
    <w:rsid w:val="00EC2893"/>
    <w:rsid w:val="00EC29D1"/>
    <w:rsid w:val="00EC2ADE"/>
    <w:rsid w:val="00EC2B7F"/>
    <w:rsid w:val="00EC32EA"/>
    <w:rsid w:val="00EC33D9"/>
    <w:rsid w:val="00EC3411"/>
    <w:rsid w:val="00EC36FE"/>
    <w:rsid w:val="00EC3707"/>
    <w:rsid w:val="00EC380F"/>
    <w:rsid w:val="00EC3BCF"/>
    <w:rsid w:val="00EC3CF8"/>
    <w:rsid w:val="00EC3D62"/>
    <w:rsid w:val="00EC3EFC"/>
    <w:rsid w:val="00EC3FC0"/>
    <w:rsid w:val="00EC4027"/>
    <w:rsid w:val="00EC4055"/>
    <w:rsid w:val="00EC439D"/>
    <w:rsid w:val="00EC46FB"/>
    <w:rsid w:val="00EC488D"/>
    <w:rsid w:val="00EC49A0"/>
    <w:rsid w:val="00EC49CB"/>
    <w:rsid w:val="00EC4A61"/>
    <w:rsid w:val="00EC4D0E"/>
    <w:rsid w:val="00EC4F1F"/>
    <w:rsid w:val="00EC5058"/>
    <w:rsid w:val="00EC514B"/>
    <w:rsid w:val="00EC591E"/>
    <w:rsid w:val="00EC594C"/>
    <w:rsid w:val="00EC5F73"/>
    <w:rsid w:val="00EC6106"/>
    <w:rsid w:val="00EC614F"/>
    <w:rsid w:val="00EC61E0"/>
    <w:rsid w:val="00EC6213"/>
    <w:rsid w:val="00EC662D"/>
    <w:rsid w:val="00EC6AE0"/>
    <w:rsid w:val="00EC6CDA"/>
    <w:rsid w:val="00EC6E3B"/>
    <w:rsid w:val="00EC7038"/>
    <w:rsid w:val="00EC715E"/>
    <w:rsid w:val="00EC7389"/>
    <w:rsid w:val="00EC776D"/>
    <w:rsid w:val="00EC795D"/>
    <w:rsid w:val="00EC7A1F"/>
    <w:rsid w:val="00EC7B57"/>
    <w:rsid w:val="00EC7DDD"/>
    <w:rsid w:val="00ED050D"/>
    <w:rsid w:val="00ED05EB"/>
    <w:rsid w:val="00ED087A"/>
    <w:rsid w:val="00ED0920"/>
    <w:rsid w:val="00ED0929"/>
    <w:rsid w:val="00ED0D57"/>
    <w:rsid w:val="00ED0D67"/>
    <w:rsid w:val="00ED0E3C"/>
    <w:rsid w:val="00ED1523"/>
    <w:rsid w:val="00ED15F7"/>
    <w:rsid w:val="00ED229D"/>
    <w:rsid w:val="00ED22E0"/>
    <w:rsid w:val="00ED2377"/>
    <w:rsid w:val="00ED2454"/>
    <w:rsid w:val="00ED2C23"/>
    <w:rsid w:val="00ED2CC8"/>
    <w:rsid w:val="00ED326C"/>
    <w:rsid w:val="00ED33A1"/>
    <w:rsid w:val="00ED33E6"/>
    <w:rsid w:val="00ED35FA"/>
    <w:rsid w:val="00ED3666"/>
    <w:rsid w:val="00ED3A45"/>
    <w:rsid w:val="00ED3AB4"/>
    <w:rsid w:val="00ED3E46"/>
    <w:rsid w:val="00ED4260"/>
    <w:rsid w:val="00ED4697"/>
    <w:rsid w:val="00ED471F"/>
    <w:rsid w:val="00ED491D"/>
    <w:rsid w:val="00ED4929"/>
    <w:rsid w:val="00ED4A17"/>
    <w:rsid w:val="00ED4BDF"/>
    <w:rsid w:val="00ED4CF4"/>
    <w:rsid w:val="00ED513F"/>
    <w:rsid w:val="00ED54B6"/>
    <w:rsid w:val="00ED56B1"/>
    <w:rsid w:val="00ED56EB"/>
    <w:rsid w:val="00ED599F"/>
    <w:rsid w:val="00ED5B17"/>
    <w:rsid w:val="00ED5F94"/>
    <w:rsid w:val="00ED6179"/>
    <w:rsid w:val="00ED658A"/>
    <w:rsid w:val="00ED6AFD"/>
    <w:rsid w:val="00ED6CBF"/>
    <w:rsid w:val="00ED750C"/>
    <w:rsid w:val="00ED75D1"/>
    <w:rsid w:val="00ED763D"/>
    <w:rsid w:val="00ED76B2"/>
    <w:rsid w:val="00ED76B6"/>
    <w:rsid w:val="00ED7AA4"/>
    <w:rsid w:val="00ED7B38"/>
    <w:rsid w:val="00ED7B83"/>
    <w:rsid w:val="00ED7B8A"/>
    <w:rsid w:val="00ED7BC8"/>
    <w:rsid w:val="00ED7BE4"/>
    <w:rsid w:val="00EE02AD"/>
    <w:rsid w:val="00EE04D0"/>
    <w:rsid w:val="00EE06A0"/>
    <w:rsid w:val="00EE082F"/>
    <w:rsid w:val="00EE0939"/>
    <w:rsid w:val="00EE0A57"/>
    <w:rsid w:val="00EE0DDF"/>
    <w:rsid w:val="00EE0F73"/>
    <w:rsid w:val="00EE11D2"/>
    <w:rsid w:val="00EE13EC"/>
    <w:rsid w:val="00EE1449"/>
    <w:rsid w:val="00EE1697"/>
    <w:rsid w:val="00EE1758"/>
    <w:rsid w:val="00EE17C9"/>
    <w:rsid w:val="00EE1BF3"/>
    <w:rsid w:val="00EE1DC8"/>
    <w:rsid w:val="00EE1DE5"/>
    <w:rsid w:val="00EE1E57"/>
    <w:rsid w:val="00EE2590"/>
    <w:rsid w:val="00EE27A2"/>
    <w:rsid w:val="00EE288E"/>
    <w:rsid w:val="00EE300D"/>
    <w:rsid w:val="00EE31CA"/>
    <w:rsid w:val="00EE321B"/>
    <w:rsid w:val="00EE3456"/>
    <w:rsid w:val="00EE35BC"/>
    <w:rsid w:val="00EE365E"/>
    <w:rsid w:val="00EE3842"/>
    <w:rsid w:val="00EE3C85"/>
    <w:rsid w:val="00EE4005"/>
    <w:rsid w:val="00EE404F"/>
    <w:rsid w:val="00EE432D"/>
    <w:rsid w:val="00EE47B3"/>
    <w:rsid w:val="00EE4A73"/>
    <w:rsid w:val="00EE4D70"/>
    <w:rsid w:val="00EE4E83"/>
    <w:rsid w:val="00EE4EBA"/>
    <w:rsid w:val="00EE4FF5"/>
    <w:rsid w:val="00EE521D"/>
    <w:rsid w:val="00EE52F6"/>
    <w:rsid w:val="00EE53F5"/>
    <w:rsid w:val="00EE554C"/>
    <w:rsid w:val="00EE57DB"/>
    <w:rsid w:val="00EE59CC"/>
    <w:rsid w:val="00EE5A60"/>
    <w:rsid w:val="00EE5B99"/>
    <w:rsid w:val="00EE5D1D"/>
    <w:rsid w:val="00EE6059"/>
    <w:rsid w:val="00EE6265"/>
    <w:rsid w:val="00EE6275"/>
    <w:rsid w:val="00EE6450"/>
    <w:rsid w:val="00EE6632"/>
    <w:rsid w:val="00EE67D8"/>
    <w:rsid w:val="00EE6CE6"/>
    <w:rsid w:val="00EE719D"/>
    <w:rsid w:val="00EE749C"/>
    <w:rsid w:val="00EE75D4"/>
    <w:rsid w:val="00EE770B"/>
    <w:rsid w:val="00EE78DB"/>
    <w:rsid w:val="00EE7CF5"/>
    <w:rsid w:val="00EE7E1B"/>
    <w:rsid w:val="00EE7E53"/>
    <w:rsid w:val="00EE7E9D"/>
    <w:rsid w:val="00EF01A5"/>
    <w:rsid w:val="00EF04D5"/>
    <w:rsid w:val="00EF04ED"/>
    <w:rsid w:val="00EF05F4"/>
    <w:rsid w:val="00EF078E"/>
    <w:rsid w:val="00EF0800"/>
    <w:rsid w:val="00EF0823"/>
    <w:rsid w:val="00EF0E97"/>
    <w:rsid w:val="00EF10A9"/>
    <w:rsid w:val="00EF10C6"/>
    <w:rsid w:val="00EF11A8"/>
    <w:rsid w:val="00EF12B8"/>
    <w:rsid w:val="00EF140E"/>
    <w:rsid w:val="00EF1A7A"/>
    <w:rsid w:val="00EF1B03"/>
    <w:rsid w:val="00EF1B08"/>
    <w:rsid w:val="00EF1BF4"/>
    <w:rsid w:val="00EF1BFE"/>
    <w:rsid w:val="00EF1EAC"/>
    <w:rsid w:val="00EF1F40"/>
    <w:rsid w:val="00EF1F7C"/>
    <w:rsid w:val="00EF1FC0"/>
    <w:rsid w:val="00EF2922"/>
    <w:rsid w:val="00EF295D"/>
    <w:rsid w:val="00EF2BCF"/>
    <w:rsid w:val="00EF2C83"/>
    <w:rsid w:val="00EF2DB4"/>
    <w:rsid w:val="00EF2DBA"/>
    <w:rsid w:val="00EF2DD4"/>
    <w:rsid w:val="00EF2E32"/>
    <w:rsid w:val="00EF2F56"/>
    <w:rsid w:val="00EF32AC"/>
    <w:rsid w:val="00EF350D"/>
    <w:rsid w:val="00EF370F"/>
    <w:rsid w:val="00EF37F8"/>
    <w:rsid w:val="00EF3815"/>
    <w:rsid w:val="00EF383D"/>
    <w:rsid w:val="00EF3AA0"/>
    <w:rsid w:val="00EF407E"/>
    <w:rsid w:val="00EF4196"/>
    <w:rsid w:val="00EF4351"/>
    <w:rsid w:val="00EF4386"/>
    <w:rsid w:val="00EF43DE"/>
    <w:rsid w:val="00EF4430"/>
    <w:rsid w:val="00EF44D4"/>
    <w:rsid w:val="00EF491F"/>
    <w:rsid w:val="00EF4A02"/>
    <w:rsid w:val="00EF4C5B"/>
    <w:rsid w:val="00EF4C65"/>
    <w:rsid w:val="00EF4CEB"/>
    <w:rsid w:val="00EF4E32"/>
    <w:rsid w:val="00EF521E"/>
    <w:rsid w:val="00EF5306"/>
    <w:rsid w:val="00EF5794"/>
    <w:rsid w:val="00EF5851"/>
    <w:rsid w:val="00EF5937"/>
    <w:rsid w:val="00EF5B9E"/>
    <w:rsid w:val="00EF5BC1"/>
    <w:rsid w:val="00EF5E2F"/>
    <w:rsid w:val="00EF5F21"/>
    <w:rsid w:val="00EF5FA1"/>
    <w:rsid w:val="00EF6040"/>
    <w:rsid w:val="00EF635B"/>
    <w:rsid w:val="00EF6780"/>
    <w:rsid w:val="00EF679B"/>
    <w:rsid w:val="00EF68A0"/>
    <w:rsid w:val="00EF6957"/>
    <w:rsid w:val="00EF6E9D"/>
    <w:rsid w:val="00EF6FA6"/>
    <w:rsid w:val="00EF7197"/>
    <w:rsid w:val="00EF750B"/>
    <w:rsid w:val="00EF7543"/>
    <w:rsid w:val="00EF755F"/>
    <w:rsid w:val="00EF7932"/>
    <w:rsid w:val="00EF796D"/>
    <w:rsid w:val="00EF7BBA"/>
    <w:rsid w:val="00EF7CFD"/>
    <w:rsid w:val="00EF7E6E"/>
    <w:rsid w:val="00F00345"/>
    <w:rsid w:val="00F00662"/>
    <w:rsid w:val="00F00C18"/>
    <w:rsid w:val="00F00C2C"/>
    <w:rsid w:val="00F00C4E"/>
    <w:rsid w:val="00F00C89"/>
    <w:rsid w:val="00F00F8B"/>
    <w:rsid w:val="00F015CC"/>
    <w:rsid w:val="00F01603"/>
    <w:rsid w:val="00F01943"/>
    <w:rsid w:val="00F01983"/>
    <w:rsid w:val="00F01C62"/>
    <w:rsid w:val="00F01E24"/>
    <w:rsid w:val="00F01FE4"/>
    <w:rsid w:val="00F02520"/>
    <w:rsid w:val="00F027DE"/>
    <w:rsid w:val="00F02D87"/>
    <w:rsid w:val="00F03016"/>
    <w:rsid w:val="00F035DD"/>
    <w:rsid w:val="00F03E16"/>
    <w:rsid w:val="00F044B4"/>
    <w:rsid w:val="00F047E8"/>
    <w:rsid w:val="00F048AE"/>
    <w:rsid w:val="00F048F0"/>
    <w:rsid w:val="00F04EF2"/>
    <w:rsid w:val="00F04FDC"/>
    <w:rsid w:val="00F05446"/>
    <w:rsid w:val="00F0547C"/>
    <w:rsid w:val="00F05631"/>
    <w:rsid w:val="00F05899"/>
    <w:rsid w:val="00F05929"/>
    <w:rsid w:val="00F06064"/>
    <w:rsid w:val="00F0617F"/>
    <w:rsid w:val="00F0649A"/>
    <w:rsid w:val="00F064D6"/>
    <w:rsid w:val="00F064F3"/>
    <w:rsid w:val="00F0680F"/>
    <w:rsid w:val="00F06C8C"/>
    <w:rsid w:val="00F06D73"/>
    <w:rsid w:val="00F06FDB"/>
    <w:rsid w:val="00F075B5"/>
    <w:rsid w:val="00F07680"/>
    <w:rsid w:val="00F0769A"/>
    <w:rsid w:val="00F076E7"/>
    <w:rsid w:val="00F07C7A"/>
    <w:rsid w:val="00F07D5A"/>
    <w:rsid w:val="00F07E31"/>
    <w:rsid w:val="00F07FCB"/>
    <w:rsid w:val="00F106C7"/>
    <w:rsid w:val="00F10911"/>
    <w:rsid w:val="00F10A0C"/>
    <w:rsid w:val="00F10A8B"/>
    <w:rsid w:val="00F10D66"/>
    <w:rsid w:val="00F10E07"/>
    <w:rsid w:val="00F10E78"/>
    <w:rsid w:val="00F10E9B"/>
    <w:rsid w:val="00F1143B"/>
    <w:rsid w:val="00F11623"/>
    <w:rsid w:val="00F1169A"/>
    <w:rsid w:val="00F116D6"/>
    <w:rsid w:val="00F116FC"/>
    <w:rsid w:val="00F117C2"/>
    <w:rsid w:val="00F119F5"/>
    <w:rsid w:val="00F11BAD"/>
    <w:rsid w:val="00F11C19"/>
    <w:rsid w:val="00F11C57"/>
    <w:rsid w:val="00F11CD9"/>
    <w:rsid w:val="00F11EAF"/>
    <w:rsid w:val="00F121AE"/>
    <w:rsid w:val="00F1244F"/>
    <w:rsid w:val="00F12536"/>
    <w:rsid w:val="00F12B49"/>
    <w:rsid w:val="00F12BFC"/>
    <w:rsid w:val="00F12CCF"/>
    <w:rsid w:val="00F12D62"/>
    <w:rsid w:val="00F131E8"/>
    <w:rsid w:val="00F132FA"/>
    <w:rsid w:val="00F133FD"/>
    <w:rsid w:val="00F13427"/>
    <w:rsid w:val="00F135CD"/>
    <w:rsid w:val="00F136BE"/>
    <w:rsid w:val="00F13794"/>
    <w:rsid w:val="00F137E7"/>
    <w:rsid w:val="00F138F9"/>
    <w:rsid w:val="00F13A7E"/>
    <w:rsid w:val="00F13BE7"/>
    <w:rsid w:val="00F142C3"/>
    <w:rsid w:val="00F1472E"/>
    <w:rsid w:val="00F147FE"/>
    <w:rsid w:val="00F14B21"/>
    <w:rsid w:val="00F14EA6"/>
    <w:rsid w:val="00F14F09"/>
    <w:rsid w:val="00F15241"/>
    <w:rsid w:val="00F15303"/>
    <w:rsid w:val="00F154D4"/>
    <w:rsid w:val="00F1589C"/>
    <w:rsid w:val="00F15D53"/>
    <w:rsid w:val="00F15DFC"/>
    <w:rsid w:val="00F15F62"/>
    <w:rsid w:val="00F161C4"/>
    <w:rsid w:val="00F166AD"/>
    <w:rsid w:val="00F166E2"/>
    <w:rsid w:val="00F1678E"/>
    <w:rsid w:val="00F16871"/>
    <w:rsid w:val="00F16B63"/>
    <w:rsid w:val="00F16E67"/>
    <w:rsid w:val="00F17078"/>
    <w:rsid w:val="00F17081"/>
    <w:rsid w:val="00F171AB"/>
    <w:rsid w:val="00F172FC"/>
    <w:rsid w:val="00F17568"/>
    <w:rsid w:val="00F175AC"/>
    <w:rsid w:val="00F1785B"/>
    <w:rsid w:val="00F178C4"/>
    <w:rsid w:val="00F2003B"/>
    <w:rsid w:val="00F206F1"/>
    <w:rsid w:val="00F2077A"/>
    <w:rsid w:val="00F20803"/>
    <w:rsid w:val="00F20CDC"/>
    <w:rsid w:val="00F20D23"/>
    <w:rsid w:val="00F212BC"/>
    <w:rsid w:val="00F2150D"/>
    <w:rsid w:val="00F21701"/>
    <w:rsid w:val="00F21921"/>
    <w:rsid w:val="00F21A46"/>
    <w:rsid w:val="00F220F0"/>
    <w:rsid w:val="00F2235E"/>
    <w:rsid w:val="00F225B8"/>
    <w:rsid w:val="00F22600"/>
    <w:rsid w:val="00F22B6D"/>
    <w:rsid w:val="00F22FAF"/>
    <w:rsid w:val="00F2330D"/>
    <w:rsid w:val="00F2342D"/>
    <w:rsid w:val="00F2351E"/>
    <w:rsid w:val="00F2374D"/>
    <w:rsid w:val="00F2388A"/>
    <w:rsid w:val="00F23906"/>
    <w:rsid w:val="00F239E2"/>
    <w:rsid w:val="00F23A2D"/>
    <w:rsid w:val="00F23E84"/>
    <w:rsid w:val="00F23FBB"/>
    <w:rsid w:val="00F243E5"/>
    <w:rsid w:val="00F244FA"/>
    <w:rsid w:val="00F24774"/>
    <w:rsid w:val="00F250E5"/>
    <w:rsid w:val="00F255FB"/>
    <w:rsid w:val="00F258D4"/>
    <w:rsid w:val="00F258EF"/>
    <w:rsid w:val="00F25C32"/>
    <w:rsid w:val="00F25D4F"/>
    <w:rsid w:val="00F260F1"/>
    <w:rsid w:val="00F262E6"/>
    <w:rsid w:val="00F26342"/>
    <w:rsid w:val="00F263F0"/>
    <w:rsid w:val="00F26627"/>
    <w:rsid w:val="00F267FB"/>
    <w:rsid w:val="00F26897"/>
    <w:rsid w:val="00F26CC5"/>
    <w:rsid w:val="00F26E2C"/>
    <w:rsid w:val="00F26E98"/>
    <w:rsid w:val="00F27069"/>
    <w:rsid w:val="00F27174"/>
    <w:rsid w:val="00F27532"/>
    <w:rsid w:val="00F303DB"/>
    <w:rsid w:val="00F3040E"/>
    <w:rsid w:val="00F30735"/>
    <w:rsid w:val="00F30819"/>
    <w:rsid w:val="00F30F60"/>
    <w:rsid w:val="00F30FF3"/>
    <w:rsid w:val="00F31276"/>
    <w:rsid w:val="00F31315"/>
    <w:rsid w:val="00F31664"/>
    <w:rsid w:val="00F31719"/>
    <w:rsid w:val="00F317D9"/>
    <w:rsid w:val="00F31901"/>
    <w:rsid w:val="00F31B11"/>
    <w:rsid w:val="00F31CB9"/>
    <w:rsid w:val="00F31CD7"/>
    <w:rsid w:val="00F31D9D"/>
    <w:rsid w:val="00F32005"/>
    <w:rsid w:val="00F323FD"/>
    <w:rsid w:val="00F325FF"/>
    <w:rsid w:val="00F329B2"/>
    <w:rsid w:val="00F32CA9"/>
    <w:rsid w:val="00F32D4C"/>
    <w:rsid w:val="00F3302B"/>
    <w:rsid w:val="00F33144"/>
    <w:rsid w:val="00F33301"/>
    <w:rsid w:val="00F3336D"/>
    <w:rsid w:val="00F33891"/>
    <w:rsid w:val="00F340C4"/>
    <w:rsid w:val="00F34466"/>
    <w:rsid w:val="00F344A4"/>
    <w:rsid w:val="00F3455B"/>
    <w:rsid w:val="00F34BD3"/>
    <w:rsid w:val="00F35301"/>
    <w:rsid w:val="00F353BC"/>
    <w:rsid w:val="00F3542B"/>
    <w:rsid w:val="00F354C4"/>
    <w:rsid w:val="00F35591"/>
    <w:rsid w:val="00F35726"/>
    <w:rsid w:val="00F3573D"/>
    <w:rsid w:val="00F358E4"/>
    <w:rsid w:val="00F359B0"/>
    <w:rsid w:val="00F35A39"/>
    <w:rsid w:val="00F35AF9"/>
    <w:rsid w:val="00F36343"/>
    <w:rsid w:val="00F3676B"/>
    <w:rsid w:val="00F367B8"/>
    <w:rsid w:val="00F36A45"/>
    <w:rsid w:val="00F36C85"/>
    <w:rsid w:val="00F36CB8"/>
    <w:rsid w:val="00F36EA1"/>
    <w:rsid w:val="00F3722E"/>
    <w:rsid w:val="00F376A9"/>
    <w:rsid w:val="00F37AB7"/>
    <w:rsid w:val="00F37BFA"/>
    <w:rsid w:val="00F37DA7"/>
    <w:rsid w:val="00F37F7C"/>
    <w:rsid w:val="00F40248"/>
    <w:rsid w:val="00F40326"/>
    <w:rsid w:val="00F40528"/>
    <w:rsid w:val="00F407CE"/>
    <w:rsid w:val="00F40CC5"/>
    <w:rsid w:val="00F414E7"/>
    <w:rsid w:val="00F41513"/>
    <w:rsid w:val="00F41AE7"/>
    <w:rsid w:val="00F41F88"/>
    <w:rsid w:val="00F42031"/>
    <w:rsid w:val="00F42088"/>
    <w:rsid w:val="00F420CC"/>
    <w:rsid w:val="00F4213A"/>
    <w:rsid w:val="00F4231D"/>
    <w:rsid w:val="00F42509"/>
    <w:rsid w:val="00F42548"/>
    <w:rsid w:val="00F4254B"/>
    <w:rsid w:val="00F42555"/>
    <w:rsid w:val="00F4294A"/>
    <w:rsid w:val="00F42AE8"/>
    <w:rsid w:val="00F42CB6"/>
    <w:rsid w:val="00F42E3D"/>
    <w:rsid w:val="00F42EE4"/>
    <w:rsid w:val="00F42EE8"/>
    <w:rsid w:val="00F42FC5"/>
    <w:rsid w:val="00F4364E"/>
    <w:rsid w:val="00F43A58"/>
    <w:rsid w:val="00F43B46"/>
    <w:rsid w:val="00F43BF4"/>
    <w:rsid w:val="00F43CE8"/>
    <w:rsid w:val="00F43DD1"/>
    <w:rsid w:val="00F4407D"/>
    <w:rsid w:val="00F44123"/>
    <w:rsid w:val="00F443A2"/>
    <w:rsid w:val="00F44565"/>
    <w:rsid w:val="00F44710"/>
    <w:rsid w:val="00F44907"/>
    <w:rsid w:val="00F4493E"/>
    <w:rsid w:val="00F44BC5"/>
    <w:rsid w:val="00F450B4"/>
    <w:rsid w:val="00F45167"/>
    <w:rsid w:val="00F451D4"/>
    <w:rsid w:val="00F45760"/>
    <w:rsid w:val="00F45C0A"/>
    <w:rsid w:val="00F45C2B"/>
    <w:rsid w:val="00F46071"/>
    <w:rsid w:val="00F4624B"/>
    <w:rsid w:val="00F462E1"/>
    <w:rsid w:val="00F46408"/>
    <w:rsid w:val="00F46454"/>
    <w:rsid w:val="00F465AB"/>
    <w:rsid w:val="00F4672C"/>
    <w:rsid w:val="00F469A2"/>
    <w:rsid w:val="00F469D4"/>
    <w:rsid w:val="00F469E8"/>
    <w:rsid w:val="00F46B91"/>
    <w:rsid w:val="00F46CA5"/>
    <w:rsid w:val="00F4709C"/>
    <w:rsid w:val="00F4786C"/>
    <w:rsid w:val="00F478AB"/>
    <w:rsid w:val="00F47A01"/>
    <w:rsid w:val="00F47A38"/>
    <w:rsid w:val="00F47CC6"/>
    <w:rsid w:val="00F47D42"/>
    <w:rsid w:val="00F47DD6"/>
    <w:rsid w:val="00F47F34"/>
    <w:rsid w:val="00F5004C"/>
    <w:rsid w:val="00F50420"/>
    <w:rsid w:val="00F508DD"/>
    <w:rsid w:val="00F50CC1"/>
    <w:rsid w:val="00F51AF1"/>
    <w:rsid w:val="00F51B4B"/>
    <w:rsid w:val="00F5218C"/>
    <w:rsid w:val="00F5238B"/>
    <w:rsid w:val="00F526B9"/>
    <w:rsid w:val="00F527A3"/>
    <w:rsid w:val="00F52808"/>
    <w:rsid w:val="00F5281F"/>
    <w:rsid w:val="00F52AA7"/>
    <w:rsid w:val="00F52D11"/>
    <w:rsid w:val="00F52EB7"/>
    <w:rsid w:val="00F5347B"/>
    <w:rsid w:val="00F534F0"/>
    <w:rsid w:val="00F5360C"/>
    <w:rsid w:val="00F536CB"/>
    <w:rsid w:val="00F53AB5"/>
    <w:rsid w:val="00F53B15"/>
    <w:rsid w:val="00F53F40"/>
    <w:rsid w:val="00F53FFC"/>
    <w:rsid w:val="00F540FA"/>
    <w:rsid w:val="00F542CE"/>
    <w:rsid w:val="00F542F2"/>
    <w:rsid w:val="00F548A9"/>
    <w:rsid w:val="00F549BC"/>
    <w:rsid w:val="00F54A26"/>
    <w:rsid w:val="00F54CA5"/>
    <w:rsid w:val="00F54E4F"/>
    <w:rsid w:val="00F54F69"/>
    <w:rsid w:val="00F55227"/>
    <w:rsid w:val="00F552C6"/>
    <w:rsid w:val="00F553BE"/>
    <w:rsid w:val="00F553FF"/>
    <w:rsid w:val="00F5552F"/>
    <w:rsid w:val="00F555C1"/>
    <w:rsid w:val="00F555F1"/>
    <w:rsid w:val="00F55993"/>
    <w:rsid w:val="00F55AAB"/>
    <w:rsid w:val="00F55D00"/>
    <w:rsid w:val="00F5602C"/>
    <w:rsid w:val="00F5618D"/>
    <w:rsid w:val="00F56592"/>
    <w:rsid w:val="00F565B0"/>
    <w:rsid w:val="00F5669A"/>
    <w:rsid w:val="00F567A3"/>
    <w:rsid w:val="00F568A1"/>
    <w:rsid w:val="00F56920"/>
    <w:rsid w:val="00F56ACA"/>
    <w:rsid w:val="00F56C33"/>
    <w:rsid w:val="00F56CAD"/>
    <w:rsid w:val="00F56D8A"/>
    <w:rsid w:val="00F56DAF"/>
    <w:rsid w:val="00F56E91"/>
    <w:rsid w:val="00F576CD"/>
    <w:rsid w:val="00F57CFA"/>
    <w:rsid w:val="00F57D76"/>
    <w:rsid w:val="00F57ECE"/>
    <w:rsid w:val="00F600CB"/>
    <w:rsid w:val="00F6011F"/>
    <w:rsid w:val="00F602AC"/>
    <w:rsid w:val="00F60385"/>
    <w:rsid w:val="00F60717"/>
    <w:rsid w:val="00F60AFC"/>
    <w:rsid w:val="00F60C74"/>
    <w:rsid w:val="00F60E7E"/>
    <w:rsid w:val="00F60F74"/>
    <w:rsid w:val="00F61065"/>
    <w:rsid w:val="00F6107F"/>
    <w:rsid w:val="00F61323"/>
    <w:rsid w:val="00F613D3"/>
    <w:rsid w:val="00F617E3"/>
    <w:rsid w:val="00F61C62"/>
    <w:rsid w:val="00F62077"/>
    <w:rsid w:val="00F620B9"/>
    <w:rsid w:val="00F625B2"/>
    <w:rsid w:val="00F628EA"/>
    <w:rsid w:val="00F62CF9"/>
    <w:rsid w:val="00F62EF9"/>
    <w:rsid w:val="00F62F9F"/>
    <w:rsid w:val="00F636BD"/>
    <w:rsid w:val="00F63D63"/>
    <w:rsid w:val="00F643BD"/>
    <w:rsid w:val="00F643DB"/>
    <w:rsid w:val="00F6444D"/>
    <w:rsid w:val="00F64985"/>
    <w:rsid w:val="00F64A9B"/>
    <w:rsid w:val="00F64B24"/>
    <w:rsid w:val="00F64B49"/>
    <w:rsid w:val="00F65323"/>
    <w:rsid w:val="00F653A4"/>
    <w:rsid w:val="00F65959"/>
    <w:rsid w:val="00F65A67"/>
    <w:rsid w:val="00F65CC8"/>
    <w:rsid w:val="00F65DFA"/>
    <w:rsid w:val="00F6600E"/>
    <w:rsid w:val="00F66149"/>
    <w:rsid w:val="00F662F9"/>
    <w:rsid w:val="00F665C8"/>
    <w:rsid w:val="00F665DD"/>
    <w:rsid w:val="00F66814"/>
    <w:rsid w:val="00F66B62"/>
    <w:rsid w:val="00F66CF5"/>
    <w:rsid w:val="00F66F55"/>
    <w:rsid w:val="00F66FC8"/>
    <w:rsid w:val="00F67038"/>
    <w:rsid w:val="00F6716D"/>
    <w:rsid w:val="00F673B1"/>
    <w:rsid w:val="00F67649"/>
    <w:rsid w:val="00F6771F"/>
    <w:rsid w:val="00F678A9"/>
    <w:rsid w:val="00F67945"/>
    <w:rsid w:val="00F67E29"/>
    <w:rsid w:val="00F67FA3"/>
    <w:rsid w:val="00F7002B"/>
    <w:rsid w:val="00F7059A"/>
    <w:rsid w:val="00F70684"/>
    <w:rsid w:val="00F7095F"/>
    <w:rsid w:val="00F70C7C"/>
    <w:rsid w:val="00F70D45"/>
    <w:rsid w:val="00F70DB9"/>
    <w:rsid w:val="00F70E49"/>
    <w:rsid w:val="00F7116E"/>
    <w:rsid w:val="00F711BF"/>
    <w:rsid w:val="00F711CD"/>
    <w:rsid w:val="00F7124C"/>
    <w:rsid w:val="00F712EA"/>
    <w:rsid w:val="00F713AA"/>
    <w:rsid w:val="00F71AB3"/>
    <w:rsid w:val="00F71AE8"/>
    <w:rsid w:val="00F71B59"/>
    <w:rsid w:val="00F71C51"/>
    <w:rsid w:val="00F71FD7"/>
    <w:rsid w:val="00F7207B"/>
    <w:rsid w:val="00F720DA"/>
    <w:rsid w:val="00F72192"/>
    <w:rsid w:val="00F72212"/>
    <w:rsid w:val="00F72395"/>
    <w:rsid w:val="00F7242A"/>
    <w:rsid w:val="00F72434"/>
    <w:rsid w:val="00F72554"/>
    <w:rsid w:val="00F727E7"/>
    <w:rsid w:val="00F72995"/>
    <w:rsid w:val="00F72BEF"/>
    <w:rsid w:val="00F72BF1"/>
    <w:rsid w:val="00F72C52"/>
    <w:rsid w:val="00F72E55"/>
    <w:rsid w:val="00F730C1"/>
    <w:rsid w:val="00F73215"/>
    <w:rsid w:val="00F73378"/>
    <w:rsid w:val="00F73517"/>
    <w:rsid w:val="00F737A9"/>
    <w:rsid w:val="00F7398E"/>
    <w:rsid w:val="00F73C45"/>
    <w:rsid w:val="00F73C7C"/>
    <w:rsid w:val="00F73F4A"/>
    <w:rsid w:val="00F740B7"/>
    <w:rsid w:val="00F740E3"/>
    <w:rsid w:val="00F74366"/>
    <w:rsid w:val="00F74576"/>
    <w:rsid w:val="00F74D81"/>
    <w:rsid w:val="00F74E1C"/>
    <w:rsid w:val="00F7500E"/>
    <w:rsid w:val="00F751BA"/>
    <w:rsid w:val="00F754D5"/>
    <w:rsid w:val="00F756F2"/>
    <w:rsid w:val="00F75A2E"/>
    <w:rsid w:val="00F75A5E"/>
    <w:rsid w:val="00F75A91"/>
    <w:rsid w:val="00F75FC8"/>
    <w:rsid w:val="00F76057"/>
    <w:rsid w:val="00F7619D"/>
    <w:rsid w:val="00F761F8"/>
    <w:rsid w:val="00F769EF"/>
    <w:rsid w:val="00F76A30"/>
    <w:rsid w:val="00F76A3F"/>
    <w:rsid w:val="00F76A4C"/>
    <w:rsid w:val="00F76B0F"/>
    <w:rsid w:val="00F76BA2"/>
    <w:rsid w:val="00F76DD6"/>
    <w:rsid w:val="00F76F3A"/>
    <w:rsid w:val="00F774E1"/>
    <w:rsid w:val="00F7767E"/>
    <w:rsid w:val="00F77A30"/>
    <w:rsid w:val="00F77AA5"/>
    <w:rsid w:val="00F77C80"/>
    <w:rsid w:val="00F802F3"/>
    <w:rsid w:val="00F80581"/>
    <w:rsid w:val="00F8100C"/>
    <w:rsid w:val="00F81038"/>
    <w:rsid w:val="00F81099"/>
    <w:rsid w:val="00F81406"/>
    <w:rsid w:val="00F81644"/>
    <w:rsid w:val="00F81917"/>
    <w:rsid w:val="00F81998"/>
    <w:rsid w:val="00F81B26"/>
    <w:rsid w:val="00F81B95"/>
    <w:rsid w:val="00F81C49"/>
    <w:rsid w:val="00F81C81"/>
    <w:rsid w:val="00F82025"/>
    <w:rsid w:val="00F8220F"/>
    <w:rsid w:val="00F822C5"/>
    <w:rsid w:val="00F822D6"/>
    <w:rsid w:val="00F824E0"/>
    <w:rsid w:val="00F82631"/>
    <w:rsid w:val="00F82633"/>
    <w:rsid w:val="00F82AA0"/>
    <w:rsid w:val="00F82AFD"/>
    <w:rsid w:val="00F82B78"/>
    <w:rsid w:val="00F82B84"/>
    <w:rsid w:val="00F82C45"/>
    <w:rsid w:val="00F82E15"/>
    <w:rsid w:val="00F82FA8"/>
    <w:rsid w:val="00F8336C"/>
    <w:rsid w:val="00F834F4"/>
    <w:rsid w:val="00F83668"/>
    <w:rsid w:val="00F836F3"/>
    <w:rsid w:val="00F83712"/>
    <w:rsid w:val="00F839F2"/>
    <w:rsid w:val="00F83AF1"/>
    <w:rsid w:val="00F83BB6"/>
    <w:rsid w:val="00F83DBD"/>
    <w:rsid w:val="00F83E66"/>
    <w:rsid w:val="00F83FD9"/>
    <w:rsid w:val="00F841EF"/>
    <w:rsid w:val="00F8434B"/>
    <w:rsid w:val="00F84447"/>
    <w:rsid w:val="00F845E9"/>
    <w:rsid w:val="00F846AE"/>
    <w:rsid w:val="00F84940"/>
    <w:rsid w:val="00F84D40"/>
    <w:rsid w:val="00F850F4"/>
    <w:rsid w:val="00F85138"/>
    <w:rsid w:val="00F851EF"/>
    <w:rsid w:val="00F855A4"/>
    <w:rsid w:val="00F85882"/>
    <w:rsid w:val="00F85A92"/>
    <w:rsid w:val="00F85BEE"/>
    <w:rsid w:val="00F85CB7"/>
    <w:rsid w:val="00F85DA4"/>
    <w:rsid w:val="00F85E07"/>
    <w:rsid w:val="00F85F94"/>
    <w:rsid w:val="00F85FE3"/>
    <w:rsid w:val="00F861EF"/>
    <w:rsid w:val="00F8642C"/>
    <w:rsid w:val="00F86448"/>
    <w:rsid w:val="00F86732"/>
    <w:rsid w:val="00F867C7"/>
    <w:rsid w:val="00F86E43"/>
    <w:rsid w:val="00F870D7"/>
    <w:rsid w:val="00F87277"/>
    <w:rsid w:val="00F8736F"/>
    <w:rsid w:val="00F874AD"/>
    <w:rsid w:val="00F8787C"/>
    <w:rsid w:val="00F9001E"/>
    <w:rsid w:val="00F90073"/>
    <w:rsid w:val="00F90093"/>
    <w:rsid w:val="00F90781"/>
    <w:rsid w:val="00F90CD4"/>
    <w:rsid w:val="00F90DB8"/>
    <w:rsid w:val="00F9114C"/>
    <w:rsid w:val="00F9123D"/>
    <w:rsid w:val="00F913A8"/>
    <w:rsid w:val="00F9156A"/>
    <w:rsid w:val="00F92221"/>
    <w:rsid w:val="00F9224D"/>
    <w:rsid w:val="00F922B1"/>
    <w:rsid w:val="00F92490"/>
    <w:rsid w:val="00F925BA"/>
    <w:rsid w:val="00F92604"/>
    <w:rsid w:val="00F926B7"/>
    <w:rsid w:val="00F929BC"/>
    <w:rsid w:val="00F92C3F"/>
    <w:rsid w:val="00F92E0D"/>
    <w:rsid w:val="00F92E3A"/>
    <w:rsid w:val="00F92F98"/>
    <w:rsid w:val="00F930A6"/>
    <w:rsid w:val="00F930C0"/>
    <w:rsid w:val="00F93262"/>
    <w:rsid w:val="00F9333C"/>
    <w:rsid w:val="00F93948"/>
    <w:rsid w:val="00F93D1E"/>
    <w:rsid w:val="00F93D7C"/>
    <w:rsid w:val="00F93F8B"/>
    <w:rsid w:val="00F94004"/>
    <w:rsid w:val="00F94414"/>
    <w:rsid w:val="00F944FC"/>
    <w:rsid w:val="00F94550"/>
    <w:rsid w:val="00F946CE"/>
    <w:rsid w:val="00F94805"/>
    <w:rsid w:val="00F94820"/>
    <w:rsid w:val="00F9492D"/>
    <w:rsid w:val="00F94961"/>
    <w:rsid w:val="00F94DFA"/>
    <w:rsid w:val="00F94E79"/>
    <w:rsid w:val="00F94ECD"/>
    <w:rsid w:val="00F9513B"/>
    <w:rsid w:val="00F9531F"/>
    <w:rsid w:val="00F954BF"/>
    <w:rsid w:val="00F954F4"/>
    <w:rsid w:val="00F954FE"/>
    <w:rsid w:val="00F955D0"/>
    <w:rsid w:val="00F9598D"/>
    <w:rsid w:val="00F95A7F"/>
    <w:rsid w:val="00F95B47"/>
    <w:rsid w:val="00F95C7E"/>
    <w:rsid w:val="00F96043"/>
    <w:rsid w:val="00F960F4"/>
    <w:rsid w:val="00F9624B"/>
    <w:rsid w:val="00F966D2"/>
    <w:rsid w:val="00F96C8D"/>
    <w:rsid w:val="00F96DC1"/>
    <w:rsid w:val="00F97365"/>
    <w:rsid w:val="00F975B8"/>
    <w:rsid w:val="00F979C1"/>
    <w:rsid w:val="00F97B52"/>
    <w:rsid w:val="00F97EF2"/>
    <w:rsid w:val="00F97FBB"/>
    <w:rsid w:val="00FA0162"/>
    <w:rsid w:val="00FA02BD"/>
    <w:rsid w:val="00FA05D3"/>
    <w:rsid w:val="00FA08BE"/>
    <w:rsid w:val="00FA0BE2"/>
    <w:rsid w:val="00FA0D5E"/>
    <w:rsid w:val="00FA0FF5"/>
    <w:rsid w:val="00FA10C8"/>
    <w:rsid w:val="00FA1A51"/>
    <w:rsid w:val="00FA1A83"/>
    <w:rsid w:val="00FA1AD8"/>
    <w:rsid w:val="00FA1BFB"/>
    <w:rsid w:val="00FA1EF6"/>
    <w:rsid w:val="00FA204F"/>
    <w:rsid w:val="00FA2148"/>
    <w:rsid w:val="00FA24DB"/>
    <w:rsid w:val="00FA29B1"/>
    <w:rsid w:val="00FA2A58"/>
    <w:rsid w:val="00FA2BCB"/>
    <w:rsid w:val="00FA2C3C"/>
    <w:rsid w:val="00FA2C43"/>
    <w:rsid w:val="00FA311C"/>
    <w:rsid w:val="00FA3335"/>
    <w:rsid w:val="00FA373F"/>
    <w:rsid w:val="00FA3B7E"/>
    <w:rsid w:val="00FA3CB7"/>
    <w:rsid w:val="00FA3EB8"/>
    <w:rsid w:val="00FA3F60"/>
    <w:rsid w:val="00FA4029"/>
    <w:rsid w:val="00FA4605"/>
    <w:rsid w:val="00FA4CDE"/>
    <w:rsid w:val="00FA4E7E"/>
    <w:rsid w:val="00FA4F87"/>
    <w:rsid w:val="00FA52E1"/>
    <w:rsid w:val="00FA55BB"/>
    <w:rsid w:val="00FA5ADB"/>
    <w:rsid w:val="00FA5C43"/>
    <w:rsid w:val="00FA5DFE"/>
    <w:rsid w:val="00FA5FD6"/>
    <w:rsid w:val="00FA6024"/>
    <w:rsid w:val="00FA6246"/>
    <w:rsid w:val="00FA64CA"/>
    <w:rsid w:val="00FA65D0"/>
    <w:rsid w:val="00FA6B67"/>
    <w:rsid w:val="00FA6B8A"/>
    <w:rsid w:val="00FA6C8A"/>
    <w:rsid w:val="00FA6DC3"/>
    <w:rsid w:val="00FA6EA5"/>
    <w:rsid w:val="00FA6F7F"/>
    <w:rsid w:val="00FA701F"/>
    <w:rsid w:val="00FA70DB"/>
    <w:rsid w:val="00FA72C2"/>
    <w:rsid w:val="00FA7588"/>
    <w:rsid w:val="00FA7886"/>
    <w:rsid w:val="00FA7AFE"/>
    <w:rsid w:val="00FA7DA8"/>
    <w:rsid w:val="00FB010F"/>
    <w:rsid w:val="00FB0378"/>
    <w:rsid w:val="00FB052F"/>
    <w:rsid w:val="00FB054C"/>
    <w:rsid w:val="00FB06D4"/>
    <w:rsid w:val="00FB0B59"/>
    <w:rsid w:val="00FB0C89"/>
    <w:rsid w:val="00FB0D9F"/>
    <w:rsid w:val="00FB125E"/>
    <w:rsid w:val="00FB1884"/>
    <w:rsid w:val="00FB1AA3"/>
    <w:rsid w:val="00FB1C88"/>
    <w:rsid w:val="00FB1C9A"/>
    <w:rsid w:val="00FB1CF4"/>
    <w:rsid w:val="00FB1DFF"/>
    <w:rsid w:val="00FB1F83"/>
    <w:rsid w:val="00FB211E"/>
    <w:rsid w:val="00FB2155"/>
    <w:rsid w:val="00FB2438"/>
    <w:rsid w:val="00FB24AD"/>
    <w:rsid w:val="00FB29EA"/>
    <w:rsid w:val="00FB2ABF"/>
    <w:rsid w:val="00FB3157"/>
    <w:rsid w:val="00FB3514"/>
    <w:rsid w:val="00FB37D8"/>
    <w:rsid w:val="00FB37FF"/>
    <w:rsid w:val="00FB39E0"/>
    <w:rsid w:val="00FB3A84"/>
    <w:rsid w:val="00FB3ACB"/>
    <w:rsid w:val="00FB3DE8"/>
    <w:rsid w:val="00FB3FD2"/>
    <w:rsid w:val="00FB41C7"/>
    <w:rsid w:val="00FB4760"/>
    <w:rsid w:val="00FB495D"/>
    <w:rsid w:val="00FB4B75"/>
    <w:rsid w:val="00FB4B84"/>
    <w:rsid w:val="00FB4BB0"/>
    <w:rsid w:val="00FB4CB0"/>
    <w:rsid w:val="00FB4FBD"/>
    <w:rsid w:val="00FB5084"/>
    <w:rsid w:val="00FB52E5"/>
    <w:rsid w:val="00FB5350"/>
    <w:rsid w:val="00FB5370"/>
    <w:rsid w:val="00FB5502"/>
    <w:rsid w:val="00FB559C"/>
    <w:rsid w:val="00FB595F"/>
    <w:rsid w:val="00FB5CC3"/>
    <w:rsid w:val="00FB611D"/>
    <w:rsid w:val="00FB613B"/>
    <w:rsid w:val="00FB6326"/>
    <w:rsid w:val="00FB6462"/>
    <w:rsid w:val="00FB6569"/>
    <w:rsid w:val="00FB67E8"/>
    <w:rsid w:val="00FB6867"/>
    <w:rsid w:val="00FB6CC5"/>
    <w:rsid w:val="00FB7028"/>
    <w:rsid w:val="00FB7131"/>
    <w:rsid w:val="00FB722F"/>
    <w:rsid w:val="00FB725C"/>
    <w:rsid w:val="00FB7293"/>
    <w:rsid w:val="00FB7307"/>
    <w:rsid w:val="00FB7315"/>
    <w:rsid w:val="00FB76A8"/>
    <w:rsid w:val="00FB795F"/>
    <w:rsid w:val="00FB7989"/>
    <w:rsid w:val="00FB7ADE"/>
    <w:rsid w:val="00FB7CD9"/>
    <w:rsid w:val="00FB7FFD"/>
    <w:rsid w:val="00FC003B"/>
    <w:rsid w:val="00FC0130"/>
    <w:rsid w:val="00FC0555"/>
    <w:rsid w:val="00FC0A87"/>
    <w:rsid w:val="00FC0BAA"/>
    <w:rsid w:val="00FC0D73"/>
    <w:rsid w:val="00FC1115"/>
    <w:rsid w:val="00FC1166"/>
    <w:rsid w:val="00FC1513"/>
    <w:rsid w:val="00FC1650"/>
    <w:rsid w:val="00FC1895"/>
    <w:rsid w:val="00FC1E23"/>
    <w:rsid w:val="00FC1E30"/>
    <w:rsid w:val="00FC1EC1"/>
    <w:rsid w:val="00FC2050"/>
    <w:rsid w:val="00FC213C"/>
    <w:rsid w:val="00FC2512"/>
    <w:rsid w:val="00FC28A5"/>
    <w:rsid w:val="00FC2D68"/>
    <w:rsid w:val="00FC2D99"/>
    <w:rsid w:val="00FC3688"/>
    <w:rsid w:val="00FC393A"/>
    <w:rsid w:val="00FC3F31"/>
    <w:rsid w:val="00FC4224"/>
    <w:rsid w:val="00FC434E"/>
    <w:rsid w:val="00FC4583"/>
    <w:rsid w:val="00FC4592"/>
    <w:rsid w:val="00FC4829"/>
    <w:rsid w:val="00FC4B33"/>
    <w:rsid w:val="00FC4D98"/>
    <w:rsid w:val="00FC5E10"/>
    <w:rsid w:val="00FC5E33"/>
    <w:rsid w:val="00FC605B"/>
    <w:rsid w:val="00FC612D"/>
    <w:rsid w:val="00FC6324"/>
    <w:rsid w:val="00FC6341"/>
    <w:rsid w:val="00FC640E"/>
    <w:rsid w:val="00FC656A"/>
    <w:rsid w:val="00FC65E9"/>
    <w:rsid w:val="00FC66A8"/>
    <w:rsid w:val="00FC67D9"/>
    <w:rsid w:val="00FC6C2E"/>
    <w:rsid w:val="00FC6D4E"/>
    <w:rsid w:val="00FC7546"/>
    <w:rsid w:val="00FC7604"/>
    <w:rsid w:val="00FC76BA"/>
    <w:rsid w:val="00FC77DB"/>
    <w:rsid w:val="00FC78A1"/>
    <w:rsid w:val="00FC7A2C"/>
    <w:rsid w:val="00FC7B90"/>
    <w:rsid w:val="00FC7BD4"/>
    <w:rsid w:val="00FC7E20"/>
    <w:rsid w:val="00FD009B"/>
    <w:rsid w:val="00FD01A7"/>
    <w:rsid w:val="00FD0267"/>
    <w:rsid w:val="00FD0561"/>
    <w:rsid w:val="00FD0722"/>
    <w:rsid w:val="00FD088F"/>
    <w:rsid w:val="00FD0BCD"/>
    <w:rsid w:val="00FD0E27"/>
    <w:rsid w:val="00FD1288"/>
    <w:rsid w:val="00FD135D"/>
    <w:rsid w:val="00FD145A"/>
    <w:rsid w:val="00FD165F"/>
    <w:rsid w:val="00FD18BF"/>
    <w:rsid w:val="00FD195B"/>
    <w:rsid w:val="00FD1F76"/>
    <w:rsid w:val="00FD20C9"/>
    <w:rsid w:val="00FD2169"/>
    <w:rsid w:val="00FD2227"/>
    <w:rsid w:val="00FD2666"/>
    <w:rsid w:val="00FD2902"/>
    <w:rsid w:val="00FD2B54"/>
    <w:rsid w:val="00FD2C20"/>
    <w:rsid w:val="00FD2C3F"/>
    <w:rsid w:val="00FD2EEE"/>
    <w:rsid w:val="00FD3031"/>
    <w:rsid w:val="00FD30A3"/>
    <w:rsid w:val="00FD30C6"/>
    <w:rsid w:val="00FD3109"/>
    <w:rsid w:val="00FD32C6"/>
    <w:rsid w:val="00FD3706"/>
    <w:rsid w:val="00FD38E2"/>
    <w:rsid w:val="00FD395A"/>
    <w:rsid w:val="00FD4385"/>
    <w:rsid w:val="00FD465C"/>
    <w:rsid w:val="00FD490A"/>
    <w:rsid w:val="00FD4CF8"/>
    <w:rsid w:val="00FD4D53"/>
    <w:rsid w:val="00FD52A0"/>
    <w:rsid w:val="00FD550C"/>
    <w:rsid w:val="00FD583D"/>
    <w:rsid w:val="00FD5ACD"/>
    <w:rsid w:val="00FD5DF7"/>
    <w:rsid w:val="00FD60E1"/>
    <w:rsid w:val="00FD64EE"/>
    <w:rsid w:val="00FD672B"/>
    <w:rsid w:val="00FD6A00"/>
    <w:rsid w:val="00FD6AD9"/>
    <w:rsid w:val="00FD6BA8"/>
    <w:rsid w:val="00FD6F03"/>
    <w:rsid w:val="00FD6F7E"/>
    <w:rsid w:val="00FD6FF2"/>
    <w:rsid w:val="00FD7017"/>
    <w:rsid w:val="00FD7088"/>
    <w:rsid w:val="00FD724D"/>
    <w:rsid w:val="00FD74D3"/>
    <w:rsid w:val="00FD77DC"/>
    <w:rsid w:val="00FD7A8E"/>
    <w:rsid w:val="00FD7C8D"/>
    <w:rsid w:val="00FD7CA5"/>
    <w:rsid w:val="00FD7F5B"/>
    <w:rsid w:val="00FE0304"/>
    <w:rsid w:val="00FE0318"/>
    <w:rsid w:val="00FE0399"/>
    <w:rsid w:val="00FE0672"/>
    <w:rsid w:val="00FE09BE"/>
    <w:rsid w:val="00FE0A12"/>
    <w:rsid w:val="00FE0DAD"/>
    <w:rsid w:val="00FE13A5"/>
    <w:rsid w:val="00FE14DA"/>
    <w:rsid w:val="00FE155C"/>
    <w:rsid w:val="00FE158A"/>
    <w:rsid w:val="00FE15CA"/>
    <w:rsid w:val="00FE16DD"/>
    <w:rsid w:val="00FE19EE"/>
    <w:rsid w:val="00FE19F9"/>
    <w:rsid w:val="00FE1F96"/>
    <w:rsid w:val="00FE20C8"/>
    <w:rsid w:val="00FE21C1"/>
    <w:rsid w:val="00FE226E"/>
    <w:rsid w:val="00FE2407"/>
    <w:rsid w:val="00FE259C"/>
    <w:rsid w:val="00FE2888"/>
    <w:rsid w:val="00FE28E4"/>
    <w:rsid w:val="00FE2AE1"/>
    <w:rsid w:val="00FE2D0D"/>
    <w:rsid w:val="00FE2F05"/>
    <w:rsid w:val="00FE3363"/>
    <w:rsid w:val="00FE3420"/>
    <w:rsid w:val="00FE34F4"/>
    <w:rsid w:val="00FE372E"/>
    <w:rsid w:val="00FE395D"/>
    <w:rsid w:val="00FE39F2"/>
    <w:rsid w:val="00FE3A3E"/>
    <w:rsid w:val="00FE4186"/>
    <w:rsid w:val="00FE428C"/>
    <w:rsid w:val="00FE43D2"/>
    <w:rsid w:val="00FE461F"/>
    <w:rsid w:val="00FE4707"/>
    <w:rsid w:val="00FE4739"/>
    <w:rsid w:val="00FE48C3"/>
    <w:rsid w:val="00FE4BA0"/>
    <w:rsid w:val="00FE4BC4"/>
    <w:rsid w:val="00FE4C1E"/>
    <w:rsid w:val="00FE4FAA"/>
    <w:rsid w:val="00FE5651"/>
    <w:rsid w:val="00FE5915"/>
    <w:rsid w:val="00FE5989"/>
    <w:rsid w:val="00FE6032"/>
    <w:rsid w:val="00FE652F"/>
    <w:rsid w:val="00FE67AD"/>
    <w:rsid w:val="00FE67E3"/>
    <w:rsid w:val="00FE68AF"/>
    <w:rsid w:val="00FE6A61"/>
    <w:rsid w:val="00FE6D4F"/>
    <w:rsid w:val="00FE6E35"/>
    <w:rsid w:val="00FE6E68"/>
    <w:rsid w:val="00FE7247"/>
    <w:rsid w:val="00FE7300"/>
    <w:rsid w:val="00FE73AC"/>
    <w:rsid w:val="00FE7515"/>
    <w:rsid w:val="00FE7768"/>
    <w:rsid w:val="00FE784C"/>
    <w:rsid w:val="00FE78FA"/>
    <w:rsid w:val="00FE7B05"/>
    <w:rsid w:val="00FF002A"/>
    <w:rsid w:val="00FF017F"/>
    <w:rsid w:val="00FF01B7"/>
    <w:rsid w:val="00FF01F4"/>
    <w:rsid w:val="00FF0356"/>
    <w:rsid w:val="00FF037A"/>
    <w:rsid w:val="00FF040A"/>
    <w:rsid w:val="00FF04E2"/>
    <w:rsid w:val="00FF074E"/>
    <w:rsid w:val="00FF09C3"/>
    <w:rsid w:val="00FF0B8C"/>
    <w:rsid w:val="00FF0BA9"/>
    <w:rsid w:val="00FF0C75"/>
    <w:rsid w:val="00FF0CC1"/>
    <w:rsid w:val="00FF0E0E"/>
    <w:rsid w:val="00FF1407"/>
    <w:rsid w:val="00FF15FF"/>
    <w:rsid w:val="00FF1677"/>
    <w:rsid w:val="00FF1A4D"/>
    <w:rsid w:val="00FF1BB3"/>
    <w:rsid w:val="00FF1BE1"/>
    <w:rsid w:val="00FF243E"/>
    <w:rsid w:val="00FF25E4"/>
    <w:rsid w:val="00FF2768"/>
    <w:rsid w:val="00FF2AB5"/>
    <w:rsid w:val="00FF2E49"/>
    <w:rsid w:val="00FF2FB3"/>
    <w:rsid w:val="00FF350E"/>
    <w:rsid w:val="00FF36A9"/>
    <w:rsid w:val="00FF37D5"/>
    <w:rsid w:val="00FF3879"/>
    <w:rsid w:val="00FF3963"/>
    <w:rsid w:val="00FF3AFF"/>
    <w:rsid w:val="00FF3E6C"/>
    <w:rsid w:val="00FF40FD"/>
    <w:rsid w:val="00FF41F9"/>
    <w:rsid w:val="00FF4206"/>
    <w:rsid w:val="00FF42F2"/>
    <w:rsid w:val="00FF4389"/>
    <w:rsid w:val="00FF4667"/>
    <w:rsid w:val="00FF49E2"/>
    <w:rsid w:val="00FF4A19"/>
    <w:rsid w:val="00FF4C2D"/>
    <w:rsid w:val="00FF4CCB"/>
    <w:rsid w:val="00FF4D91"/>
    <w:rsid w:val="00FF4EC5"/>
    <w:rsid w:val="00FF50CF"/>
    <w:rsid w:val="00FF532B"/>
    <w:rsid w:val="00FF5438"/>
    <w:rsid w:val="00FF5572"/>
    <w:rsid w:val="00FF563B"/>
    <w:rsid w:val="00FF5673"/>
    <w:rsid w:val="00FF579E"/>
    <w:rsid w:val="00FF5A91"/>
    <w:rsid w:val="00FF5BF5"/>
    <w:rsid w:val="00FF5E55"/>
    <w:rsid w:val="00FF5F61"/>
    <w:rsid w:val="00FF63DC"/>
    <w:rsid w:val="00FF6491"/>
    <w:rsid w:val="00FF65D5"/>
    <w:rsid w:val="00FF6677"/>
    <w:rsid w:val="00FF69C9"/>
    <w:rsid w:val="00FF6A35"/>
    <w:rsid w:val="00FF6CAE"/>
    <w:rsid w:val="00FF6D35"/>
    <w:rsid w:val="00FF6D3E"/>
    <w:rsid w:val="00FF6DD1"/>
    <w:rsid w:val="00FF6E7A"/>
    <w:rsid w:val="00FF6E87"/>
    <w:rsid w:val="00FF6FE7"/>
    <w:rsid w:val="00FF6FE9"/>
    <w:rsid w:val="00FF702B"/>
    <w:rsid w:val="00FF7072"/>
    <w:rsid w:val="00FF737E"/>
    <w:rsid w:val="00FF7803"/>
    <w:rsid w:val="00FF7D96"/>
    <w:rsid w:val="00FF7FE4"/>
    <w:rsid w:val="0162720A"/>
    <w:rsid w:val="01826347"/>
    <w:rsid w:val="0191D465"/>
    <w:rsid w:val="02AFA55D"/>
    <w:rsid w:val="03B8307E"/>
    <w:rsid w:val="047BADAB"/>
    <w:rsid w:val="0584F523"/>
    <w:rsid w:val="071C11C6"/>
    <w:rsid w:val="07727825"/>
    <w:rsid w:val="082C0B8B"/>
    <w:rsid w:val="09AEF6C1"/>
    <w:rsid w:val="09B3A114"/>
    <w:rsid w:val="09E24B90"/>
    <w:rsid w:val="0A8CEA2B"/>
    <w:rsid w:val="0AD88CB5"/>
    <w:rsid w:val="0B60566B"/>
    <w:rsid w:val="0BE72165"/>
    <w:rsid w:val="0C14AA7B"/>
    <w:rsid w:val="0CAF38F5"/>
    <w:rsid w:val="0DC3C465"/>
    <w:rsid w:val="0DD583E4"/>
    <w:rsid w:val="0E0B50B4"/>
    <w:rsid w:val="0E4F158B"/>
    <w:rsid w:val="0E931FD4"/>
    <w:rsid w:val="0EADB22F"/>
    <w:rsid w:val="12196708"/>
    <w:rsid w:val="12642F69"/>
    <w:rsid w:val="13FB6EA9"/>
    <w:rsid w:val="141D87D5"/>
    <w:rsid w:val="15428A57"/>
    <w:rsid w:val="16574A54"/>
    <w:rsid w:val="1664219B"/>
    <w:rsid w:val="167EB837"/>
    <w:rsid w:val="16F7622E"/>
    <w:rsid w:val="17E0F22C"/>
    <w:rsid w:val="187273B7"/>
    <w:rsid w:val="1882772C"/>
    <w:rsid w:val="18BBC78B"/>
    <w:rsid w:val="19B125AE"/>
    <w:rsid w:val="1A5BC31E"/>
    <w:rsid w:val="1A84B143"/>
    <w:rsid w:val="1A8AE7CE"/>
    <w:rsid w:val="1AD31577"/>
    <w:rsid w:val="1AFF3C3B"/>
    <w:rsid w:val="1BC18865"/>
    <w:rsid w:val="1BFDCEC7"/>
    <w:rsid w:val="1C06CB56"/>
    <w:rsid w:val="1C39C620"/>
    <w:rsid w:val="1CC6E10A"/>
    <w:rsid w:val="1CDE5FB9"/>
    <w:rsid w:val="1D184EE9"/>
    <w:rsid w:val="1D1976E7"/>
    <w:rsid w:val="1D63300E"/>
    <w:rsid w:val="1DB06BCA"/>
    <w:rsid w:val="20095C44"/>
    <w:rsid w:val="205A0676"/>
    <w:rsid w:val="20F074BB"/>
    <w:rsid w:val="20F4D8D9"/>
    <w:rsid w:val="2147BB7D"/>
    <w:rsid w:val="218482CD"/>
    <w:rsid w:val="21F26E24"/>
    <w:rsid w:val="22C0D6DA"/>
    <w:rsid w:val="22D971F6"/>
    <w:rsid w:val="232A3564"/>
    <w:rsid w:val="246D4C06"/>
    <w:rsid w:val="26AC7059"/>
    <w:rsid w:val="27D85127"/>
    <w:rsid w:val="286246A3"/>
    <w:rsid w:val="28785405"/>
    <w:rsid w:val="29C691CD"/>
    <w:rsid w:val="2A16C86B"/>
    <w:rsid w:val="2AA25AB8"/>
    <w:rsid w:val="2B202C06"/>
    <w:rsid w:val="2B8EB4D1"/>
    <w:rsid w:val="2C003882"/>
    <w:rsid w:val="2C938579"/>
    <w:rsid w:val="2CC6CA0E"/>
    <w:rsid w:val="2CD4A6D1"/>
    <w:rsid w:val="2D38381E"/>
    <w:rsid w:val="2D53EEDA"/>
    <w:rsid w:val="2D85BACC"/>
    <w:rsid w:val="2E68D6E5"/>
    <w:rsid w:val="2EEC98C7"/>
    <w:rsid w:val="2EFCA83F"/>
    <w:rsid w:val="3089B8EC"/>
    <w:rsid w:val="327DC07F"/>
    <w:rsid w:val="3280708F"/>
    <w:rsid w:val="33996357"/>
    <w:rsid w:val="33A308B1"/>
    <w:rsid w:val="342330BA"/>
    <w:rsid w:val="344804BA"/>
    <w:rsid w:val="3484C351"/>
    <w:rsid w:val="34872104"/>
    <w:rsid w:val="34B57455"/>
    <w:rsid w:val="34CE99B7"/>
    <w:rsid w:val="34E68F98"/>
    <w:rsid w:val="3507C947"/>
    <w:rsid w:val="355C76AC"/>
    <w:rsid w:val="361AC2E1"/>
    <w:rsid w:val="36309290"/>
    <w:rsid w:val="3658AC08"/>
    <w:rsid w:val="36C3473B"/>
    <w:rsid w:val="372CCEA8"/>
    <w:rsid w:val="37E9FFE0"/>
    <w:rsid w:val="38259BA6"/>
    <w:rsid w:val="38650B69"/>
    <w:rsid w:val="38B56E38"/>
    <w:rsid w:val="3936DC16"/>
    <w:rsid w:val="399F3C9D"/>
    <w:rsid w:val="39A70198"/>
    <w:rsid w:val="39DDDB75"/>
    <w:rsid w:val="3AF69F3C"/>
    <w:rsid w:val="3B0A0A32"/>
    <w:rsid w:val="3B3973D1"/>
    <w:rsid w:val="3B7BA014"/>
    <w:rsid w:val="3BD9584B"/>
    <w:rsid w:val="3BDA82C6"/>
    <w:rsid w:val="3C302755"/>
    <w:rsid w:val="3CB5C4C4"/>
    <w:rsid w:val="3CBF69CB"/>
    <w:rsid w:val="3CC2EA28"/>
    <w:rsid w:val="3D0C80BA"/>
    <w:rsid w:val="3D72D2AC"/>
    <w:rsid w:val="3D95FE60"/>
    <w:rsid w:val="3E0A2C89"/>
    <w:rsid w:val="3E3EA2E2"/>
    <w:rsid w:val="3FB7E1E7"/>
    <w:rsid w:val="40036FE9"/>
    <w:rsid w:val="4012A58B"/>
    <w:rsid w:val="405661CB"/>
    <w:rsid w:val="405B5200"/>
    <w:rsid w:val="418BD414"/>
    <w:rsid w:val="41B105DA"/>
    <w:rsid w:val="41E37EAE"/>
    <w:rsid w:val="42447175"/>
    <w:rsid w:val="42BF5D30"/>
    <w:rsid w:val="42D9FCE9"/>
    <w:rsid w:val="42F2DDBC"/>
    <w:rsid w:val="433C15A7"/>
    <w:rsid w:val="43B6968B"/>
    <w:rsid w:val="43CDF994"/>
    <w:rsid w:val="440CD6D9"/>
    <w:rsid w:val="44918277"/>
    <w:rsid w:val="44B24E9B"/>
    <w:rsid w:val="45256A59"/>
    <w:rsid w:val="457CD53B"/>
    <w:rsid w:val="46C5F507"/>
    <w:rsid w:val="46F1070A"/>
    <w:rsid w:val="477B10DB"/>
    <w:rsid w:val="479DBC91"/>
    <w:rsid w:val="488CE0DE"/>
    <w:rsid w:val="48CFCF49"/>
    <w:rsid w:val="48F4F463"/>
    <w:rsid w:val="494AD9CB"/>
    <w:rsid w:val="494CD7C0"/>
    <w:rsid w:val="4955E620"/>
    <w:rsid w:val="49B04FA8"/>
    <w:rsid w:val="49CC40F6"/>
    <w:rsid w:val="4B241D2B"/>
    <w:rsid w:val="4B4D8350"/>
    <w:rsid w:val="4B9CE908"/>
    <w:rsid w:val="4BDBFA70"/>
    <w:rsid w:val="4D28D4B4"/>
    <w:rsid w:val="4D74AB10"/>
    <w:rsid w:val="4DD32566"/>
    <w:rsid w:val="4E410789"/>
    <w:rsid w:val="4E75E362"/>
    <w:rsid w:val="5033EBEA"/>
    <w:rsid w:val="50F0AD5D"/>
    <w:rsid w:val="513D3115"/>
    <w:rsid w:val="518B16DE"/>
    <w:rsid w:val="526EB738"/>
    <w:rsid w:val="53AA53A1"/>
    <w:rsid w:val="53F64175"/>
    <w:rsid w:val="54CA12FE"/>
    <w:rsid w:val="569C39A9"/>
    <w:rsid w:val="56AF523E"/>
    <w:rsid w:val="570E769B"/>
    <w:rsid w:val="5718F641"/>
    <w:rsid w:val="581D7AC2"/>
    <w:rsid w:val="586AC6A2"/>
    <w:rsid w:val="58DF9521"/>
    <w:rsid w:val="591BE47F"/>
    <w:rsid w:val="59D284D6"/>
    <w:rsid w:val="5A84471E"/>
    <w:rsid w:val="5AB40EF4"/>
    <w:rsid w:val="5B424D2E"/>
    <w:rsid w:val="5B7B4CCE"/>
    <w:rsid w:val="5BAA2597"/>
    <w:rsid w:val="5C14FA1B"/>
    <w:rsid w:val="5CC78726"/>
    <w:rsid w:val="5F1ED4ED"/>
    <w:rsid w:val="5FAA09DB"/>
    <w:rsid w:val="609C63D7"/>
    <w:rsid w:val="609E50EC"/>
    <w:rsid w:val="6302B759"/>
    <w:rsid w:val="631B723B"/>
    <w:rsid w:val="63442BC1"/>
    <w:rsid w:val="63A32A9A"/>
    <w:rsid w:val="64F3914E"/>
    <w:rsid w:val="652448CA"/>
    <w:rsid w:val="6557835E"/>
    <w:rsid w:val="65C3733D"/>
    <w:rsid w:val="661F7717"/>
    <w:rsid w:val="66BEB177"/>
    <w:rsid w:val="67763F9F"/>
    <w:rsid w:val="677B329E"/>
    <w:rsid w:val="67BD82BB"/>
    <w:rsid w:val="67F75A7D"/>
    <w:rsid w:val="68B6B22C"/>
    <w:rsid w:val="68DA8782"/>
    <w:rsid w:val="68DAB862"/>
    <w:rsid w:val="68E74544"/>
    <w:rsid w:val="6970524F"/>
    <w:rsid w:val="698C0A11"/>
    <w:rsid w:val="6AD4F563"/>
    <w:rsid w:val="6AEB171A"/>
    <w:rsid w:val="6B985616"/>
    <w:rsid w:val="6BBC1864"/>
    <w:rsid w:val="6BDE6697"/>
    <w:rsid w:val="6C64C0ED"/>
    <w:rsid w:val="6C72AD54"/>
    <w:rsid w:val="6DBCC054"/>
    <w:rsid w:val="6E0D37DC"/>
    <w:rsid w:val="6F1B9EF4"/>
    <w:rsid w:val="6FAF235B"/>
    <w:rsid w:val="703DF229"/>
    <w:rsid w:val="7055149B"/>
    <w:rsid w:val="705762FA"/>
    <w:rsid w:val="712224B4"/>
    <w:rsid w:val="713F12E9"/>
    <w:rsid w:val="71D2F2B5"/>
    <w:rsid w:val="727CB44E"/>
    <w:rsid w:val="72FDD42D"/>
    <w:rsid w:val="73067A00"/>
    <w:rsid w:val="7348BA0A"/>
    <w:rsid w:val="734DE4CF"/>
    <w:rsid w:val="736E5C2C"/>
    <w:rsid w:val="748476A1"/>
    <w:rsid w:val="74FDE1C3"/>
    <w:rsid w:val="758FFD66"/>
    <w:rsid w:val="75B16E8A"/>
    <w:rsid w:val="76769943"/>
    <w:rsid w:val="7735FC32"/>
    <w:rsid w:val="7750BFB2"/>
    <w:rsid w:val="78816A15"/>
    <w:rsid w:val="78AEA18F"/>
    <w:rsid w:val="79077108"/>
    <w:rsid w:val="79593BF7"/>
    <w:rsid w:val="79C55714"/>
    <w:rsid w:val="79DCA02B"/>
    <w:rsid w:val="7A49EE3E"/>
    <w:rsid w:val="7A653DEB"/>
    <w:rsid w:val="7A6C1022"/>
    <w:rsid w:val="7BEFC90E"/>
    <w:rsid w:val="7C6DEB37"/>
    <w:rsid w:val="7D00AAAB"/>
    <w:rsid w:val="7DFFF83E"/>
    <w:rsid w:val="7ED67381"/>
    <w:rsid w:val="7EFE7DB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D85762"/>
  <w15:docId w15:val="{37163B24-86E6-4C51-8A27-87F1F491A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1" w:unhideWhenUsed="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note text" w:semiHidden="1"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99"/>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99"/>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77D2"/>
  </w:style>
  <w:style w:type="paragraph" w:styleId="Heading1">
    <w:name w:val="heading 1"/>
    <w:basedOn w:val="Normal"/>
    <w:next w:val="BodyText"/>
    <w:link w:val="Heading1Char"/>
    <w:qFormat/>
    <w:rsid w:val="0079482A"/>
    <w:pPr>
      <w:keepNext/>
      <w:numPr>
        <w:numId w:val="30"/>
      </w:numPr>
      <w:spacing w:before="360" w:after="240" w:line="230" w:lineRule="atLeast"/>
      <w:outlineLvl w:val="0"/>
    </w:pPr>
    <w:rPr>
      <w:rFonts w:asciiTheme="majorHAnsi" w:eastAsiaTheme="majorEastAsia" w:hAnsiTheme="majorHAnsi" w:cstheme="majorBidi"/>
      <w:bCs/>
      <w:color w:val="201547" w:themeColor="text2"/>
      <w:spacing w:val="-4"/>
      <w:sz w:val="40"/>
      <w:szCs w:val="40"/>
    </w:rPr>
  </w:style>
  <w:style w:type="paragraph" w:styleId="Heading2">
    <w:name w:val="heading 2"/>
    <w:basedOn w:val="Normal"/>
    <w:next w:val="BodyText"/>
    <w:link w:val="Heading2Char"/>
    <w:qFormat/>
    <w:rsid w:val="00B62C78"/>
    <w:pPr>
      <w:keepNext/>
      <w:keepLines/>
      <w:numPr>
        <w:ilvl w:val="1"/>
        <w:numId w:val="30"/>
      </w:numPr>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B62C78"/>
    <w:pPr>
      <w:keepNext/>
      <w:keepLines/>
      <w:numPr>
        <w:ilvl w:val="2"/>
        <w:numId w:val="30"/>
      </w:numPr>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B62C78"/>
    <w:pPr>
      <w:numPr>
        <w:ilvl w:val="3"/>
        <w:numId w:val="30"/>
      </w:numPr>
      <w:spacing w:before="200"/>
      <w:outlineLvl w:val="3"/>
    </w:pPr>
    <w:rPr>
      <w:b/>
      <w:bCs/>
      <w:color w:val="201547" w:themeColor="text2"/>
      <w:sz w:val="24"/>
      <w:szCs w:val="24"/>
    </w:rPr>
  </w:style>
  <w:style w:type="paragraph" w:styleId="Heading5">
    <w:name w:val="heading 5"/>
    <w:basedOn w:val="Normal"/>
    <w:next w:val="BodyText"/>
    <w:link w:val="Heading5Char"/>
    <w:qFormat/>
    <w:rsid w:val="00B62C78"/>
    <w:pPr>
      <w:keepNext/>
      <w:keepLines/>
      <w:numPr>
        <w:ilvl w:val="4"/>
        <w:numId w:val="30"/>
      </w:numPr>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qFormat/>
    <w:rsid w:val="00462258"/>
    <w:pPr>
      <w:keepNext/>
      <w:keepLines/>
      <w:numPr>
        <w:ilvl w:val="5"/>
        <w:numId w:val="30"/>
      </w:numPr>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numPr>
        <w:ilvl w:val="6"/>
        <w:numId w:val="30"/>
      </w:numPr>
      <w:spacing w:before="0" w:after="0" w:line="230" w:lineRule="atLeast"/>
      <w:outlineLvl w:val="6"/>
    </w:pPr>
    <w:rPr>
      <w:rFonts w:eastAsiaTheme="majorEastAsia" w:cstheme="majorBidi"/>
      <w:iCs/>
      <w:color w:val="201547" w:themeColor="text2"/>
    </w:rPr>
  </w:style>
  <w:style w:type="paragraph" w:styleId="Heading8">
    <w:name w:val="heading 8"/>
    <w:aliases w:val="Appendix Title"/>
    <w:basedOn w:val="Normal"/>
    <w:next w:val="BodyText"/>
    <w:link w:val="Heading8Char"/>
    <w:uiPriority w:val="1"/>
    <w:rsid w:val="0058629F"/>
    <w:pPr>
      <w:keepNext/>
      <w:keepLines/>
      <w:pageBreakBefore/>
      <w:numPr>
        <w:ilvl w:val="7"/>
        <w:numId w:val="30"/>
      </w:numPr>
      <w:tabs>
        <w:tab w:val="right" w:pos="9639"/>
      </w:tabs>
      <w:spacing w:after="320"/>
      <w:outlineLvl w:val="7"/>
    </w:pPr>
    <w:rPr>
      <w:rFonts w:asciiTheme="majorHAnsi" w:eastAsiaTheme="majorEastAsia" w:hAnsiTheme="majorHAnsi" w:cs="Arial"/>
      <w:caps/>
      <w:sz w:val="36"/>
      <w:lang w:eastAsia="en-US"/>
    </w:rPr>
  </w:style>
  <w:style w:type="paragraph" w:styleId="Heading9">
    <w:name w:val="heading 9"/>
    <w:aliases w:val="Appendix Heading 1"/>
    <w:basedOn w:val="Normal"/>
    <w:next w:val="BodyText"/>
    <w:link w:val="Heading9Char"/>
    <w:uiPriority w:val="1"/>
    <w:qFormat/>
    <w:rsid w:val="000809F5"/>
    <w:pPr>
      <w:numPr>
        <w:ilvl w:val="8"/>
        <w:numId w:val="30"/>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747A21"/>
    <w:pPr>
      <w:jc w:val="both"/>
    </w:pPr>
  </w:style>
  <w:style w:type="character" w:customStyle="1" w:styleId="BodyTextChar">
    <w:name w:val="Body Text Char"/>
    <w:basedOn w:val="DefaultParagraphFont"/>
    <w:link w:val="BodyText"/>
    <w:rsid w:val="00747A21"/>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rsid w:val="00077BDB"/>
    <w:pPr>
      <w:spacing w:before="0" w:after="0" w:line="200" w:lineRule="atLeast"/>
    </w:pPr>
    <w:rPr>
      <w:bCs/>
      <w:sz w:val="16"/>
    </w:rPr>
  </w:style>
  <w:style w:type="character" w:customStyle="1" w:styleId="FooterChar">
    <w:name w:val="Footer Char"/>
    <w:basedOn w:val="DefaultParagraphFont"/>
    <w:link w:val="Footer"/>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79482A"/>
    <w:rPr>
      <w:rFonts w:asciiTheme="majorHAnsi" w:eastAsiaTheme="majorEastAsia" w:hAnsiTheme="majorHAnsi" w:cstheme="majorBidi"/>
      <w:bCs/>
      <w:color w:val="201547" w:themeColor="text2"/>
      <w:spacing w:val="-4"/>
      <w:sz w:val="40"/>
      <w:szCs w:val="40"/>
    </w:rPr>
  </w:style>
  <w:style w:type="character" w:customStyle="1" w:styleId="Heading2Char">
    <w:name w:val="Heading 2 Char"/>
    <w:basedOn w:val="DefaultParagraphFont"/>
    <w:link w:val="Heading2"/>
    <w:rsid w:val="00B62C78"/>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B62C78"/>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B62C78"/>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aliases w:val="Appendix Title Char"/>
    <w:basedOn w:val="DefaultParagraphFont"/>
    <w:link w:val="Heading8"/>
    <w:uiPriority w:val="1"/>
    <w:rsid w:val="000809F5"/>
    <w:rPr>
      <w:rFonts w:asciiTheme="majorHAnsi" w:eastAsiaTheme="majorEastAsia" w:hAnsiTheme="majorHAnsi" w:cs="Arial"/>
      <w:caps/>
      <w:sz w:val="36"/>
      <w:lang w:eastAsia="en-US"/>
    </w:rPr>
  </w:style>
  <w:style w:type="character" w:customStyle="1" w:styleId="Heading9Char">
    <w:name w:val="Heading 9 Char"/>
    <w:aliases w:val="Appendix Heading 1 Char"/>
    <w:basedOn w:val="DefaultParagraphFont"/>
    <w:link w:val="Heading9"/>
    <w:uiPriority w:val="1"/>
    <w:rsid w:val="000809F5"/>
  </w:style>
  <w:style w:type="numbering" w:customStyle="1" w:styleId="Headings">
    <w:name w:val="Headings"/>
    <w:uiPriority w:val="99"/>
    <w:rsid w:val="0058629F"/>
    <w:pPr>
      <w:numPr>
        <w:numId w:val="2"/>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rsid w:val="0058629F"/>
    <w:rPr>
      <w:color w:val="7030A0"/>
      <w:u w:val="single"/>
    </w:rPr>
  </w:style>
  <w:style w:type="paragraph" w:styleId="ListBullet">
    <w:name w:val="List Bullet"/>
    <w:basedOn w:val="BodyText"/>
    <w:qFormat/>
    <w:rsid w:val="00231B63"/>
    <w:pPr>
      <w:numPr>
        <w:numId w:val="5"/>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6"/>
      </w:numPr>
    </w:pPr>
  </w:style>
  <w:style w:type="paragraph" w:styleId="ListNumber2">
    <w:name w:val="List Number 2"/>
    <w:basedOn w:val="ListNumber"/>
    <w:qFormat/>
    <w:rsid w:val="001369F7"/>
    <w:pPr>
      <w:numPr>
        <w:numId w:val="0"/>
      </w:numPr>
      <w:ind w:left="680" w:hanging="340"/>
    </w:pPr>
  </w:style>
  <w:style w:type="paragraph" w:styleId="ListNumber3">
    <w:name w:val="List Number 3"/>
    <w:basedOn w:val="ListNumber2"/>
    <w:qFormat/>
    <w:rsid w:val="001369F7"/>
    <w:pPr>
      <w:ind w:left="1020"/>
    </w:pPr>
  </w:style>
  <w:style w:type="numbering" w:customStyle="1" w:styleId="MyListNumbering">
    <w:name w:val="MyListNumbering"/>
    <w:uiPriority w:val="99"/>
    <w:rsid w:val="0058629F"/>
    <w:pPr>
      <w:numPr>
        <w:numId w:val="4"/>
      </w:numPr>
    </w:pPr>
  </w:style>
  <w:style w:type="paragraph" w:styleId="Title">
    <w:name w:val="Title"/>
    <w:basedOn w:val="Normal"/>
    <w:next w:val="Normal"/>
    <w:link w:val="TitleChar"/>
    <w:uiPriority w:val="99"/>
    <w:rsid w:val="00576577"/>
    <w:pPr>
      <w:spacing w:before="0" w:after="0" w:line="240" w:lineRule="auto"/>
    </w:pPr>
    <w:rPr>
      <w:rFonts w:asciiTheme="majorHAnsi" w:hAnsiTheme="majorHAnsi"/>
      <w:b/>
      <w:color w:val="201547" w:themeColor="text2"/>
      <w:sz w:val="41"/>
    </w:rPr>
  </w:style>
  <w:style w:type="character" w:customStyle="1" w:styleId="TitleChar">
    <w:name w:val="Title Char"/>
    <w:basedOn w:val="DefaultParagraphFont"/>
    <w:link w:val="Title"/>
    <w:uiPriority w:val="99"/>
    <w:rsid w:val="00576577"/>
    <w:rPr>
      <w:rFonts w:asciiTheme="majorHAnsi" w:hAnsiTheme="majorHAnsi"/>
      <w:b/>
      <w:color w:val="201547" w:themeColor="text2"/>
      <w:sz w:val="41"/>
    </w:rPr>
  </w:style>
  <w:style w:type="paragraph" w:styleId="TOC5">
    <w:name w:val="toc 5"/>
    <w:basedOn w:val="Normal"/>
    <w:next w:val="Normal"/>
    <w:autoRedefine/>
    <w:uiPriority w:val="39"/>
    <w:rsid w:val="00F7242A"/>
    <w:pPr>
      <w:tabs>
        <w:tab w:val="right" w:pos="9582"/>
      </w:tabs>
      <w:spacing w:before="240" w:after="60"/>
      <w:ind w:right="851"/>
    </w:pPr>
    <w:rPr>
      <w:rFonts w:cs="Arial"/>
      <w:b/>
      <w:color w:val="201547" w:themeColor="text2"/>
      <w:sz w:val="24"/>
    </w:rPr>
  </w:style>
  <w:style w:type="paragraph" w:styleId="TOC6">
    <w:name w:val="toc 6"/>
    <w:basedOn w:val="Normal"/>
    <w:next w:val="Normal"/>
    <w:autoRedefine/>
    <w:uiPriority w:val="39"/>
    <w:rsid w:val="00F7242A"/>
    <w:pPr>
      <w:spacing w:before="0" w:after="100"/>
      <w:ind w:left="1000"/>
    </w:pPr>
    <w:rPr>
      <w:rFonts w:cs="Arial"/>
      <w:color w:val="232222" w:themeColor="text1"/>
    </w:rPr>
  </w:style>
  <w:style w:type="paragraph" w:styleId="TOC7">
    <w:name w:val="toc 7"/>
    <w:basedOn w:val="Normal"/>
    <w:next w:val="Normal"/>
    <w:autoRedefine/>
    <w:uiPriority w:val="39"/>
    <w:rsid w:val="00F7242A"/>
    <w:pPr>
      <w:spacing w:before="0" w:after="100"/>
      <w:ind w:left="1200"/>
    </w:pPr>
    <w:rPr>
      <w:rFonts w:cs="Arial"/>
      <w:color w:val="232222" w:themeColor="text1"/>
    </w:rPr>
  </w:style>
  <w:style w:type="paragraph" w:styleId="TOC8">
    <w:name w:val="toc 8"/>
    <w:basedOn w:val="Normal"/>
    <w:next w:val="Normal"/>
    <w:autoRedefine/>
    <w:uiPriority w:val="39"/>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rsid w:val="00C503CB"/>
    <w:pPr>
      <w:spacing w:before="0" w:after="0"/>
      <w:jc w:val="right"/>
    </w:pPr>
    <w:rPr>
      <w:sz w:val="24"/>
    </w:rPr>
  </w:style>
  <w:style w:type="character" w:customStyle="1" w:styleId="DateChar">
    <w:name w:val="Date Char"/>
    <w:basedOn w:val="DefaultParagraphFont"/>
    <w:link w:val="Date"/>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B62C78"/>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462258"/>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6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semiHidden/>
    <w:unhideWhenUsed/>
    <w:rsid w:val="0058629F"/>
    <w:rPr>
      <w:sz w:val="16"/>
      <w:szCs w:val="16"/>
    </w:rPr>
  </w:style>
  <w:style w:type="paragraph" w:styleId="CommentText">
    <w:name w:val="annotation text"/>
    <w:basedOn w:val="Normal"/>
    <w:link w:val="CommentTextChar"/>
    <w:unhideWhenUsed/>
    <w:rsid w:val="0058629F"/>
  </w:style>
  <w:style w:type="character" w:customStyle="1" w:styleId="CommentTextChar">
    <w:name w:val="Comment Text Char"/>
    <w:basedOn w:val="DefaultParagraphFont"/>
    <w:link w:val="CommentText"/>
    <w:rsid w:val="0058629F"/>
  </w:style>
  <w:style w:type="paragraph" w:styleId="CommentSubject">
    <w:name w:val="annotation subject"/>
    <w:basedOn w:val="CommentText"/>
    <w:next w:val="CommentText"/>
    <w:link w:val="CommentSubjectChar"/>
    <w:semiHidden/>
    <w:unhideWhenUsed/>
    <w:rsid w:val="0058629F"/>
    <w:rPr>
      <w:b/>
      <w:bCs/>
    </w:rPr>
  </w:style>
  <w:style w:type="character" w:customStyle="1" w:styleId="CommentSubjectChar">
    <w:name w:val="Comment Subject Char"/>
    <w:basedOn w:val="CommentTextChar"/>
    <w:link w:val="CommentSubject"/>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style>
  <w:style w:type="paragraph" w:styleId="FootnoteText">
    <w:name w:val="footnote text"/>
    <w:basedOn w:val="Normal"/>
    <w:link w:val="FootnoteTextChar"/>
    <w:qFormat/>
    <w:rsid w:val="00D12263"/>
    <w:pPr>
      <w:keepLines/>
      <w:tabs>
        <w:tab w:val="left" w:pos="340"/>
      </w:tabs>
      <w:spacing w:before="0" w:after="60" w:line="180" w:lineRule="atLeast"/>
      <w:ind w:left="340" w:hanging="340"/>
    </w:pPr>
    <w:rPr>
      <w:sz w:val="16"/>
    </w:rPr>
  </w:style>
  <w:style w:type="character" w:styleId="FootnoteReference">
    <w:name w:val="footnote reference"/>
    <w:aliases w:val="(NECG) Footnote Reference"/>
    <w:basedOn w:val="DefaultParagraphFont"/>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Pr>
    <w:tcPr>
      <w:shd w:val="clear" w:color="auto" w:fill="C2E3FF" w:themeFill="accent1" w:themeFillTint="33"/>
    </w:tcPr>
    <w:tblStylePr w:type="firstRow">
      <w:rPr>
        <w:b/>
        <w:bCs/>
      </w:rPr>
      <w:tblPr/>
      <w:tcPr>
        <w:shd w:val="clear" w:color="auto" w:fill="85C8FF" w:themeFill="accent1" w:themeFillTint="66"/>
      </w:tcPr>
    </w:tblStylePr>
    <w:tblStylePr w:type="lastRow">
      <w:rPr>
        <w:b/>
        <w:bCs/>
        <w:color w:val="232222" w:themeColor="text1"/>
      </w:rPr>
      <w:tblPr/>
      <w:tcPr>
        <w:shd w:val="clear" w:color="auto" w:fill="85C8FF" w:themeFill="accent1" w:themeFillTint="66"/>
      </w:tcPr>
    </w:tblStylePr>
    <w:tblStylePr w:type="firstCol">
      <w:rPr>
        <w:color w:val="FFFFFF" w:themeColor="background1"/>
      </w:rPr>
      <w:tblPr/>
      <w:tcPr>
        <w:shd w:val="clear" w:color="auto" w:fill="00559A" w:themeFill="accent1" w:themeFillShade="BF"/>
      </w:tcPr>
    </w:tblStylePr>
    <w:tblStylePr w:type="lastCol">
      <w:rPr>
        <w:color w:val="FFFFFF" w:themeColor="background1"/>
      </w:rPr>
      <w:tblPr/>
      <w:tcPr>
        <w:shd w:val="clear" w:color="auto" w:fill="00559A" w:themeFill="accent1" w:themeFillShade="BF"/>
      </w:tcPr>
    </w:tblStylePr>
    <w:tblStylePr w:type="band1Vert">
      <w:tblPr/>
      <w:tcPr>
        <w:shd w:val="clear" w:color="auto" w:fill="67BB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Pr>
    <w:tcPr>
      <w:shd w:val="clear" w:color="auto" w:fill="FFE2C7" w:themeFill="accent2" w:themeFillTint="33"/>
    </w:tcPr>
    <w:tblStylePr w:type="firstRow">
      <w:rPr>
        <w:b/>
        <w:bCs/>
      </w:rPr>
      <w:tblPr/>
      <w:tcPr>
        <w:shd w:val="clear" w:color="auto" w:fill="FFC690" w:themeFill="accent2" w:themeFillTint="66"/>
      </w:tcPr>
    </w:tblStylePr>
    <w:tblStylePr w:type="lastRow">
      <w:rPr>
        <w:b/>
        <w:bCs/>
        <w:color w:val="232222" w:themeColor="text1"/>
      </w:rPr>
      <w:tblPr/>
      <w:tcPr>
        <w:shd w:val="clear" w:color="auto" w:fill="FFC690" w:themeFill="accent2" w:themeFillTint="66"/>
      </w:tcPr>
    </w:tblStylePr>
    <w:tblStylePr w:type="firstCol">
      <w:rPr>
        <w:color w:val="FFFFFF" w:themeColor="background1"/>
      </w:rPr>
      <w:tblPr/>
      <w:tcPr>
        <w:shd w:val="clear" w:color="auto" w:fill="AF5500" w:themeFill="accent2" w:themeFillShade="BF"/>
      </w:tcPr>
    </w:tblStylePr>
    <w:tblStylePr w:type="lastCol">
      <w:rPr>
        <w:color w:val="FFFFFF" w:themeColor="background1"/>
      </w:rPr>
      <w:tblPr/>
      <w:tcPr>
        <w:shd w:val="clear" w:color="auto" w:fill="AF5500" w:themeFill="accent2" w:themeFillShade="BF"/>
      </w:tcPr>
    </w:tblStylePr>
    <w:tblStylePr w:type="band1Vert">
      <w:tblPr/>
      <w:tcPr>
        <w:shd w:val="clear" w:color="auto" w:fill="FFB875"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Pr>
    <w:tcPr>
      <w:shd w:val="clear" w:color="auto" w:fill="E0EDF9" w:themeFill="accent5" w:themeFillTint="33"/>
    </w:tcPr>
    <w:tblStylePr w:type="firstRow">
      <w:rPr>
        <w:b/>
        <w:bCs/>
      </w:rPr>
      <w:tblPr/>
      <w:tcPr>
        <w:shd w:val="clear" w:color="auto" w:fill="C1DCF3" w:themeFill="accent5" w:themeFillTint="66"/>
      </w:tcPr>
    </w:tblStylePr>
    <w:tblStylePr w:type="lastRow">
      <w:rPr>
        <w:b/>
        <w:bCs/>
        <w:color w:val="232222" w:themeColor="text1"/>
      </w:rPr>
      <w:tblPr/>
      <w:tcPr>
        <w:shd w:val="clear" w:color="auto" w:fill="C1DCF3" w:themeFill="accent5" w:themeFillTint="66"/>
      </w:tcPr>
    </w:tblStylePr>
    <w:tblStylePr w:type="firstCol">
      <w:rPr>
        <w:color w:val="FFFFFF" w:themeColor="background1"/>
      </w:rPr>
      <w:tblPr/>
      <w:tcPr>
        <w:shd w:val="clear" w:color="auto" w:fill="2782CE" w:themeFill="accent5" w:themeFillShade="BF"/>
      </w:tcPr>
    </w:tblStylePr>
    <w:tblStylePr w:type="lastCol">
      <w:rPr>
        <w:color w:val="FFFFFF" w:themeColor="background1"/>
      </w:rPr>
      <w:tblPr/>
      <w:tcPr>
        <w:shd w:val="clear" w:color="auto" w:fill="2782CE" w:themeFill="accent5" w:themeFillShade="BF"/>
      </w:tcPr>
    </w:tblStylePr>
    <w:tblStylePr w:type="band1Vert">
      <w:tblPr/>
      <w:tcPr>
        <w:shd w:val="clear" w:color="auto" w:fill="B2D4F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Pr>
    <w:tcPr>
      <w:shd w:val="clear" w:color="auto" w:fill="FCEEE0" w:themeFill="accent6" w:themeFillTint="33"/>
    </w:tcPr>
    <w:tblStylePr w:type="firstRow">
      <w:rPr>
        <w:b/>
        <w:bCs/>
      </w:rPr>
      <w:tblPr/>
      <w:tcPr>
        <w:shd w:val="clear" w:color="auto" w:fill="F9DDC1" w:themeFill="accent6" w:themeFillTint="66"/>
      </w:tcPr>
    </w:tblStylePr>
    <w:tblStylePr w:type="lastRow">
      <w:rPr>
        <w:b/>
        <w:bCs/>
        <w:color w:val="232222" w:themeColor="text1"/>
      </w:rPr>
      <w:tblPr/>
      <w:tcPr>
        <w:shd w:val="clear" w:color="auto" w:fill="F9DDC1" w:themeFill="accent6" w:themeFillTint="66"/>
      </w:tcPr>
    </w:tblStylePr>
    <w:tblStylePr w:type="firstCol">
      <w:rPr>
        <w:color w:val="FFFFFF" w:themeColor="background1"/>
      </w:rPr>
      <w:tblPr/>
      <w:tcPr>
        <w:shd w:val="clear" w:color="auto" w:fill="EB7E16" w:themeFill="accent6" w:themeFillShade="BF"/>
      </w:tcPr>
    </w:tblStylePr>
    <w:tblStylePr w:type="lastCol">
      <w:rPr>
        <w:color w:val="FFFFFF" w:themeColor="background1"/>
      </w:rPr>
      <w:tblPr/>
      <w:tcPr>
        <w:shd w:val="clear" w:color="auto" w:fill="EB7E16" w:themeFill="accent6" w:themeFillShade="BF"/>
      </w:tcPr>
    </w:tblStylePr>
    <w:tblStylePr w:type="band1Vert">
      <w:tblPr/>
      <w:tcPr>
        <w:shd w:val="clear" w:color="auto" w:fill="F8D4B2"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BB5A00" w:themeFill="accent2" w:themeFillShade="CC"/>
      </w:tcPr>
    </w:tblStylePr>
    <w:tblStylePr w:type="lastRow">
      <w:rPr>
        <w:b/>
        <w:bCs/>
        <w:color w:val="BB5A00"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E1F1FF" w:themeFill="accent1" w:themeFillTint="19"/>
    </w:tcPr>
    <w:tblStylePr w:type="firstRow">
      <w:rPr>
        <w:b/>
        <w:bCs/>
        <w:color w:val="FFFFFF" w:themeColor="background1"/>
      </w:rPr>
      <w:tblPr/>
      <w:tcPr>
        <w:tcBorders>
          <w:bottom w:val="single" w:sz="12" w:space="0" w:color="FFFFFF" w:themeColor="background1"/>
        </w:tcBorders>
        <w:shd w:val="clear" w:color="auto" w:fill="BB5A00" w:themeFill="accent2" w:themeFillShade="CC"/>
      </w:tcPr>
    </w:tblStylePr>
    <w:tblStylePr w:type="lastRow">
      <w:rPr>
        <w:b/>
        <w:bCs/>
        <w:color w:val="BB5A00"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DDFF" w:themeFill="accent1" w:themeFillTint="3F"/>
      </w:tcPr>
    </w:tblStylePr>
    <w:tblStylePr w:type="band1Horz">
      <w:tblPr/>
      <w:tcPr>
        <w:shd w:val="clear" w:color="auto" w:fill="C2E3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FF0E3" w:themeFill="accent2" w:themeFillTint="19"/>
    </w:tcPr>
    <w:tblStylePr w:type="firstRow">
      <w:rPr>
        <w:b/>
        <w:bCs/>
        <w:color w:val="FFFFFF" w:themeColor="background1"/>
      </w:rPr>
      <w:tblPr/>
      <w:tcPr>
        <w:tcBorders>
          <w:bottom w:val="single" w:sz="12" w:space="0" w:color="FFFFFF" w:themeColor="background1"/>
        </w:tcBorders>
        <w:shd w:val="clear" w:color="auto" w:fill="BB5A00" w:themeFill="accent2" w:themeFillShade="CC"/>
      </w:tcPr>
    </w:tblStylePr>
    <w:tblStylePr w:type="lastRow">
      <w:rPr>
        <w:b/>
        <w:bCs/>
        <w:color w:val="BB5A00"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BBA" w:themeFill="accent2" w:themeFillTint="3F"/>
      </w:tcPr>
    </w:tblStylePr>
    <w:tblStylePr w:type="band1Horz">
      <w:tblPr/>
      <w:tcPr>
        <w:shd w:val="clear" w:color="auto" w:fill="FFE2C7"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6FC" w:themeFill="accent5" w:themeFillTint="19"/>
    </w:tcPr>
    <w:tblStylePr w:type="firstRow">
      <w:rPr>
        <w:b/>
        <w:bCs/>
        <w:color w:val="FFFFFF" w:themeColor="background1"/>
      </w:rPr>
      <w:tblPr/>
      <w:tcPr>
        <w:tcBorders>
          <w:bottom w:val="single" w:sz="12" w:space="0" w:color="FFFFFF" w:themeColor="background1"/>
        </w:tcBorders>
        <w:shd w:val="clear" w:color="auto" w:fill="EC8726" w:themeFill="accent6" w:themeFillShade="CC"/>
      </w:tcPr>
    </w:tblStylePr>
    <w:tblStylePr w:type="lastRow">
      <w:rPr>
        <w:b/>
        <w:bCs/>
        <w:color w:val="EC8726"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9F7" w:themeFill="accent5" w:themeFillTint="3F"/>
      </w:tcPr>
    </w:tblStylePr>
    <w:tblStylePr w:type="band1Horz">
      <w:tblPr/>
      <w:tcPr>
        <w:shd w:val="clear" w:color="auto" w:fill="E0EDF9"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DF6EF" w:themeFill="accent6" w:themeFillTint="19"/>
    </w:tcPr>
    <w:tblStylePr w:type="firstRow">
      <w:rPr>
        <w:b/>
        <w:bCs/>
        <w:color w:val="FFFFFF" w:themeColor="background1"/>
      </w:rPr>
      <w:tblPr/>
      <w:tcPr>
        <w:tcBorders>
          <w:bottom w:val="single" w:sz="12" w:space="0" w:color="FFFFFF" w:themeColor="background1"/>
        </w:tcBorders>
        <w:shd w:val="clear" w:color="auto" w:fill="2E8AD7" w:themeFill="accent5" w:themeFillShade="CC"/>
      </w:tcPr>
    </w:tblStylePr>
    <w:tblStylePr w:type="lastRow">
      <w:rPr>
        <w:b/>
        <w:bCs/>
        <w:color w:val="2E8AD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E9D8" w:themeFill="accent6" w:themeFillTint="3F"/>
      </w:tcPr>
    </w:tblStylePr>
    <w:tblStylePr w:type="band1Horz">
      <w:tblPr/>
      <w:tcPr>
        <w:shd w:val="clear" w:color="auto" w:fill="FCEEE0" w:themeFill="accent6" w:themeFillTint="33"/>
      </w:tcPr>
    </w:tblStylePr>
  </w:style>
  <w:style w:type="table" w:styleId="ColorfulShading">
    <w:name w:val="Colorful Shading"/>
    <w:basedOn w:val="TableNormal"/>
    <w:uiPriority w:val="71"/>
    <w:semiHidden/>
    <w:rsid w:val="0058629F"/>
    <w:tblPr>
      <w:tblStyleRowBandSize w:val="1"/>
      <w:tblStyleColBandSize w:val="1"/>
    </w:tblPr>
    <w:tcPr>
      <w:shd w:val="clear" w:color="auto" w:fill="E9E9E9" w:themeFill="text1" w:themeFillTint="19"/>
    </w:tcPr>
    <w:tblStylePr w:type="firstRow">
      <w:rPr>
        <w:b/>
        <w:bCs/>
      </w:rPr>
      <w:tblPr/>
      <w:tcPr>
        <w:tcBorders>
          <w:top w:val="nil"/>
          <w:left w:val="nil"/>
          <w:bottom w:val="single" w:sz="24" w:space="0" w:color="EA72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Pr>
    <w:tcPr>
      <w:shd w:val="clear" w:color="auto" w:fill="E1F1FF" w:themeFill="accent1" w:themeFillTint="19"/>
    </w:tcPr>
    <w:tblStylePr w:type="firstRow">
      <w:rPr>
        <w:b/>
        <w:bCs/>
      </w:rPr>
      <w:tblPr/>
      <w:tcPr>
        <w:tcBorders>
          <w:top w:val="nil"/>
          <w:left w:val="nil"/>
          <w:bottom w:val="single" w:sz="24" w:space="0" w:color="EA72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B" w:themeFill="accent1" w:themeFillShade="99"/>
      </w:tcPr>
    </w:tblStylePr>
    <w:tblStylePr w:type="firstCol">
      <w:rPr>
        <w:color w:val="FFFFFF" w:themeColor="background1"/>
      </w:rPr>
      <w:tblPr/>
      <w:tcPr>
        <w:tcBorders>
          <w:top w:val="nil"/>
          <w:left w:val="nil"/>
          <w:bottom w:val="nil"/>
          <w:right w:val="nil"/>
          <w:insideH w:val="single" w:sz="4" w:space="0" w:color="00447B" w:themeColor="accent1" w:themeShade="99"/>
          <w:insideV w:val="nil"/>
        </w:tcBorders>
        <w:shd w:val="clear" w:color="auto" w:fill="00447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B" w:themeFill="accent1" w:themeFillShade="99"/>
      </w:tcPr>
    </w:tblStylePr>
    <w:tblStylePr w:type="band1Vert">
      <w:tblPr/>
      <w:tcPr>
        <w:shd w:val="clear" w:color="auto" w:fill="85C8FF" w:themeFill="accent1" w:themeFillTint="66"/>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Pr>
    <w:tcPr>
      <w:shd w:val="clear" w:color="auto" w:fill="FFF0E3" w:themeFill="accent2" w:themeFillTint="19"/>
    </w:tcPr>
    <w:tblStylePr w:type="firstRow">
      <w:rPr>
        <w:b/>
        <w:bCs/>
      </w:rPr>
      <w:tblPr/>
      <w:tcPr>
        <w:tcBorders>
          <w:top w:val="nil"/>
          <w:left w:val="nil"/>
          <w:bottom w:val="single" w:sz="24" w:space="0" w:color="EA72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C4400" w:themeFill="accent2" w:themeFillShade="99"/>
      </w:tcPr>
    </w:tblStylePr>
    <w:tblStylePr w:type="firstCol">
      <w:rPr>
        <w:color w:val="FFFFFF" w:themeColor="background1"/>
      </w:rPr>
      <w:tblPr/>
      <w:tcPr>
        <w:tcBorders>
          <w:top w:val="nil"/>
          <w:left w:val="nil"/>
          <w:bottom w:val="nil"/>
          <w:right w:val="nil"/>
          <w:insideH w:val="single" w:sz="4" w:space="0" w:color="8C4400" w:themeColor="accent2" w:themeShade="99"/>
          <w:insideV w:val="nil"/>
        </w:tcBorders>
        <w:shd w:val="clear" w:color="auto" w:fill="8C44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C4400" w:themeFill="accent2" w:themeFillShade="99"/>
      </w:tcPr>
    </w:tblStylePr>
    <w:tblStylePr w:type="band1Vert">
      <w:tblPr/>
      <w:tcPr>
        <w:shd w:val="clear" w:color="auto" w:fill="FFC690" w:themeFill="accent2" w:themeFillTint="66"/>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style>
  <w:style w:type="table" w:styleId="ColorfulShading-Accent4">
    <w:name w:val="Colorful Shading Accent 4"/>
    <w:basedOn w:val="TableNormal"/>
    <w:uiPriority w:val="71"/>
    <w:semiHidden/>
    <w:rsid w:val="0058629F"/>
    <w:tblPr>
      <w:tblStyleRowBandSize w:val="1"/>
      <w:tblStyleColBandSize w:val="1"/>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Pr>
    <w:tcPr>
      <w:shd w:val="clear" w:color="auto" w:fill="EFF6FC" w:themeFill="accent5" w:themeFillTint="19"/>
    </w:tcPr>
    <w:tblStylePr w:type="firstRow">
      <w:rPr>
        <w:b/>
        <w:bCs/>
      </w:rPr>
      <w:tblPr/>
      <w:tcPr>
        <w:tcBorders>
          <w:top w:val="nil"/>
          <w:left w:val="nil"/>
          <w:bottom w:val="single" w:sz="24" w:space="0" w:color="F2AB6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68A5" w:themeFill="accent5" w:themeFillShade="99"/>
      </w:tcPr>
    </w:tblStylePr>
    <w:tblStylePr w:type="firstCol">
      <w:rPr>
        <w:color w:val="FFFFFF" w:themeColor="background1"/>
      </w:rPr>
      <w:tblPr/>
      <w:tcPr>
        <w:tcBorders>
          <w:top w:val="nil"/>
          <w:left w:val="nil"/>
          <w:bottom w:val="nil"/>
          <w:right w:val="nil"/>
          <w:insideH w:val="single" w:sz="4" w:space="0" w:color="1F68A5" w:themeColor="accent5" w:themeShade="99"/>
          <w:insideV w:val="nil"/>
        </w:tcBorders>
        <w:shd w:val="clear" w:color="auto" w:fill="1F68A5"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F68A5" w:themeFill="accent5" w:themeFillShade="99"/>
      </w:tcPr>
    </w:tblStylePr>
    <w:tblStylePr w:type="band1Vert">
      <w:tblPr/>
      <w:tcPr>
        <w:shd w:val="clear" w:color="auto" w:fill="C1DCF3" w:themeFill="accent5" w:themeFillTint="66"/>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Pr>
    <w:tcPr>
      <w:shd w:val="clear" w:color="auto" w:fill="FDF6EF" w:themeFill="accent6" w:themeFillTint="19"/>
    </w:tcPr>
    <w:tblStylePr w:type="firstRow">
      <w:rPr>
        <w:b/>
        <w:bCs/>
      </w:rPr>
      <w:tblPr/>
      <w:tcPr>
        <w:tcBorders>
          <w:top w:val="nil"/>
          <w:left w:val="nil"/>
          <w:bottom w:val="single" w:sz="24" w:space="0" w:color="66AAE2"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E6510" w:themeFill="accent6" w:themeFillShade="99"/>
      </w:tcPr>
    </w:tblStylePr>
    <w:tblStylePr w:type="firstCol">
      <w:rPr>
        <w:color w:val="FFFFFF" w:themeColor="background1"/>
      </w:rPr>
      <w:tblPr/>
      <w:tcPr>
        <w:tcBorders>
          <w:top w:val="nil"/>
          <w:left w:val="nil"/>
          <w:bottom w:val="nil"/>
          <w:right w:val="nil"/>
          <w:insideH w:val="single" w:sz="4" w:space="0" w:color="BE6510" w:themeColor="accent6" w:themeShade="99"/>
          <w:insideV w:val="nil"/>
        </w:tcBorders>
        <w:shd w:val="clear" w:color="auto" w:fill="BE651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E6510" w:themeFill="accent6" w:themeFillShade="99"/>
      </w:tcPr>
    </w:tblStylePr>
    <w:tblStylePr w:type="band1Vert">
      <w:tblPr/>
      <w:tcPr>
        <w:shd w:val="clear" w:color="auto" w:fill="F9DDC1" w:themeFill="accent6" w:themeFillTint="66"/>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tcBorders>
        <w:top w:val="nil"/>
        <w:left w:val="nil"/>
        <w:bottom w:val="nil"/>
        <w:right w:val="nil"/>
      </w:tcBorders>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tcBorders>
        <w:top w:val="nil"/>
        <w:left w:val="nil"/>
        <w:bottom w:val="nil"/>
        <w:right w:val="nil"/>
      </w:tcBorders>
      <w:shd w:val="clear" w:color="auto" w:fill="0072C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386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59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59A" w:themeFill="accent1" w:themeFillShade="BF"/>
      </w:tcPr>
    </w:tblStylePr>
    <w:tblStylePr w:type="band1Vert">
      <w:tblPr/>
      <w:tcPr>
        <w:tcBorders>
          <w:top w:val="nil"/>
          <w:left w:val="nil"/>
          <w:bottom w:val="nil"/>
          <w:right w:val="nil"/>
          <w:insideH w:val="nil"/>
          <w:insideV w:val="nil"/>
        </w:tcBorders>
        <w:shd w:val="clear" w:color="auto" w:fill="00559A"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tcBorders>
        <w:top w:val="nil"/>
        <w:left w:val="nil"/>
        <w:bottom w:val="nil"/>
        <w:right w:val="nil"/>
      </w:tcBorders>
      <w:shd w:val="clear" w:color="auto" w:fill="EA72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7438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F55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F5500" w:themeFill="accent2" w:themeFillShade="BF"/>
      </w:tcPr>
    </w:tblStylePr>
    <w:tblStylePr w:type="band1Vert">
      <w:tblPr/>
      <w:tcPr>
        <w:tcBorders>
          <w:top w:val="nil"/>
          <w:left w:val="nil"/>
          <w:bottom w:val="nil"/>
          <w:right w:val="nil"/>
          <w:insideH w:val="nil"/>
          <w:insideV w:val="nil"/>
        </w:tcBorders>
        <w:shd w:val="clear" w:color="auto" w:fill="AF5500"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tcBorders>
        <w:top w:val="nil"/>
        <w:left w:val="nil"/>
        <w:bottom w:val="nil"/>
        <w:right w:val="nil"/>
      </w:tcBorders>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tcBorders>
        <w:top w:val="nil"/>
        <w:left w:val="nil"/>
        <w:bottom w:val="nil"/>
        <w:right w:val="nil"/>
      </w:tcBorders>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tcBorders>
        <w:top w:val="nil"/>
        <w:left w:val="nil"/>
        <w:bottom w:val="nil"/>
        <w:right w:val="nil"/>
      </w:tcBorders>
      <w:shd w:val="clear" w:color="auto" w:fill="66AAE2"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A5689"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782CE"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782CE"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tcBorders>
        <w:top w:val="nil"/>
        <w:left w:val="nil"/>
        <w:bottom w:val="nil"/>
        <w:right w:val="nil"/>
      </w:tcBorders>
      <w:shd w:val="clear" w:color="auto" w:fill="F2AB6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9D540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B7E16"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B7E16"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85C8FF" w:themeColor="accent1" w:themeTint="66"/>
        <w:left w:val="single" w:sz="4" w:space="0" w:color="85C8FF" w:themeColor="accent1" w:themeTint="66"/>
        <w:bottom w:val="single" w:sz="4" w:space="0" w:color="85C8FF" w:themeColor="accent1" w:themeTint="66"/>
        <w:right w:val="single" w:sz="4" w:space="0" w:color="85C8FF" w:themeColor="accent1" w:themeTint="66"/>
        <w:insideH w:val="single" w:sz="4" w:space="0" w:color="85C8FF" w:themeColor="accent1" w:themeTint="66"/>
        <w:insideV w:val="single" w:sz="4" w:space="0" w:color="85C8FF" w:themeColor="accent1" w:themeTint="66"/>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2" w:space="0" w:color="48AD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FFC690" w:themeColor="accent2" w:themeTint="66"/>
        <w:left w:val="single" w:sz="4" w:space="0" w:color="FFC690" w:themeColor="accent2" w:themeTint="66"/>
        <w:bottom w:val="single" w:sz="4" w:space="0" w:color="FFC690" w:themeColor="accent2" w:themeTint="66"/>
        <w:right w:val="single" w:sz="4" w:space="0" w:color="FFC690" w:themeColor="accent2" w:themeTint="66"/>
        <w:insideH w:val="single" w:sz="4" w:space="0" w:color="FFC690" w:themeColor="accent2" w:themeTint="66"/>
        <w:insideV w:val="single" w:sz="4" w:space="0" w:color="FFC690" w:themeColor="accent2" w:themeTint="66"/>
      </w:tblBorders>
    </w:tblPr>
    <w:tblStylePr w:type="firstRow">
      <w:rPr>
        <w:b/>
        <w:bCs/>
      </w:rPr>
      <w:tblPr/>
      <w:tcPr>
        <w:tcBorders>
          <w:bottom w:val="single" w:sz="12" w:space="0" w:color="FFA959" w:themeColor="accent2" w:themeTint="99"/>
        </w:tcBorders>
      </w:tcPr>
    </w:tblStylePr>
    <w:tblStylePr w:type="lastRow">
      <w:rPr>
        <w:b/>
        <w:bCs/>
      </w:rPr>
      <w:tblPr/>
      <w:tcPr>
        <w:tcBorders>
          <w:top w:val="double" w:sz="2" w:space="0" w:color="FFA959"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CF3" w:themeColor="accent5" w:themeTint="66"/>
        <w:left w:val="single" w:sz="4" w:space="0" w:color="C1DCF3" w:themeColor="accent5" w:themeTint="66"/>
        <w:bottom w:val="single" w:sz="4" w:space="0" w:color="C1DCF3" w:themeColor="accent5" w:themeTint="66"/>
        <w:right w:val="single" w:sz="4" w:space="0" w:color="C1DCF3" w:themeColor="accent5" w:themeTint="66"/>
        <w:insideH w:val="single" w:sz="4" w:space="0" w:color="C1DCF3" w:themeColor="accent5" w:themeTint="66"/>
        <w:insideV w:val="single" w:sz="4" w:space="0" w:color="C1DCF3" w:themeColor="accent5" w:themeTint="66"/>
      </w:tblBorders>
    </w:tblPr>
    <w:tblStylePr w:type="firstRow">
      <w:rPr>
        <w:b/>
        <w:bCs/>
      </w:rPr>
      <w:tblPr/>
      <w:tcPr>
        <w:tcBorders>
          <w:bottom w:val="single" w:sz="12" w:space="0" w:color="A3CBED" w:themeColor="accent5" w:themeTint="99"/>
        </w:tcBorders>
      </w:tcPr>
    </w:tblStylePr>
    <w:tblStylePr w:type="lastRow">
      <w:rPr>
        <w:b/>
        <w:bCs/>
      </w:rPr>
      <w:tblPr/>
      <w:tcPr>
        <w:tcBorders>
          <w:top w:val="double" w:sz="2" w:space="0" w:color="A3CBED"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F9DDC1" w:themeColor="accent6" w:themeTint="66"/>
        <w:left w:val="single" w:sz="4" w:space="0" w:color="F9DDC1" w:themeColor="accent6" w:themeTint="66"/>
        <w:bottom w:val="single" w:sz="4" w:space="0" w:color="F9DDC1" w:themeColor="accent6" w:themeTint="66"/>
        <w:right w:val="single" w:sz="4" w:space="0" w:color="F9DDC1" w:themeColor="accent6" w:themeTint="66"/>
        <w:insideH w:val="single" w:sz="4" w:space="0" w:color="F9DDC1" w:themeColor="accent6" w:themeTint="66"/>
        <w:insideV w:val="single" w:sz="4" w:space="0" w:color="F9DDC1" w:themeColor="accent6" w:themeTint="66"/>
      </w:tblBorders>
    </w:tblPr>
    <w:tblStylePr w:type="firstRow">
      <w:rPr>
        <w:b/>
        <w:bCs/>
      </w:rPr>
      <w:tblPr/>
      <w:tcPr>
        <w:tcBorders>
          <w:bottom w:val="single" w:sz="12" w:space="0" w:color="F7CCA3" w:themeColor="accent6" w:themeTint="99"/>
        </w:tcBorders>
      </w:tcPr>
    </w:tblStylePr>
    <w:tblStylePr w:type="lastRow">
      <w:rPr>
        <w:b/>
        <w:bCs/>
      </w:rPr>
      <w:tblPr/>
      <w:tcPr>
        <w:tcBorders>
          <w:top w:val="double" w:sz="2" w:space="0" w:color="F7CCA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Pr>
    <w:tcPr>
      <w:shd w:val="clear" w:color="auto" w:fill="D3D2D2" w:themeFill="text1" w:themeFillTint="33"/>
    </w:tc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Pr>
    <w:tcPr>
      <w:shd w:val="clear" w:color="auto" w:fill="C2E3FF" w:themeFill="accent1" w:themeFillTint="33"/>
    </w:tcPr>
    <w:tblStylePr w:type="firstRow">
      <w:rPr>
        <w:b/>
        <w:bCs/>
      </w:rPr>
      <w:tblPr/>
      <w:tcPr>
        <w:tcBorders>
          <w:top w:val="nil"/>
          <w:bottom w:val="single" w:sz="12" w:space="0" w:color="48ADFF" w:themeColor="accent1" w:themeTint="99"/>
          <w:insideH w:val="nil"/>
          <w:insideV w:val="nil"/>
        </w:tcBorders>
        <w:shd w:val="clear" w:color="auto" w:fill="FFFFFF" w:themeFill="background1"/>
      </w:tcPr>
    </w:tblStylePr>
    <w:tblStylePr w:type="lastRow">
      <w:rPr>
        <w:b/>
        <w:bCs/>
      </w:rPr>
      <w:tblPr/>
      <w:tcPr>
        <w:tcBorders>
          <w:top w:val="double" w:sz="2" w:space="0" w:color="48AD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E3FF" w:themeFill="accent1" w:themeFillTint="33"/>
      </w:tcPr>
    </w:tblStylePr>
  </w:style>
  <w:style w:type="table" w:styleId="GridTable2-Accent2">
    <w:name w:val="Grid Table 2 Accent 2"/>
    <w:basedOn w:val="TableNormal"/>
    <w:uiPriority w:val="47"/>
    <w:semiHidden/>
    <w:rsid w:val="0058629F"/>
    <w:tblPr>
      <w:tblStyleRowBandSize w:val="1"/>
      <w:tblStyleColBandSize w:val="1"/>
    </w:tblPr>
    <w:tcPr>
      <w:shd w:val="clear" w:color="auto" w:fill="FFE2C7" w:themeFill="accent2" w:themeFillTint="33"/>
    </w:tcPr>
    <w:tblStylePr w:type="firstRow">
      <w:rPr>
        <w:b/>
        <w:bCs/>
      </w:rPr>
      <w:tblPr/>
      <w:tcPr>
        <w:tcBorders>
          <w:top w:val="nil"/>
          <w:bottom w:val="single" w:sz="12" w:space="0" w:color="FFA959" w:themeColor="accent2" w:themeTint="99"/>
          <w:insideH w:val="nil"/>
          <w:insideV w:val="nil"/>
        </w:tcBorders>
        <w:shd w:val="clear" w:color="auto" w:fill="FFFFFF" w:themeFill="background1"/>
      </w:tcPr>
    </w:tblStylePr>
    <w:tblStylePr w:type="lastRow">
      <w:rPr>
        <w:b/>
        <w:bCs/>
      </w:rPr>
      <w:tblPr/>
      <w:tcPr>
        <w:tcBorders>
          <w:top w:val="double" w:sz="2" w:space="0" w:color="FFA959"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2C7" w:themeFill="accent2" w:themeFillTint="33"/>
      </w:tcPr>
    </w:tblStylePr>
  </w:style>
  <w:style w:type="table" w:styleId="GridTable2-Accent3">
    <w:name w:val="Grid Table 2 Accent 3"/>
    <w:basedOn w:val="TableNormal"/>
    <w:uiPriority w:val="47"/>
    <w:semiHidden/>
    <w:rsid w:val="0058629F"/>
    <w:tblPr>
      <w:tblStyleRowBandSize w:val="1"/>
      <w:tblStyleColBandSize w:val="1"/>
    </w:tblPr>
    <w:tcPr>
      <w:shd w:val="clear" w:color="auto" w:fill="BCFFFB" w:themeFill="accent3" w:themeFillTint="33"/>
    </w:tc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Pr>
    <w:tcPr>
      <w:shd w:val="clear" w:color="auto" w:fill="C8BEEC" w:themeFill="accent4" w:themeFillTint="33"/>
    </w:tc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Pr>
    <w:tcPr>
      <w:shd w:val="clear" w:color="auto" w:fill="E0EDF9" w:themeFill="accent5" w:themeFillTint="33"/>
    </w:tcPr>
    <w:tblStylePr w:type="firstRow">
      <w:rPr>
        <w:b/>
        <w:bCs/>
      </w:rPr>
      <w:tblPr/>
      <w:tcPr>
        <w:tcBorders>
          <w:top w:val="nil"/>
          <w:bottom w:val="single" w:sz="12" w:space="0" w:color="A3CBED" w:themeColor="accent5" w:themeTint="99"/>
          <w:insideH w:val="nil"/>
          <w:insideV w:val="nil"/>
        </w:tcBorders>
        <w:shd w:val="clear" w:color="auto" w:fill="FFFFFF" w:themeFill="background1"/>
      </w:tcPr>
    </w:tblStylePr>
    <w:tblStylePr w:type="lastRow">
      <w:rPr>
        <w:b/>
        <w:bCs/>
      </w:rPr>
      <w:tblPr/>
      <w:tcPr>
        <w:tcBorders>
          <w:top w:val="double" w:sz="2" w:space="0" w:color="A3CBE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DF9" w:themeFill="accent5" w:themeFillTint="33"/>
      </w:tcPr>
    </w:tblStylePr>
  </w:style>
  <w:style w:type="table" w:styleId="GridTable2-Accent6">
    <w:name w:val="Grid Table 2 Accent 6"/>
    <w:basedOn w:val="TableNormal"/>
    <w:uiPriority w:val="47"/>
    <w:semiHidden/>
    <w:rsid w:val="0058629F"/>
    <w:tblPr>
      <w:tblStyleRowBandSize w:val="1"/>
      <w:tblStyleColBandSize w:val="1"/>
    </w:tblPr>
    <w:tcPr>
      <w:shd w:val="clear" w:color="auto" w:fill="FCEEE0" w:themeFill="accent6" w:themeFillTint="33"/>
    </w:tcPr>
    <w:tblStylePr w:type="firstRow">
      <w:rPr>
        <w:b/>
        <w:bCs/>
      </w:rPr>
      <w:tblPr/>
      <w:tcPr>
        <w:tcBorders>
          <w:top w:val="nil"/>
          <w:bottom w:val="single" w:sz="12" w:space="0" w:color="F7CCA3" w:themeColor="accent6" w:themeTint="99"/>
          <w:insideH w:val="nil"/>
          <w:insideV w:val="nil"/>
        </w:tcBorders>
        <w:shd w:val="clear" w:color="auto" w:fill="FFFFFF" w:themeFill="background1"/>
      </w:tcPr>
    </w:tblStylePr>
    <w:tblStylePr w:type="lastRow">
      <w:rPr>
        <w:b/>
        <w:bCs/>
      </w:rPr>
      <w:tblPr/>
      <w:tcPr>
        <w:tcBorders>
          <w:top w:val="double" w:sz="2" w:space="0" w:color="F7CCA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EEE0"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FFA959" w:themeColor="accent2" w:themeTint="99"/>
        <w:left w:val="single" w:sz="4" w:space="0" w:color="FFA959" w:themeColor="accent2" w:themeTint="99"/>
        <w:bottom w:val="single" w:sz="4" w:space="0" w:color="FFA959" w:themeColor="accent2" w:themeTint="99"/>
        <w:right w:val="single" w:sz="4" w:space="0" w:color="FFA959" w:themeColor="accent2" w:themeTint="99"/>
        <w:insideH w:val="single" w:sz="4" w:space="0" w:color="FFA959" w:themeColor="accent2" w:themeTint="99"/>
        <w:insideV w:val="single" w:sz="4" w:space="0" w:color="FFA95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2C7" w:themeFill="accent2" w:themeFillTint="33"/>
      </w:tcPr>
    </w:tblStylePr>
    <w:tblStylePr w:type="band1Horz">
      <w:tblPr/>
      <w:tcPr>
        <w:shd w:val="clear" w:color="auto" w:fill="FFE2C7" w:themeFill="accent2" w:themeFillTint="33"/>
      </w:tcPr>
    </w:tblStylePr>
    <w:tblStylePr w:type="neCell">
      <w:tblPr/>
      <w:tcPr>
        <w:tcBorders>
          <w:bottom w:val="single" w:sz="4" w:space="0" w:color="FFA959" w:themeColor="accent2" w:themeTint="99"/>
        </w:tcBorders>
      </w:tcPr>
    </w:tblStylePr>
    <w:tblStylePr w:type="nwCell">
      <w:tblPr/>
      <w:tcPr>
        <w:tcBorders>
          <w:bottom w:val="single" w:sz="4" w:space="0" w:color="FFA959" w:themeColor="accent2" w:themeTint="99"/>
        </w:tcBorders>
      </w:tcPr>
    </w:tblStylePr>
    <w:tblStylePr w:type="seCell">
      <w:tblPr/>
      <w:tcPr>
        <w:tcBorders>
          <w:top w:val="single" w:sz="4" w:space="0" w:color="FFA959" w:themeColor="accent2" w:themeTint="99"/>
        </w:tcBorders>
      </w:tcPr>
    </w:tblStylePr>
    <w:tblStylePr w:type="swCell">
      <w:tblPr/>
      <w:tcPr>
        <w:tcBorders>
          <w:top w:val="single" w:sz="4" w:space="0" w:color="FFA959"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CBED" w:themeColor="accent5" w:themeTint="99"/>
        <w:left w:val="single" w:sz="4" w:space="0" w:color="A3CBED" w:themeColor="accent5" w:themeTint="99"/>
        <w:bottom w:val="single" w:sz="4" w:space="0" w:color="A3CBED" w:themeColor="accent5" w:themeTint="99"/>
        <w:right w:val="single" w:sz="4" w:space="0" w:color="A3CBED" w:themeColor="accent5" w:themeTint="99"/>
        <w:insideH w:val="single" w:sz="4" w:space="0" w:color="A3CBED" w:themeColor="accent5" w:themeTint="99"/>
        <w:insideV w:val="single" w:sz="4" w:space="0" w:color="A3CBE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DF9" w:themeFill="accent5" w:themeFillTint="33"/>
      </w:tcPr>
    </w:tblStylePr>
    <w:tblStylePr w:type="band1Horz">
      <w:tblPr/>
      <w:tcPr>
        <w:shd w:val="clear" w:color="auto" w:fill="E0EDF9" w:themeFill="accent5" w:themeFillTint="33"/>
      </w:tcPr>
    </w:tblStylePr>
    <w:tblStylePr w:type="neCell">
      <w:tblPr/>
      <w:tcPr>
        <w:tcBorders>
          <w:bottom w:val="single" w:sz="4" w:space="0" w:color="A3CBED" w:themeColor="accent5" w:themeTint="99"/>
        </w:tcBorders>
      </w:tcPr>
    </w:tblStylePr>
    <w:tblStylePr w:type="nwCell">
      <w:tblPr/>
      <w:tcPr>
        <w:tcBorders>
          <w:bottom w:val="single" w:sz="4" w:space="0" w:color="A3CBED" w:themeColor="accent5" w:themeTint="99"/>
        </w:tcBorders>
      </w:tcPr>
    </w:tblStylePr>
    <w:tblStylePr w:type="seCell">
      <w:tblPr/>
      <w:tcPr>
        <w:tcBorders>
          <w:top w:val="single" w:sz="4" w:space="0" w:color="A3CBED" w:themeColor="accent5" w:themeTint="99"/>
        </w:tcBorders>
      </w:tcPr>
    </w:tblStylePr>
    <w:tblStylePr w:type="swCell">
      <w:tblPr/>
      <w:tcPr>
        <w:tcBorders>
          <w:top w:val="single" w:sz="4" w:space="0" w:color="A3CBED"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F7CCA3" w:themeColor="accent6" w:themeTint="99"/>
        <w:left w:val="single" w:sz="4" w:space="0" w:color="F7CCA3" w:themeColor="accent6" w:themeTint="99"/>
        <w:bottom w:val="single" w:sz="4" w:space="0" w:color="F7CCA3" w:themeColor="accent6" w:themeTint="99"/>
        <w:right w:val="single" w:sz="4" w:space="0" w:color="F7CCA3" w:themeColor="accent6" w:themeTint="99"/>
        <w:insideH w:val="single" w:sz="4" w:space="0" w:color="F7CCA3" w:themeColor="accent6" w:themeTint="99"/>
        <w:insideV w:val="single" w:sz="4" w:space="0" w:color="F7CCA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EE0" w:themeFill="accent6" w:themeFillTint="33"/>
      </w:tcPr>
    </w:tblStylePr>
    <w:tblStylePr w:type="band1Horz">
      <w:tblPr/>
      <w:tcPr>
        <w:shd w:val="clear" w:color="auto" w:fill="FCEEE0" w:themeFill="accent6" w:themeFillTint="33"/>
      </w:tcPr>
    </w:tblStylePr>
    <w:tblStylePr w:type="neCell">
      <w:tblPr/>
      <w:tcPr>
        <w:tcBorders>
          <w:bottom w:val="single" w:sz="4" w:space="0" w:color="F7CCA3" w:themeColor="accent6" w:themeTint="99"/>
        </w:tcBorders>
      </w:tcPr>
    </w:tblStylePr>
    <w:tblStylePr w:type="nwCell">
      <w:tblPr/>
      <w:tcPr>
        <w:tcBorders>
          <w:bottom w:val="single" w:sz="4" w:space="0" w:color="F7CCA3" w:themeColor="accent6" w:themeTint="99"/>
        </w:tcBorders>
      </w:tcPr>
    </w:tblStylePr>
    <w:tblStylePr w:type="seCell">
      <w:tblPr/>
      <w:tcPr>
        <w:tcBorders>
          <w:top w:val="single" w:sz="4" w:space="0" w:color="F7CCA3" w:themeColor="accent6" w:themeTint="99"/>
        </w:tcBorders>
      </w:tcPr>
    </w:tblStylePr>
    <w:tblStylePr w:type="swCell">
      <w:tblPr/>
      <w:tcPr>
        <w:tcBorders>
          <w:top w:val="single" w:sz="4" w:space="0" w:color="F7CCA3" w:themeColor="accent6" w:themeTint="99"/>
        </w:tcBorders>
      </w:tcPr>
    </w:tblStylePr>
  </w:style>
  <w:style w:type="table" w:styleId="GridTable4">
    <w:name w:val="Grid Table 4"/>
    <w:basedOn w:val="TableNormal"/>
    <w:uiPriority w:val="49"/>
    <w:semiHidden/>
    <w:rsid w:val="0058629F"/>
    <w:tblPr>
      <w:tblStyleRowBandSize w:val="1"/>
      <w:tblStyleColBandSize w:val="1"/>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insideV w:val="nil"/>
        </w:tcBorders>
        <w:shd w:val="clear" w:color="auto" w:fill="0072CE" w:themeFill="accent1"/>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4-Accent2">
    <w:name w:val="Grid Table 4 Accent 2"/>
    <w:basedOn w:val="TableNormal"/>
    <w:uiPriority w:val="49"/>
    <w:semiHidden/>
    <w:rsid w:val="0058629F"/>
    <w:tblPr>
      <w:tblStyleRowBandSize w:val="1"/>
      <w:tblStyleColBandSize w:val="1"/>
    </w:tblPr>
    <w:tblStylePr w:type="firstRow">
      <w:rPr>
        <w:b/>
        <w:bCs/>
        <w:color w:val="FFFFFF" w:themeColor="background1"/>
      </w:rPr>
      <w:tblPr/>
      <w:tcPr>
        <w:tcBorders>
          <w:top w:val="single" w:sz="4" w:space="0" w:color="EA7200" w:themeColor="accent2"/>
          <w:left w:val="single" w:sz="4" w:space="0" w:color="EA7200" w:themeColor="accent2"/>
          <w:bottom w:val="single" w:sz="4" w:space="0" w:color="EA7200" w:themeColor="accent2"/>
          <w:right w:val="single" w:sz="4" w:space="0" w:color="EA7200" w:themeColor="accent2"/>
          <w:insideH w:val="nil"/>
          <w:insideV w:val="nil"/>
        </w:tcBorders>
        <w:shd w:val="clear" w:color="auto" w:fill="EA7200" w:themeFill="accent2"/>
      </w:tcPr>
    </w:tblStylePr>
    <w:tblStylePr w:type="lastRow">
      <w:rPr>
        <w:b/>
        <w:bCs/>
      </w:rPr>
      <w:tblPr/>
      <w:tcPr>
        <w:tcBorders>
          <w:top w:val="double" w:sz="4" w:space="0" w:color="EA7200" w:themeColor="accent2"/>
        </w:tcBorders>
      </w:tcPr>
    </w:tblStylePr>
    <w:tblStylePr w:type="firstCol">
      <w:rPr>
        <w:b/>
        <w:bCs/>
      </w:rPr>
    </w:tblStylePr>
    <w:tblStylePr w:type="lastCol">
      <w:rPr>
        <w:b/>
        <w:bCs/>
      </w:rPr>
    </w:tblStylePr>
    <w:tblStylePr w:type="band1Vert">
      <w:tblPr/>
      <w:tcPr>
        <w:shd w:val="clear" w:color="auto" w:fill="FFE2C7" w:themeFill="accent2" w:themeFillTint="33"/>
      </w:tcPr>
    </w:tblStylePr>
    <w:tblStylePr w:type="band1Horz">
      <w:tblPr/>
      <w:tcPr>
        <w:shd w:val="clear" w:color="auto" w:fill="FFE2C7" w:themeFill="accent2" w:themeFillTint="33"/>
      </w:tcPr>
    </w:tblStylePr>
  </w:style>
  <w:style w:type="table" w:styleId="GridTable4-Accent3">
    <w:name w:val="Grid Table 4 Accent 3"/>
    <w:basedOn w:val="TableNormal"/>
    <w:uiPriority w:val="49"/>
    <w:semiHidden/>
    <w:rsid w:val="0058629F"/>
    <w:tblPr>
      <w:tblStyleRowBandSize w:val="1"/>
      <w:tblStyleColBandSize w:val="1"/>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Pr>
    <w:tblStylePr w:type="firstRow">
      <w:rPr>
        <w:b/>
        <w:bCs/>
        <w:color w:val="FFFFFF" w:themeColor="background1"/>
      </w:rPr>
      <w:tblPr/>
      <w:tcPr>
        <w:tcBorders>
          <w:top w:val="single" w:sz="4" w:space="0" w:color="66AAE2" w:themeColor="accent5"/>
          <w:left w:val="single" w:sz="4" w:space="0" w:color="66AAE2" w:themeColor="accent5"/>
          <w:bottom w:val="single" w:sz="4" w:space="0" w:color="66AAE2" w:themeColor="accent5"/>
          <w:right w:val="single" w:sz="4" w:space="0" w:color="66AAE2" w:themeColor="accent5"/>
          <w:insideH w:val="nil"/>
          <w:insideV w:val="nil"/>
        </w:tcBorders>
        <w:shd w:val="clear" w:color="auto" w:fill="66AAE2" w:themeFill="accent5"/>
      </w:tcPr>
    </w:tblStylePr>
    <w:tblStylePr w:type="lastRow">
      <w:rPr>
        <w:b/>
        <w:bCs/>
      </w:rPr>
      <w:tblPr/>
      <w:tcPr>
        <w:tcBorders>
          <w:top w:val="double" w:sz="4" w:space="0" w:color="66AAE2" w:themeColor="accent5"/>
        </w:tcBorders>
      </w:tcPr>
    </w:tblStylePr>
    <w:tblStylePr w:type="firstCol">
      <w:rPr>
        <w:b/>
        <w:bCs/>
      </w:rPr>
    </w:tblStylePr>
    <w:tblStylePr w:type="lastCol">
      <w:rPr>
        <w:b/>
        <w:bCs/>
      </w:rPr>
    </w:tblStylePr>
    <w:tblStylePr w:type="band1Vert">
      <w:tblPr/>
      <w:tcPr>
        <w:shd w:val="clear" w:color="auto" w:fill="E0EDF9" w:themeFill="accent5" w:themeFillTint="33"/>
      </w:tcPr>
    </w:tblStylePr>
    <w:tblStylePr w:type="band1Horz">
      <w:tblPr/>
      <w:tcPr>
        <w:shd w:val="clear" w:color="auto" w:fill="E0EDF9" w:themeFill="accent5" w:themeFillTint="33"/>
      </w:tcPr>
    </w:tblStylePr>
  </w:style>
  <w:style w:type="table" w:styleId="GridTable4-Accent6">
    <w:name w:val="Grid Table 4 Accent 6"/>
    <w:basedOn w:val="TableNormal"/>
    <w:uiPriority w:val="49"/>
    <w:semiHidden/>
    <w:rsid w:val="0058629F"/>
    <w:tblPr>
      <w:tblStyleRowBandSize w:val="1"/>
      <w:tblStyleColBandSize w:val="1"/>
    </w:tblPr>
    <w:tblStylePr w:type="firstRow">
      <w:rPr>
        <w:b/>
        <w:bCs/>
        <w:color w:val="FFFFFF" w:themeColor="background1"/>
      </w:rPr>
      <w:tblPr/>
      <w:tcPr>
        <w:tcBorders>
          <w:top w:val="single" w:sz="4" w:space="0" w:color="F2AB66" w:themeColor="accent6"/>
          <w:left w:val="single" w:sz="4" w:space="0" w:color="F2AB66" w:themeColor="accent6"/>
          <w:bottom w:val="single" w:sz="4" w:space="0" w:color="F2AB66" w:themeColor="accent6"/>
          <w:right w:val="single" w:sz="4" w:space="0" w:color="F2AB66" w:themeColor="accent6"/>
          <w:insideH w:val="nil"/>
          <w:insideV w:val="nil"/>
        </w:tcBorders>
        <w:shd w:val="clear" w:color="auto" w:fill="F2AB66" w:themeFill="accent6"/>
      </w:tcPr>
    </w:tblStylePr>
    <w:tblStylePr w:type="lastRow">
      <w:rPr>
        <w:b/>
        <w:bCs/>
      </w:rPr>
      <w:tblPr/>
      <w:tcPr>
        <w:tcBorders>
          <w:top w:val="double" w:sz="4" w:space="0" w:color="F2AB66" w:themeColor="accent6"/>
        </w:tcBorders>
      </w:tcPr>
    </w:tblStylePr>
    <w:tblStylePr w:type="firstCol">
      <w:rPr>
        <w:b/>
        <w:bCs/>
      </w:rPr>
    </w:tblStylePr>
    <w:tblStylePr w:type="lastCol">
      <w:rPr>
        <w:b/>
        <w:bCs/>
      </w:rPr>
    </w:tblStylePr>
    <w:tblStylePr w:type="band1Vert">
      <w:tblPr/>
      <w:tcPr>
        <w:shd w:val="clear" w:color="auto" w:fill="FCEEE0" w:themeFill="accent6" w:themeFillTint="33"/>
      </w:tcPr>
    </w:tblStylePr>
    <w:tblStylePr w:type="band1Horz">
      <w:tblPr/>
      <w:tcPr>
        <w:shd w:val="clear" w:color="auto" w:fill="FCEEE0" w:themeFill="accent6" w:themeFillTint="33"/>
      </w:tcPr>
    </w:tblStylePr>
  </w:style>
  <w:style w:type="table" w:styleId="GridTable5Dark">
    <w:name w:val="Grid Table 5 Dark"/>
    <w:basedOn w:val="TableNormal"/>
    <w:uiPriority w:val="50"/>
    <w:semiHidden/>
    <w:rsid w:val="0058629F"/>
    <w:tblPr>
      <w:tblStyleRowBandSize w:val="1"/>
      <w:tblStyleColBandSize w:val="1"/>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Pr>
    <w:tcPr>
      <w:shd w:val="clear" w:color="auto" w:fill="C2E3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C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C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C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CE" w:themeFill="accent1"/>
      </w:tcPr>
    </w:tblStylePr>
    <w:tblStylePr w:type="band1Vert">
      <w:tblPr/>
      <w:tcPr>
        <w:shd w:val="clear" w:color="auto" w:fill="85C8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Pr>
    <w:tcPr>
      <w:shd w:val="clear" w:color="auto" w:fill="FFE2C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A72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A72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A72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A7200" w:themeFill="accent2"/>
      </w:tcPr>
    </w:tblStylePr>
    <w:tblStylePr w:type="band1Vert">
      <w:tblPr/>
      <w:tcPr>
        <w:shd w:val="clear" w:color="auto" w:fill="FFC690"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Pr>
    <w:tcPr>
      <w:shd w:val="clear" w:color="auto" w:fill="E0EDF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AAE2"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AAE2"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AAE2"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AAE2" w:themeFill="accent5"/>
      </w:tcPr>
    </w:tblStylePr>
    <w:tblStylePr w:type="band1Vert">
      <w:tblPr/>
      <w:tcPr>
        <w:shd w:val="clear" w:color="auto" w:fill="C1DCF3"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Pr>
    <w:tcPr>
      <w:shd w:val="clear" w:color="auto" w:fill="FCEEE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2AB6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2AB6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2AB6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2AB66" w:themeFill="accent6"/>
      </w:tcPr>
    </w:tblStylePr>
    <w:tblStylePr w:type="band1Vert">
      <w:tblPr/>
      <w:tcPr>
        <w:shd w:val="clear" w:color="auto" w:fill="F9DDC1"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6Colorful-Accent2">
    <w:name w:val="Grid Table 6 Colorful Accent 2"/>
    <w:basedOn w:val="TableNormal"/>
    <w:uiPriority w:val="51"/>
    <w:semiHidden/>
    <w:rsid w:val="0058629F"/>
    <w:rPr>
      <w:color w:val="AF5500" w:themeColor="accent2" w:themeShade="BF"/>
    </w:rPr>
    <w:tblPr>
      <w:tblStyleRowBandSize w:val="1"/>
      <w:tblStyleColBandSize w:val="1"/>
      <w:tblBorders>
        <w:top w:val="single" w:sz="4" w:space="0" w:color="FFA959" w:themeColor="accent2" w:themeTint="99"/>
        <w:left w:val="single" w:sz="4" w:space="0" w:color="FFA959" w:themeColor="accent2" w:themeTint="99"/>
        <w:bottom w:val="single" w:sz="4" w:space="0" w:color="FFA959" w:themeColor="accent2" w:themeTint="99"/>
        <w:right w:val="single" w:sz="4" w:space="0" w:color="FFA959" w:themeColor="accent2" w:themeTint="99"/>
        <w:insideH w:val="single" w:sz="4" w:space="0" w:color="FFA959" w:themeColor="accent2" w:themeTint="99"/>
        <w:insideV w:val="single" w:sz="4" w:space="0" w:color="FFA959" w:themeColor="accent2" w:themeTint="99"/>
      </w:tblBorders>
    </w:tblPr>
    <w:tblStylePr w:type="firstRow">
      <w:rPr>
        <w:b/>
        <w:bCs/>
      </w:rPr>
      <w:tblPr/>
      <w:tcPr>
        <w:tcBorders>
          <w:bottom w:val="single" w:sz="12" w:space="0" w:color="FFA959" w:themeColor="accent2" w:themeTint="99"/>
        </w:tcBorders>
      </w:tcPr>
    </w:tblStylePr>
    <w:tblStylePr w:type="lastRow">
      <w:rPr>
        <w:b/>
        <w:bCs/>
      </w:rPr>
      <w:tblPr/>
      <w:tcPr>
        <w:tcBorders>
          <w:top w:val="double" w:sz="4" w:space="0" w:color="FFA959" w:themeColor="accent2" w:themeTint="99"/>
        </w:tcBorders>
      </w:tcPr>
    </w:tblStylePr>
    <w:tblStylePr w:type="firstCol">
      <w:rPr>
        <w:b/>
        <w:bCs/>
      </w:rPr>
    </w:tblStylePr>
    <w:tblStylePr w:type="lastCol">
      <w:rPr>
        <w:b/>
        <w:bCs/>
      </w:rPr>
    </w:tblStylePr>
    <w:tblStylePr w:type="band1Vert">
      <w:tblPr/>
      <w:tcPr>
        <w:shd w:val="clear" w:color="auto" w:fill="FFE2C7" w:themeFill="accent2" w:themeFillTint="33"/>
      </w:tcPr>
    </w:tblStylePr>
    <w:tblStylePr w:type="band1Horz">
      <w:tblPr/>
      <w:tcPr>
        <w:shd w:val="clear" w:color="auto" w:fill="FFE2C7"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2782CE" w:themeColor="accent5" w:themeShade="BF"/>
    </w:rPr>
    <w:tblPr>
      <w:tblStyleRowBandSize w:val="1"/>
      <w:tblStyleColBandSize w:val="1"/>
      <w:tblBorders>
        <w:top w:val="single" w:sz="4" w:space="0" w:color="A3CBED" w:themeColor="accent5" w:themeTint="99"/>
        <w:left w:val="single" w:sz="4" w:space="0" w:color="A3CBED" w:themeColor="accent5" w:themeTint="99"/>
        <w:bottom w:val="single" w:sz="4" w:space="0" w:color="A3CBED" w:themeColor="accent5" w:themeTint="99"/>
        <w:right w:val="single" w:sz="4" w:space="0" w:color="A3CBED" w:themeColor="accent5" w:themeTint="99"/>
        <w:insideH w:val="single" w:sz="4" w:space="0" w:color="A3CBED" w:themeColor="accent5" w:themeTint="99"/>
        <w:insideV w:val="single" w:sz="4" w:space="0" w:color="A3CBED" w:themeColor="accent5" w:themeTint="99"/>
      </w:tblBorders>
    </w:tblPr>
    <w:tblStylePr w:type="firstRow">
      <w:rPr>
        <w:b/>
        <w:bCs/>
      </w:rPr>
      <w:tblPr/>
      <w:tcPr>
        <w:tcBorders>
          <w:bottom w:val="single" w:sz="12" w:space="0" w:color="A3CBED" w:themeColor="accent5" w:themeTint="99"/>
        </w:tcBorders>
      </w:tcPr>
    </w:tblStylePr>
    <w:tblStylePr w:type="lastRow">
      <w:rPr>
        <w:b/>
        <w:bCs/>
      </w:rPr>
      <w:tblPr/>
      <w:tcPr>
        <w:tcBorders>
          <w:top w:val="double" w:sz="4" w:space="0" w:color="A3CBED" w:themeColor="accent5" w:themeTint="99"/>
        </w:tcBorders>
      </w:tcPr>
    </w:tblStylePr>
    <w:tblStylePr w:type="firstCol">
      <w:rPr>
        <w:b/>
        <w:bCs/>
      </w:rPr>
    </w:tblStylePr>
    <w:tblStylePr w:type="lastCol">
      <w:rPr>
        <w:b/>
        <w:bCs/>
      </w:rPr>
    </w:tblStylePr>
    <w:tblStylePr w:type="band1Vert">
      <w:tblPr/>
      <w:tcPr>
        <w:shd w:val="clear" w:color="auto" w:fill="E0EDF9" w:themeFill="accent5" w:themeFillTint="33"/>
      </w:tcPr>
    </w:tblStylePr>
    <w:tblStylePr w:type="band1Horz">
      <w:tblPr/>
      <w:tcPr>
        <w:shd w:val="clear" w:color="auto" w:fill="E0EDF9" w:themeFill="accent5" w:themeFillTint="33"/>
      </w:tcPr>
    </w:tblStylePr>
  </w:style>
  <w:style w:type="table" w:styleId="GridTable6Colorful-Accent6">
    <w:name w:val="Grid Table 6 Colorful Accent 6"/>
    <w:basedOn w:val="TableNormal"/>
    <w:uiPriority w:val="51"/>
    <w:semiHidden/>
    <w:rsid w:val="0058629F"/>
    <w:rPr>
      <w:color w:val="EB7E16" w:themeColor="accent6" w:themeShade="BF"/>
    </w:rPr>
    <w:tblPr>
      <w:tblStyleRowBandSize w:val="1"/>
      <w:tblStyleColBandSize w:val="1"/>
      <w:tblBorders>
        <w:top w:val="single" w:sz="4" w:space="0" w:color="F7CCA3" w:themeColor="accent6" w:themeTint="99"/>
        <w:left w:val="single" w:sz="4" w:space="0" w:color="F7CCA3" w:themeColor="accent6" w:themeTint="99"/>
        <w:bottom w:val="single" w:sz="4" w:space="0" w:color="F7CCA3" w:themeColor="accent6" w:themeTint="99"/>
        <w:right w:val="single" w:sz="4" w:space="0" w:color="F7CCA3" w:themeColor="accent6" w:themeTint="99"/>
        <w:insideH w:val="single" w:sz="4" w:space="0" w:color="F7CCA3" w:themeColor="accent6" w:themeTint="99"/>
        <w:insideV w:val="single" w:sz="4" w:space="0" w:color="F7CCA3" w:themeColor="accent6" w:themeTint="99"/>
      </w:tblBorders>
    </w:tblPr>
    <w:tblStylePr w:type="firstRow">
      <w:rPr>
        <w:b/>
        <w:bCs/>
      </w:rPr>
      <w:tblPr/>
      <w:tcPr>
        <w:tcBorders>
          <w:bottom w:val="single" w:sz="12" w:space="0" w:color="F7CCA3" w:themeColor="accent6" w:themeTint="99"/>
        </w:tcBorders>
      </w:tcPr>
    </w:tblStylePr>
    <w:tblStylePr w:type="lastRow">
      <w:rPr>
        <w:b/>
        <w:bCs/>
      </w:rPr>
      <w:tblPr/>
      <w:tcPr>
        <w:tcBorders>
          <w:top w:val="double" w:sz="4" w:space="0" w:color="F7CCA3" w:themeColor="accent6" w:themeTint="99"/>
        </w:tcBorders>
      </w:tcPr>
    </w:tblStylePr>
    <w:tblStylePr w:type="firstCol">
      <w:rPr>
        <w:b/>
        <w:bCs/>
      </w:rPr>
    </w:tblStylePr>
    <w:tblStylePr w:type="lastCol">
      <w:rPr>
        <w:b/>
        <w:bCs/>
      </w:rPr>
    </w:tblStylePr>
    <w:tblStylePr w:type="band1Vert">
      <w:tblPr/>
      <w:tcPr>
        <w:shd w:val="clear" w:color="auto" w:fill="FCEEE0" w:themeFill="accent6" w:themeFillTint="33"/>
      </w:tcPr>
    </w:tblStylePr>
    <w:tblStylePr w:type="band1Horz">
      <w:tblPr/>
      <w:tcPr>
        <w:shd w:val="clear" w:color="auto" w:fill="FCEEE0"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7Colorful-Accent2">
    <w:name w:val="Grid Table 7 Colorful Accent 2"/>
    <w:basedOn w:val="TableNormal"/>
    <w:uiPriority w:val="52"/>
    <w:semiHidden/>
    <w:rsid w:val="0058629F"/>
    <w:rPr>
      <w:color w:val="AF5500" w:themeColor="accent2" w:themeShade="BF"/>
    </w:rPr>
    <w:tblPr>
      <w:tblStyleRowBandSize w:val="1"/>
      <w:tblStyleColBandSize w:val="1"/>
      <w:tblBorders>
        <w:top w:val="single" w:sz="4" w:space="0" w:color="FFA959" w:themeColor="accent2" w:themeTint="99"/>
        <w:left w:val="single" w:sz="4" w:space="0" w:color="FFA959" w:themeColor="accent2" w:themeTint="99"/>
        <w:bottom w:val="single" w:sz="4" w:space="0" w:color="FFA959" w:themeColor="accent2" w:themeTint="99"/>
        <w:right w:val="single" w:sz="4" w:space="0" w:color="FFA959" w:themeColor="accent2" w:themeTint="99"/>
        <w:insideH w:val="single" w:sz="4" w:space="0" w:color="FFA959" w:themeColor="accent2" w:themeTint="99"/>
        <w:insideV w:val="single" w:sz="4" w:space="0" w:color="FFA95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2C7" w:themeFill="accent2" w:themeFillTint="33"/>
      </w:tcPr>
    </w:tblStylePr>
    <w:tblStylePr w:type="band1Horz">
      <w:tblPr/>
      <w:tcPr>
        <w:shd w:val="clear" w:color="auto" w:fill="FFE2C7" w:themeFill="accent2" w:themeFillTint="33"/>
      </w:tcPr>
    </w:tblStylePr>
    <w:tblStylePr w:type="neCell">
      <w:tblPr/>
      <w:tcPr>
        <w:tcBorders>
          <w:bottom w:val="single" w:sz="4" w:space="0" w:color="FFA959" w:themeColor="accent2" w:themeTint="99"/>
        </w:tcBorders>
      </w:tcPr>
    </w:tblStylePr>
    <w:tblStylePr w:type="nwCell">
      <w:tblPr/>
      <w:tcPr>
        <w:tcBorders>
          <w:bottom w:val="single" w:sz="4" w:space="0" w:color="FFA959" w:themeColor="accent2" w:themeTint="99"/>
        </w:tcBorders>
      </w:tcPr>
    </w:tblStylePr>
    <w:tblStylePr w:type="seCell">
      <w:tblPr/>
      <w:tcPr>
        <w:tcBorders>
          <w:top w:val="single" w:sz="4" w:space="0" w:color="FFA959" w:themeColor="accent2" w:themeTint="99"/>
        </w:tcBorders>
      </w:tcPr>
    </w:tblStylePr>
    <w:tblStylePr w:type="swCell">
      <w:tblPr/>
      <w:tcPr>
        <w:tcBorders>
          <w:top w:val="single" w:sz="4" w:space="0" w:color="FFA959"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2782CE" w:themeColor="accent5" w:themeShade="BF"/>
    </w:rPr>
    <w:tblPr>
      <w:tblStyleRowBandSize w:val="1"/>
      <w:tblStyleColBandSize w:val="1"/>
      <w:tblBorders>
        <w:top w:val="single" w:sz="4" w:space="0" w:color="A3CBED" w:themeColor="accent5" w:themeTint="99"/>
        <w:left w:val="single" w:sz="4" w:space="0" w:color="A3CBED" w:themeColor="accent5" w:themeTint="99"/>
        <w:bottom w:val="single" w:sz="4" w:space="0" w:color="A3CBED" w:themeColor="accent5" w:themeTint="99"/>
        <w:right w:val="single" w:sz="4" w:space="0" w:color="A3CBED" w:themeColor="accent5" w:themeTint="99"/>
        <w:insideH w:val="single" w:sz="4" w:space="0" w:color="A3CBED" w:themeColor="accent5" w:themeTint="99"/>
        <w:insideV w:val="single" w:sz="4" w:space="0" w:color="A3CBE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DF9" w:themeFill="accent5" w:themeFillTint="33"/>
      </w:tcPr>
    </w:tblStylePr>
    <w:tblStylePr w:type="band1Horz">
      <w:tblPr/>
      <w:tcPr>
        <w:shd w:val="clear" w:color="auto" w:fill="E0EDF9" w:themeFill="accent5" w:themeFillTint="33"/>
      </w:tcPr>
    </w:tblStylePr>
    <w:tblStylePr w:type="neCell">
      <w:tblPr/>
      <w:tcPr>
        <w:tcBorders>
          <w:bottom w:val="single" w:sz="4" w:space="0" w:color="A3CBED" w:themeColor="accent5" w:themeTint="99"/>
        </w:tcBorders>
      </w:tcPr>
    </w:tblStylePr>
    <w:tblStylePr w:type="nwCell">
      <w:tblPr/>
      <w:tcPr>
        <w:tcBorders>
          <w:bottom w:val="single" w:sz="4" w:space="0" w:color="A3CBED" w:themeColor="accent5" w:themeTint="99"/>
        </w:tcBorders>
      </w:tcPr>
    </w:tblStylePr>
    <w:tblStylePr w:type="seCell">
      <w:tblPr/>
      <w:tcPr>
        <w:tcBorders>
          <w:top w:val="single" w:sz="4" w:space="0" w:color="A3CBED" w:themeColor="accent5" w:themeTint="99"/>
        </w:tcBorders>
      </w:tcPr>
    </w:tblStylePr>
    <w:tblStylePr w:type="swCell">
      <w:tblPr/>
      <w:tcPr>
        <w:tcBorders>
          <w:top w:val="single" w:sz="4" w:space="0" w:color="A3CBED" w:themeColor="accent5" w:themeTint="99"/>
        </w:tcBorders>
      </w:tcPr>
    </w:tblStylePr>
  </w:style>
  <w:style w:type="table" w:styleId="GridTable7Colorful-Accent6">
    <w:name w:val="Grid Table 7 Colorful Accent 6"/>
    <w:basedOn w:val="TableNormal"/>
    <w:uiPriority w:val="52"/>
    <w:semiHidden/>
    <w:rsid w:val="0058629F"/>
    <w:rPr>
      <w:color w:val="EB7E16" w:themeColor="accent6" w:themeShade="BF"/>
    </w:rPr>
    <w:tblPr>
      <w:tblStyleRowBandSize w:val="1"/>
      <w:tblStyleColBandSize w:val="1"/>
      <w:tblBorders>
        <w:top w:val="single" w:sz="4" w:space="0" w:color="F7CCA3" w:themeColor="accent6" w:themeTint="99"/>
        <w:left w:val="single" w:sz="4" w:space="0" w:color="F7CCA3" w:themeColor="accent6" w:themeTint="99"/>
        <w:bottom w:val="single" w:sz="4" w:space="0" w:color="F7CCA3" w:themeColor="accent6" w:themeTint="99"/>
        <w:right w:val="single" w:sz="4" w:space="0" w:color="F7CCA3" w:themeColor="accent6" w:themeTint="99"/>
        <w:insideH w:val="single" w:sz="4" w:space="0" w:color="F7CCA3" w:themeColor="accent6" w:themeTint="99"/>
        <w:insideV w:val="single" w:sz="4" w:space="0" w:color="F7CCA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EE0" w:themeFill="accent6" w:themeFillTint="33"/>
      </w:tcPr>
    </w:tblStylePr>
    <w:tblStylePr w:type="band1Horz">
      <w:tblPr/>
      <w:tcPr>
        <w:shd w:val="clear" w:color="auto" w:fill="FCEEE0" w:themeFill="accent6" w:themeFillTint="33"/>
      </w:tcPr>
    </w:tblStylePr>
    <w:tblStylePr w:type="neCell">
      <w:tblPr/>
      <w:tcPr>
        <w:tcBorders>
          <w:bottom w:val="single" w:sz="4" w:space="0" w:color="F7CCA3" w:themeColor="accent6" w:themeTint="99"/>
        </w:tcBorders>
      </w:tcPr>
    </w:tblStylePr>
    <w:tblStylePr w:type="nwCell">
      <w:tblPr/>
      <w:tcPr>
        <w:tcBorders>
          <w:bottom w:val="single" w:sz="4" w:space="0" w:color="F7CCA3" w:themeColor="accent6" w:themeTint="99"/>
        </w:tcBorders>
      </w:tcPr>
    </w:tblStylePr>
    <w:tblStylePr w:type="seCell">
      <w:tblPr/>
      <w:tcPr>
        <w:tcBorders>
          <w:top w:val="single" w:sz="4" w:space="0" w:color="F7CCA3" w:themeColor="accent6" w:themeTint="99"/>
        </w:tcBorders>
      </w:tcPr>
    </w:tblStylePr>
    <w:tblStylePr w:type="swCell">
      <w:tblPr/>
      <w:tcPr>
        <w:tcBorders>
          <w:top w:val="single" w:sz="4" w:space="0" w:color="F7CCA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18" w:space="0" w:color="0072CE" w:themeColor="accent1"/>
          <w:right w:val="single" w:sz="8" w:space="0" w:color="0072CE" w:themeColor="accent1"/>
          <w:insideH w:val="nil"/>
          <w:insideV w:val="single" w:sz="8" w:space="0" w:color="0072C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insideH w:val="nil"/>
          <w:insideV w:val="single" w:sz="8" w:space="0" w:color="0072C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shd w:val="clear" w:color="auto" w:fill="B3DDFF" w:themeFill="accent1" w:themeFillTint="3F"/>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shd w:val="clear" w:color="auto" w:fill="B3DDFF" w:themeFill="accent1" w:themeFillTint="3F"/>
      </w:tcPr>
    </w:tblStylePr>
    <w:tblStylePr w:type="band2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EA7200" w:themeColor="accent2"/>
        <w:left w:val="single" w:sz="8" w:space="0" w:color="EA7200" w:themeColor="accent2"/>
        <w:bottom w:val="single" w:sz="8" w:space="0" w:color="EA7200" w:themeColor="accent2"/>
        <w:right w:val="single" w:sz="8" w:space="0" w:color="EA7200" w:themeColor="accent2"/>
        <w:insideH w:val="single" w:sz="8" w:space="0" w:color="EA7200" w:themeColor="accent2"/>
        <w:insideV w:val="single" w:sz="8" w:space="0" w:color="EA72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A7200" w:themeColor="accent2"/>
          <w:left w:val="single" w:sz="8" w:space="0" w:color="EA7200" w:themeColor="accent2"/>
          <w:bottom w:val="single" w:sz="18" w:space="0" w:color="EA7200" w:themeColor="accent2"/>
          <w:right w:val="single" w:sz="8" w:space="0" w:color="EA7200" w:themeColor="accent2"/>
          <w:insideH w:val="nil"/>
          <w:insideV w:val="single" w:sz="8" w:space="0" w:color="EA72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A7200" w:themeColor="accent2"/>
          <w:left w:val="single" w:sz="8" w:space="0" w:color="EA7200" w:themeColor="accent2"/>
          <w:bottom w:val="single" w:sz="8" w:space="0" w:color="EA7200" w:themeColor="accent2"/>
          <w:right w:val="single" w:sz="8" w:space="0" w:color="EA7200" w:themeColor="accent2"/>
          <w:insideH w:val="nil"/>
          <w:insideV w:val="single" w:sz="8" w:space="0" w:color="EA72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A7200" w:themeColor="accent2"/>
          <w:left w:val="single" w:sz="8" w:space="0" w:color="EA7200" w:themeColor="accent2"/>
          <w:bottom w:val="single" w:sz="8" w:space="0" w:color="EA7200" w:themeColor="accent2"/>
          <w:right w:val="single" w:sz="8" w:space="0" w:color="EA7200" w:themeColor="accent2"/>
        </w:tcBorders>
      </w:tcPr>
    </w:tblStylePr>
    <w:tblStylePr w:type="band1Vert">
      <w:tblPr/>
      <w:tcPr>
        <w:tcBorders>
          <w:top w:val="single" w:sz="8" w:space="0" w:color="EA7200" w:themeColor="accent2"/>
          <w:left w:val="single" w:sz="8" w:space="0" w:color="EA7200" w:themeColor="accent2"/>
          <w:bottom w:val="single" w:sz="8" w:space="0" w:color="EA7200" w:themeColor="accent2"/>
          <w:right w:val="single" w:sz="8" w:space="0" w:color="EA7200" w:themeColor="accent2"/>
        </w:tcBorders>
        <w:shd w:val="clear" w:color="auto" w:fill="FFDBBA" w:themeFill="accent2" w:themeFillTint="3F"/>
      </w:tcPr>
    </w:tblStylePr>
    <w:tblStylePr w:type="band1Horz">
      <w:tblPr/>
      <w:tcPr>
        <w:tcBorders>
          <w:top w:val="single" w:sz="8" w:space="0" w:color="EA7200" w:themeColor="accent2"/>
          <w:left w:val="single" w:sz="8" w:space="0" w:color="EA7200" w:themeColor="accent2"/>
          <w:bottom w:val="single" w:sz="8" w:space="0" w:color="EA7200" w:themeColor="accent2"/>
          <w:right w:val="single" w:sz="8" w:space="0" w:color="EA7200" w:themeColor="accent2"/>
          <w:insideV w:val="single" w:sz="8" w:space="0" w:color="EA7200" w:themeColor="accent2"/>
        </w:tcBorders>
        <w:shd w:val="clear" w:color="auto" w:fill="FFDBBA" w:themeFill="accent2" w:themeFillTint="3F"/>
      </w:tcPr>
    </w:tblStylePr>
    <w:tblStylePr w:type="band2Horz">
      <w:tblPr/>
      <w:tcPr>
        <w:tcBorders>
          <w:top w:val="single" w:sz="8" w:space="0" w:color="EA7200" w:themeColor="accent2"/>
          <w:left w:val="single" w:sz="8" w:space="0" w:color="EA7200" w:themeColor="accent2"/>
          <w:bottom w:val="single" w:sz="8" w:space="0" w:color="EA7200" w:themeColor="accent2"/>
          <w:right w:val="single" w:sz="8" w:space="0" w:color="EA7200" w:themeColor="accent2"/>
          <w:insideV w:val="single" w:sz="8" w:space="0" w:color="EA7200"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AAE2" w:themeColor="accent5"/>
        <w:left w:val="single" w:sz="8" w:space="0" w:color="66AAE2" w:themeColor="accent5"/>
        <w:bottom w:val="single" w:sz="8" w:space="0" w:color="66AAE2" w:themeColor="accent5"/>
        <w:right w:val="single" w:sz="8" w:space="0" w:color="66AAE2" w:themeColor="accent5"/>
        <w:insideH w:val="single" w:sz="8" w:space="0" w:color="66AAE2" w:themeColor="accent5"/>
        <w:insideV w:val="single" w:sz="8" w:space="0" w:color="66AAE2"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AAE2" w:themeColor="accent5"/>
          <w:left w:val="single" w:sz="8" w:space="0" w:color="66AAE2" w:themeColor="accent5"/>
          <w:bottom w:val="single" w:sz="18" w:space="0" w:color="66AAE2" w:themeColor="accent5"/>
          <w:right w:val="single" w:sz="8" w:space="0" w:color="66AAE2" w:themeColor="accent5"/>
          <w:insideH w:val="nil"/>
          <w:insideV w:val="single" w:sz="8" w:space="0" w:color="66AAE2"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AAE2" w:themeColor="accent5"/>
          <w:left w:val="single" w:sz="8" w:space="0" w:color="66AAE2" w:themeColor="accent5"/>
          <w:bottom w:val="single" w:sz="8" w:space="0" w:color="66AAE2" w:themeColor="accent5"/>
          <w:right w:val="single" w:sz="8" w:space="0" w:color="66AAE2" w:themeColor="accent5"/>
          <w:insideH w:val="nil"/>
          <w:insideV w:val="single" w:sz="8" w:space="0" w:color="66AAE2"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AAE2" w:themeColor="accent5"/>
          <w:left w:val="single" w:sz="8" w:space="0" w:color="66AAE2" w:themeColor="accent5"/>
          <w:bottom w:val="single" w:sz="8" w:space="0" w:color="66AAE2" w:themeColor="accent5"/>
          <w:right w:val="single" w:sz="8" w:space="0" w:color="66AAE2" w:themeColor="accent5"/>
        </w:tcBorders>
      </w:tcPr>
    </w:tblStylePr>
    <w:tblStylePr w:type="band1Vert">
      <w:tblPr/>
      <w:tcPr>
        <w:tcBorders>
          <w:top w:val="single" w:sz="8" w:space="0" w:color="66AAE2" w:themeColor="accent5"/>
          <w:left w:val="single" w:sz="8" w:space="0" w:color="66AAE2" w:themeColor="accent5"/>
          <w:bottom w:val="single" w:sz="8" w:space="0" w:color="66AAE2" w:themeColor="accent5"/>
          <w:right w:val="single" w:sz="8" w:space="0" w:color="66AAE2" w:themeColor="accent5"/>
        </w:tcBorders>
        <w:shd w:val="clear" w:color="auto" w:fill="D9E9F7" w:themeFill="accent5" w:themeFillTint="3F"/>
      </w:tcPr>
    </w:tblStylePr>
    <w:tblStylePr w:type="band1Horz">
      <w:tblPr/>
      <w:tcPr>
        <w:tcBorders>
          <w:top w:val="single" w:sz="8" w:space="0" w:color="66AAE2" w:themeColor="accent5"/>
          <w:left w:val="single" w:sz="8" w:space="0" w:color="66AAE2" w:themeColor="accent5"/>
          <w:bottom w:val="single" w:sz="8" w:space="0" w:color="66AAE2" w:themeColor="accent5"/>
          <w:right w:val="single" w:sz="8" w:space="0" w:color="66AAE2" w:themeColor="accent5"/>
          <w:insideV w:val="single" w:sz="8" w:space="0" w:color="66AAE2" w:themeColor="accent5"/>
        </w:tcBorders>
        <w:shd w:val="clear" w:color="auto" w:fill="D9E9F7" w:themeFill="accent5" w:themeFillTint="3F"/>
      </w:tcPr>
    </w:tblStylePr>
    <w:tblStylePr w:type="band2Horz">
      <w:tblPr/>
      <w:tcPr>
        <w:tcBorders>
          <w:top w:val="single" w:sz="8" w:space="0" w:color="66AAE2" w:themeColor="accent5"/>
          <w:left w:val="single" w:sz="8" w:space="0" w:color="66AAE2" w:themeColor="accent5"/>
          <w:bottom w:val="single" w:sz="8" w:space="0" w:color="66AAE2" w:themeColor="accent5"/>
          <w:right w:val="single" w:sz="8" w:space="0" w:color="66AAE2" w:themeColor="accent5"/>
          <w:insideV w:val="single" w:sz="8" w:space="0" w:color="66AAE2"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F2AB66" w:themeColor="accent6"/>
        <w:left w:val="single" w:sz="8" w:space="0" w:color="F2AB66" w:themeColor="accent6"/>
        <w:bottom w:val="single" w:sz="8" w:space="0" w:color="F2AB66" w:themeColor="accent6"/>
        <w:right w:val="single" w:sz="8" w:space="0" w:color="F2AB66" w:themeColor="accent6"/>
        <w:insideH w:val="single" w:sz="8" w:space="0" w:color="F2AB66" w:themeColor="accent6"/>
        <w:insideV w:val="single" w:sz="8" w:space="0" w:color="F2AB6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2AB66" w:themeColor="accent6"/>
          <w:left w:val="single" w:sz="8" w:space="0" w:color="F2AB66" w:themeColor="accent6"/>
          <w:bottom w:val="single" w:sz="18" w:space="0" w:color="F2AB66" w:themeColor="accent6"/>
          <w:right w:val="single" w:sz="8" w:space="0" w:color="F2AB66" w:themeColor="accent6"/>
          <w:insideH w:val="nil"/>
          <w:insideV w:val="single" w:sz="8" w:space="0" w:color="F2AB6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2AB66" w:themeColor="accent6"/>
          <w:left w:val="single" w:sz="8" w:space="0" w:color="F2AB66" w:themeColor="accent6"/>
          <w:bottom w:val="single" w:sz="8" w:space="0" w:color="F2AB66" w:themeColor="accent6"/>
          <w:right w:val="single" w:sz="8" w:space="0" w:color="F2AB66" w:themeColor="accent6"/>
          <w:insideH w:val="nil"/>
          <w:insideV w:val="single" w:sz="8" w:space="0" w:color="F2AB6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2AB66" w:themeColor="accent6"/>
          <w:left w:val="single" w:sz="8" w:space="0" w:color="F2AB66" w:themeColor="accent6"/>
          <w:bottom w:val="single" w:sz="8" w:space="0" w:color="F2AB66" w:themeColor="accent6"/>
          <w:right w:val="single" w:sz="8" w:space="0" w:color="F2AB66" w:themeColor="accent6"/>
        </w:tcBorders>
      </w:tcPr>
    </w:tblStylePr>
    <w:tblStylePr w:type="band1Vert">
      <w:tblPr/>
      <w:tcPr>
        <w:tcBorders>
          <w:top w:val="single" w:sz="8" w:space="0" w:color="F2AB66" w:themeColor="accent6"/>
          <w:left w:val="single" w:sz="8" w:space="0" w:color="F2AB66" w:themeColor="accent6"/>
          <w:bottom w:val="single" w:sz="8" w:space="0" w:color="F2AB66" w:themeColor="accent6"/>
          <w:right w:val="single" w:sz="8" w:space="0" w:color="F2AB66" w:themeColor="accent6"/>
        </w:tcBorders>
        <w:shd w:val="clear" w:color="auto" w:fill="FBE9D8" w:themeFill="accent6" w:themeFillTint="3F"/>
      </w:tcPr>
    </w:tblStylePr>
    <w:tblStylePr w:type="band1Horz">
      <w:tblPr/>
      <w:tcPr>
        <w:tcBorders>
          <w:top w:val="single" w:sz="8" w:space="0" w:color="F2AB66" w:themeColor="accent6"/>
          <w:left w:val="single" w:sz="8" w:space="0" w:color="F2AB66" w:themeColor="accent6"/>
          <w:bottom w:val="single" w:sz="8" w:space="0" w:color="F2AB66" w:themeColor="accent6"/>
          <w:right w:val="single" w:sz="8" w:space="0" w:color="F2AB66" w:themeColor="accent6"/>
          <w:insideV w:val="single" w:sz="8" w:space="0" w:color="F2AB66" w:themeColor="accent6"/>
        </w:tcBorders>
        <w:shd w:val="clear" w:color="auto" w:fill="FBE9D8" w:themeFill="accent6" w:themeFillTint="3F"/>
      </w:tcPr>
    </w:tblStylePr>
    <w:tblStylePr w:type="band2Horz">
      <w:tblPr/>
      <w:tcPr>
        <w:tcBorders>
          <w:top w:val="single" w:sz="8" w:space="0" w:color="F2AB66" w:themeColor="accent6"/>
          <w:left w:val="single" w:sz="8" w:space="0" w:color="F2AB66" w:themeColor="accent6"/>
          <w:bottom w:val="single" w:sz="8" w:space="0" w:color="F2AB66" w:themeColor="accent6"/>
          <w:right w:val="single" w:sz="8" w:space="0" w:color="F2AB66" w:themeColor="accent6"/>
          <w:insideV w:val="single" w:sz="8" w:space="0" w:color="F2AB66" w:themeColor="accent6"/>
        </w:tcBorders>
      </w:tcPr>
    </w:tblStylePr>
  </w:style>
  <w:style w:type="table" w:styleId="LightList">
    <w:name w:val="Light List"/>
    <w:basedOn w:val="TableNormal"/>
    <w:uiPriority w:val="61"/>
    <w:semiHidden/>
    <w:rsid w:val="0058629F"/>
    <w:tblPr>
      <w:tblStyleRowBandSize w:val="1"/>
      <w:tblStyleColBandSize w:val="1"/>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ype="firstRow">
      <w:pPr>
        <w:spacing w:before="0" w:after="0" w:line="240" w:lineRule="auto"/>
      </w:pPr>
      <w:rPr>
        <w:b/>
        <w:bCs/>
        <w:color w:val="FFFFFF" w:themeColor="background1"/>
      </w:rPr>
      <w:tblPr/>
      <w:tcPr>
        <w:shd w:val="clear" w:color="auto" w:fill="0072CE" w:themeFill="accent1"/>
      </w:tcPr>
    </w:tblStylePr>
    <w:tblStylePr w:type="lastRow">
      <w:pPr>
        <w:spacing w:before="0" w:after="0" w:line="240" w:lineRule="auto"/>
      </w:pPr>
      <w:rPr>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tcBorders>
      </w:tcPr>
    </w:tblStylePr>
    <w:tblStylePr w:type="firstCol">
      <w:rPr>
        <w:b/>
        <w:bCs/>
      </w:rPr>
    </w:tblStylePr>
    <w:tblStylePr w:type="lastCol">
      <w:rPr>
        <w:b/>
        <w:bCs/>
      </w:r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style>
  <w:style w:type="table" w:styleId="LightList-Accent2">
    <w:name w:val="Light List Accent 2"/>
    <w:basedOn w:val="TableNormal"/>
    <w:uiPriority w:val="61"/>
    <w:semiHidden/>
    <w:rsid w:val="0058629F"/>
    <w:tblPr>
      <w:tblStyleRowBandSize w:val="1"/>
      <w:tblStyleColBandSize w:val="1"/>
    </w:tblPr>
    <w:tcPr>
      <w:tcBorders>
        <w:top w:val="single" w:sz="8" w:space="0" w:color="EA7200" w:themeColor="accent2"/>
        <w:left w:val="single" w:sz="8" w:space="0" w:color="EA7200" w:themeColor="accent2"/>
        <w:bottom w:val="single" w:sz="8" w:space="0" w:color="EA7200" w:themeColor="accent2"/>
        <w:right w:val="single" w:sz="8" w:space="0" w:color="EA7200" w:themeColor="accent2"/>
      </w:tcBorders>
    </w:tcPr>
    <w:tblStylePr w:type="firstRow">
      <w:pPr>
        <w:spacing w:before="0" w:after="0" w:line="240" w:lineRule="auto"/>
      </w:pPr>
      <w:rPr>
        <w:b/>
        <w:bCs/>
        <w:color w:val="FFFFFF" w:themeColor="background1"/>
      </w:rPr>
      <w:tblPr/>
      <w:tcPr>
        <w:shd w:val="clear" w:color="auto" w:fill="EA7200" w:themeFill="accent2"/>
      </w:tcPr>
    </w:tblStylePr>
    <w:tblStylePr w:type="lastRow">
      <w:pPr>
        <w:spacing w:before="0" w:after="0" w:line="240" w:lineRule="auto"/>
      </w:pPr>
      <w:rPr>
        <w:b/>
        <w:bCs/>
      </w:rPr>
      <w:tblPr/>
      <w:tcPr>
        <w:tcBorders>
          <w:top w:val="double" w:sz="6" w:space="0" w:color="EA7200" w:themeColor="accent2"/>
          <w:left w:val="single" w:sz="8" w:space="0" w:color="EA7200" w:themeColor="accent2"/>
          <w:bottom w:val="single" w:sz="8" w:space="0" w:color="EA7200" w:themeColor="accent2"/>
          <w:right w:val="single" w:sz="8" w:space="0" w:color="EA7200" w:themeColor="accent2"/>
        </w:tcBorders>
      </w:tcPr>
    </w:tblStylePr>
    <w:tblStylePr w:type="firstCol">
      <w:rPr>
        <w:b/>
        <w:bCs/>
      </w:rPr>
    </w:tblStylePr>
    <w:tblStylePr w:type="lastCol">
      <w:rPr>
        <w:b/>
        <w:bCs/>
      </w:rPr>
    </w:tblStylePr>
    <w:tblStylePr w:type="band1Vert">
      <w:tblPr/>
      <w:tcPr>
        <w:tcBorders>
          <w:top w:val="single" w:sz="8" w:space="0" w:color="EA7200" w:themeColor="accent2"/>
          <w:left w:val="single" w:sz="8" w:space="0" w:color="EA7200" w:themeColor="accent2"/>
          <w:bottom w:val="single" w:sz="8" w:space="0" w:color="EA7200" w:themeColor="accent2"/>
          <w:right w:val="single" w:sz="8" w:space="0" w:color="EA7200" w:themeColor="accent2"/>
        </w:tcBorders>
      </w:tcPr>
    </w:tblStylePr>
  </w:style>
  <w:style w:type="table" w:styleId="LightList-Accent3">
    <w:name w:val="Light List Accent 3"/>
    <w:basedOn w:val="TableNormal"/>
    <w:uiPriority w:val="61"/>
    <w:semiHidden/>
    <w:rsid w:val="0058629F"/>
    <w:tblPr>
      <w:tblStyleRowBandSize w:val="1"/>
      <w:tblStyleColBandSize w:val="1"/>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Pr>
    <w:tcPr>
      <w:tcBorders>
        <w:top w:val="single" w:sz="8" w:space="0" w:color="66AAE2" w:themeColor="accent5"/>
        <w:left w:val="single" w:sz="8" w:space="0" w:color="66AAE2" w:themeColor="accent5"/>
        <w:bottom w:val="single" w:sz="8" w:space="0" w:color="66AAE2" w:themeColor="accent5"/>
        <w:right w:val="single" w:sz="8" w:space="0" w:color="66AAE2" w:themeColor="accent5"/>
      </w:tcBorders>
    </w:tcPr>
    <w:tblStylePr w:type="firstRow">
      <w:pPr>
        <w:spacing w:before="0" w:after="0" w:line="240" w:lineRule="auto"/>
      </w:pPr>
      <w:rPr>
        <w:b/>
        <w:bCs/>
        <w:color w:val="FFFFFF" w:themeColor="background1"/>
      </w:rPr>
      <w:tblPr/>
      <w:tcPr>
        <w:shd w:val="clear" w:color="auto" w:fill="66AAE2" w:themeFill="accent5"/>
      </w:tcPr>
    </w:tblStylePr>
    <w:tblStylePr w:type="lastRow">
      <w:pPr>
        <w:spacing w:before="0" w:after="0" w:line="240" w:lineRule="auto"/>
      </w:pPr>
      <w:rPr>
        <w:b/>
        <w:bCs/>
      </w:rPr>
      <w:tblPr/>
      <w:tcPr>
        <w:tcBorders>
          <w:top w:val="double" w:sz="6" w:space="0" w:color="66AAE2" w:themeColor="accent5"/>
          <w:left w:val="single" w:sz="8" w:space="0" w:color="66AAE2" w:themeColor="accent5"/>
          <w:bottom w:val="single" w:sz="8" w:space="0" w:color="66AAE2" w:themeColor="accent5"/>
          <w:right w:val="single" w:sz="8" w:space="0" w:color="66AAE2" w:themeColor="accent5"/>
        </w:tcBorders>
      </w:tcPr>
    </w:tblStylePr>
    <w:tblStylePr w:type="firstCol">
      <w:rPr>
        <w:b/>
        <w:bCs/>
      </w:rPr>
    </w:tblStylePr>
    <w:tblStylePr w:type="lastCol">
      <w:rPr>
        <w:b/>
        <w:bCs/>
      </w:rPr>
    </w:tblStylePr>
    <w:tblStylePr w:type="band1Vert">
      <w:tblPr/>
      <w:tcPr>
        <w:tcBorders>
          <w:top w:val="single" w:sz="8" w:space="0" w:color="66AAE2" w:themeColor="accent5"/>
          <w:left w:val="single" w:sz="8" w:space="0" w:color="66AAE2" w:themeColor="accent5"/>
          <w:bottom w:val="single" w:sz="8" w:space="0" w:color="66AAE2" w:themeColor="accent5"/>
          <w:right w:val="single" w:sz="8" w:space="0" w:color="66AAE2" w:themeColor="accent5"/>
        </w:tcBorders>
      </w:tcPr>
    </w:tblStylePr>
  </w:style>
  <w:style w:type="table" w:styleId="LightList-Accent6">
    <w:name w:val="Light List Accent 6"/>
    <w:basedOn w:val="TableNormal"/>
    <w:uiPriority w:val="61"/>
    <w:semiHidden/>
    <w:rsid w:val="0058629F"/>
    <w:tblPr>
      <w:tblStyleRowBandSize w:val="1"/>
      <w:tblStyleColBandSize w:val="1"/>
    </w:tblPr>
    <w:tcPr>
      <w:tcBorders>
        <w:top w:val="single" w:sz="8" w:space="0" w:color="F2AB66" w:themeColor="accent6"/>
        <w:left w:val="single" w:sz="8" w:space="0" w:color="F2AB66" w:themeColor="accent6"/>
        <w:bottom w:val="single" w:sz="8" w:space="0" w:color="F2AB66" w:themeColor="accent6"/>
        <w:right w:val="single" w:sz="8" w:space="0" w:color="F2AB66" w:themeColor="accent6"/>
      </w:tcBorders>
    </w:tcPr>
    <w:tblStylePr w:type="firstRow">
      <w:pPr>
        <w:spacing w:before="0" w:after="0" w:line="240" w:lineRule="auto"/>
      </w:pPr>
      <w:rPr>
        <w:b/>
        <w:bCs/>
        <w:color w:val="FFFFFF" w:themeColor="background1"/>
      </w:rPr>
      <w:tblPr/>
      <w:tcPr>
        <w:shd w:val="clear" w:color="auto" w:fill="F2AB66" w:themeFill="accent6"/>
      </w:tcPr>
    </w:tblStylePr>
    <w:tblStylePr w:type="lastRow">
      <w:pPr>
        <w:spacing w:before="0" w:after="0" w:line="240" w:lineRule="auto"/>
      </w:pPr>
      <w:rPr>
        <w:b/>
        <w:bCs/>
      </w:rPr>
      <w:tblPr/>
      <w:tcPr>
        <w:tcBorders>
          <w:top w:val="double" w:sz="6" w:space="0" w:color="F2AB66" w:themeColor="accent6"/>
          <w:left w:val="single" w:sz="8" w:space="0" w:color="F2AB66" w:themeColor="accent6"/>
          <w:bottom w:val="single" w:sz="8" w:space="0" w:color="F2AB66" w:themeColor="accent6"/>
          <w:right w:val="single" w:sz="8" w:space="0" w:color="F2AB66" w:themeColor="accent6"/>
        </w:tcBorders>
      </w:tcPr>
    </w:tblStylePr>
    <w:tblStylePr w:type="firstCol">
      <w:rPr>
        <w:b/>
        <w:bCs/>
      </w:rPr>
    </w:tblStylePr>
    <w:tblStylePr w:type="lastCol">
      <w:rPr>
        <w:b/>
        <w:bCs/>
      </w:rPr>
    </w:tblStylePr>
    <w:tblStylePr w:type="band1Vert">
      <w:tblPr/>
      <w:tcPr>
        <w:tcBorders>
          <w:top w:val="single" w:sz="8" w:space="0" w:color="F2AB66" w:themeColor="accent6"/>
          <w:left w:val="single" w:sz="8" w:space="0" w:color="F2AB66" w:themeColor="accent6"/>
          <w:bottom w:val="single" w:sz="8" w:space="0" w:color="F2AB66" w:themeColor="accent6"/>
          <w:right w:val="single" w:sz="8" w:space="0" w:color="F2AB66" w:themeColor="accent6"/>
        </w:tcBorders>
      </w:tcPr>
    </w:tblStylePr>
  </w:style>
  <w:style w:type="table" w:styleId="LightShading">
    <w:name w:val="Light Shading"/>
    <w:basedOn w:val="TableNormal"/>
    <w:uiPriority w:val="60"/>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559A" w:themeColor="accent1" w:themeShade="BF"/>
    </w:rPr>
    <w:tblPr>
      <w:tblStyleRowBandSize w:val="1"/>
      <w:tblStyleColBandSize w:val="1"/>
      <w:tblBorders>
        <w:top w:val="single" w:sz="8" w:space="0" w:color="0072CE" w:themeColor="accent1"/>
        <w:bottom w:val="single" w:sz="8" w:space="0" w:color="0072CE" w:themeColor="accent1"/>
      </w:tblBorders>
    </w:tblPr>
    <w:tblStylePr w:type="fir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la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left w:val="nil"/>
          <w:right w:val="nil"/>
          <w:insideH w:val="nil"/>
          <w:insideV w:val="nil"/>
        </w:tcBorders>
        <w:shd w:val="clear" w:color="auto" w:fill="B3DDFF" w:themeFill="accent1" w:themeFillTint="3F"/>
      </w:tcPr>
    </w:tblStylePr>
  </w:style>
  <w:style w:type="table" w:styleId="LightShading-Accent2">
    <w:name w:val="Light Shading Accent 2"/>
    <w:basedOn w:val="TableNormal"/>
    <w:uiPriority w:val="60"/>
    <w:semiHidden/>
    <w:rsid w:val="0058629F"/>
    <w:rPr>
      <w:color w:val="AF5500" w:themeColor="accent2" w:themeShade="BF"/>
    </w:rPr>
    <w:tblPr>
      <w:tblStyleRowBandSize w:val="1"/>
      <w:tblStyleColBandSize w:val="1"/>
      <w:tblBorders>
        <w:top w:val="single" w:sz="8" w:space="0" w:color="EA7200" w:themeColor="accent2"/>
        <w:bottom w:val="single" w:sz="8" w:space="0" w:color="EA7200" w:themeColor="accent2"/>
      </w:tblBorders>
    </w:tblPr>
    <w:tblStylePr w:type="firstRow">
      <w:pPr>
        <w:spacing w:before="0" w:after="0" w:line="240" w:lineRule="auto"/>
      </w:pPr>
      <w:rPr>
        <w:b/>
        <w:bCs/>
      </w:rPr>
      <w:tblPr/>
      <w:tcPr>
        <w:tcBorders>
          <w:top w:val="single" w:sz="8" w:space="0" w:color="EA7200" w:themeColor="accent2"/>
          <w:left w:val="nil"/>
          <w:bottom w:val="single" w:sz="8" w:space="0" w:color="EA7200" w:themeColor="accent2"/>
          <w:right w:val="nil"/>
          <w:insideH w:val="nil"/>
          <w:insideV w:val="nil"/>
        </w:tcBorders>
      </w:tcPr>
    </w:tblStylePr>
    <w:tblStylePr w:type="lastRow">
      <w:pPr>
        <w:spacing w:before="0" w:after="0" w:line="240" w:lineRule="auto"/>
      </w:pPr>
      <w:rPr>
        <w:b/>
        <w:bCs/>
      </w:rPr>
      <w:tblPr/>
      <w:tcPr>
        <w:tcBorders>
          <w:top w:val="single" w:sz="8" w:space="0" w:color="EA7200" w:themeColor="accent2"/>
          <w:left w:val="nil"/>
          <w:bottom w:val="single" w:sz="8" w:space="0" w:color="EA72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BBA" w:themeFill="accent2" w:themeFillTint="3F"/>
      </w:tcPr>
    </w:tblStylePr>
    <w:tblStylePr w:type="band1Horz">
      <w:tblPr/>
      <w:tcPr>
        <w:tcBorders>
          <w:left w:val="nil"/>
          <w:right w:val="nil"/>
          <w:insideH w:val="nil"/>
          <w:insideV w:val="nil"/>
        </w:tcBorders>
        <w:shd w:val="clear" w:color="auto" w:fill="FFDBBA"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2782CE" w:themeColor="accent5" w:themeShade="BF"/>
    </w:rPr>
    <w:tblPr>
      <w:tblStyleRowBandSize w:val="1"/>
      <w:tblStyleColBandSize w:val="1"/>
      <w:tblBorders>
        <w:top w:val="single" w:sz="8" w:space="0" w:color="66AAE2" w:themeColor="accent5"/>
        <w:bottom w:val="single" w:sz="8" w:space="0" w:color="66AAE2" w:themeColor="accent5"/>
      </w:tblBorders>
    </w:tblPr>
    <w:tblStylePr w:type="firstRow">
      <w:pPr>
        <w:spacing w:before="0" w:after="0" w:line="240" w:lineRule="auto"/>
      </w:pPr>
      <w:rPr>
        <w:b/>
        <w:bCs/>
      </w:rPr>
      <w:tblPr/>
      <w:tcPr>
        <w:tcBorders>
          <w:top w:val="single" w:sz="8" w:space="0" w:color="66AAE2" w:themeColor="accent5"/>
          <w:left w:val="nil"/>
          <w:bottom w:val="single" w:sz="8" w:space="0" w:color="66AAE2" w:themeColor="accent5"/>
          <w:right w:val="nil"/>
          <w:insideH w:val="nil"/>
          <w:insideV w:val="nil"/>
        </w:tcBorders>
      </w:tcPr>
    </w:tblStylePr>
    <w:tblStylePr w:type="lastRow">
      <w:pPr>
        <w:spacing w:before="0" w:after="0" w:line="240" w:lineRule="auto"/>
      </w:pPr>
      <w:rPr>
        <w:b/>
        <w:bCs/>
      </w:rPr>
      <w:tblPr/>
      <w:tcPr>
        <w:tcBorders>
          <w:top w:val="single" w:sz="8" w:space="0" w:color="66AAE2" w:themeColor="accent5"/>
          <w:left w:val="nil"/>
          <w:bottom w:val="single" w:sz="8" w:space="0" w:color="66AAE2"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9F7" w:themeFill="accent5" w:themeFillTint="3F"/>
      </w:tcPr>
    </w:tblStylePr>
    <w:tblStylePr w:type="band1Horz">
      <w:tblPr/>
      <w:tcPr>
        <w:tcBorders>
          <w:left w:val="nil"/>
          <w:right w:val="nil"/>
          <w:insideH w:val="nil"/>
          <w:insideV w:val="nil"/>
        </w:tcBorders>
        <w:shd w:val="clear" w:color="auto" w:fill="D9E9F7" w:themeFill="accent5" w:themeFillTint="3F"/>
      </w:tcPr>
    </w:tblStylePr>
  </w:style>
  <w:style w:type="table" w:styleId="LightShading-Accent6">
    <w:name w:val="Light Shading Accent 6"/>
    <w:basedOn w:val="TableNormal"/>
    <w:uiPriority w:val="60"/>
    <w:semiHidden/>
    <w:rsid w:val="0058629F"/>
    <w:rPr>
      <w:color w:val="EB7E16" w:themeColor="accent6" w:themeShade="BF"/>
    </w:rPr>
    <w:tblPr>
      <w:tblStyleRowBandSize w:val="1"/>
      <w:tblStyleColBandSize w:val="1"/>
      <w:tblBorders>
        <w:top w:val="single" w:sz="8" w:space="0" w:color="F2AB66" w:themeColor="accent6"/>
        <w:bottom w:val="single" w:sz="8" w:space="0" w:color="F2AB66" w:themeColor="accent6"/>
      </w:tblBorders>
    </w:tblPr>
    <w:tblStylePr w:type="firstRow">
      <w:pPr>
        <w:spacing w:before="0" w:after="0" w:line="240" w:lineRule="auto"/>
      </w:pPr>
      <w:rPr>
        <w:b/>
        <w:bCs/>
      </w:rPr>
      <w:tblPr/>
      <w:tcPr>
        <w:tcBorders>
          <w:top w:val="single" w:sz="8" w:space="0" w:color="F2AB66" w:themeColor="accent6"/>
          <w:left w:val="nil"/>
          <w:bottom w:val="single" w:sz="8" w:space="0" w:color="F2AB66" w:themeColor="accent6"/>
          <w:right w:val="nil"/>
          <w:insideH w:val="nil"/>
          <w:insideV w:val="nil"/>
        </w:tcBorders>
      </w:tcPr>
    </w:tblStylePr>
    <w:tblStylePr w:type="lastRow">
      <w:pPr>
        <w:spacing w:before="0" w:after="0" w:line="240" w:lineRule="auto"/>
      </w:pPr>
      <w:rPr>
        <w:b/>
        <w:bCs/>
      </w:rPr>
      <w:tblPr/>
      <w:tcPr>
        <w:tcBorders>
          <w:top w:val="single" w:sz="8" w:space="0" w:color="F2AB66" w:themeColor="accent6"/>
          <w:left w:val="nil"/>
          <w:bottom w:val="single" w:sz="8" w:space="0" w:color="F2AB6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E9D8" w:themeFill="accent6" w:themeFillTint="3F"/>
      </w:tcPr>
    </w:tblStylePr>
    <w:tblStylePr w:type="band1Horz">
      <w:tblPr/>
      <w:tcPr>
        <w:tcBorders>
          <w:left w:val="nil"/>
          <w:right w:val="nil"/>
          <w:insideH w:val="nil"/>
          <w:insideV w:val="nil"/>
        </w:tcBorders>
        <w:shd w:val="clear" w:color="auto" w:fill="FBE9D8"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48ADFF" w:themeColor="accent1" w:themeTint="99"/>
        </w:tcBorders>
      </w:tcPr>
    </w:tblStylePr>
    <w:tblStylePr w:type="lastRow">
      <w:rPr>
        <w:b/>
        <w:bCs/>
      </w:rPr>
      <w:tblPr/>
      <w:tcPr>
        <w:tcBorders>
          <w:top w:val="sing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FFA959" w:themeColor="accent2" w:themeTint="99"/>
        </w:tcBorders>
      </w:tcPr>
    </w:tblStylePr>
    <w:tblStylePr w:type="lastRow">
      <w:rPr>
        <w:b/>
        <w:bCs/>
      </w:rPr>
      <w:tblPr/>
      <w:tcPr>
        <w:tcBorders>
          <w:top w:val="single" w:sz="4" w:space="0" w:color="FFA959" w:themeColor="accent2" w:themeTint="99"/>
        </w:tcBorders>
      </w:tcPr>
    </w:tblStylePr>
    <w:tblStylePr w:type="firstCol">
      <w:rPr>
        <w:b/>
        <w:bCs/>
      </w:rPr>
    </w:tblStylePr>
    <w:tblStylePr w:type="lastCol">
      <w:rPr>
        <w:b/>
        <w:bCs/>
      </w:rPr>
    </w:tblStylePr>
    <w:tblStylePr w:type="band1Vert">
      <w:tblPr/>
      <w:tcPr>
        <w:shd w:val="clear" w:color="auto" w:fill="FFE2C7" w:themeFill="accent2" w:themeFillTint="33"/>
      </w:tcPr>
    </w:tblStylePr>
    <w:tblStylePr w:type="band1Horz">
      <w:tblPr/>
      <w:tcPr>
        <w:shd w:val="clear" w:color="auto" w:fill="FFE2C7"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CBED" w:themeColor="accent5" w:themeTint="99"/>
        </w:tcBorders>
      </w:tcPr>
    </w:tblStylePr>
    <w:tblStylePr w:type="lastRow">
      <w:rPr>
        <w:b/>
        <w:bCs/>
      </w:rPr>
      <w:tblPr/>
      <w:tcPr>
        <w:tcBorders>
          <w:top w:val="single" w:sz="4" w:space="0" w:color="A3CBED" w:themeColor="accent5" w:themeTint="99"/>
        </w:tcBorders>
      </w:tcPr>
    </w:tblStylePr>
    <w:tblStylePr w:type="firstCol">
      <w:rPr>
        <w:b/>
        <w:bCs/>
      </w:rPr>
    </w:tblStylePr>
    <w:tblStylePr w:type="lastCol">
      <w:rPr>
        <w:b/>
        <w:bCs/>
      </w:rPr>
    </w:tblStylePr>
    <w:tblStylePr w:type="band1Vert">
      <w:tblPr/>
      <w:tcPr>
        <w:shd w:val="clear" w:color="auto" w:fill="E0EDF9" w:themeFill="accent5" w:themeFillTint="33"/>
      </w:tcPr>
    </w:tblStylePr>
    <w:tblStylePr w:type="band1Horz">
      <w:tblPr/>
      <w:tcPr>
        <w:shd w:val="clear" w:color="auto" w:fill="E0EDF9"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F7CCA3" w:themeColor="accent6" w:themeTint="99"/>
        </w:tcBorders>
      </w:tcPr>
    </w:tblStylePr>
    <w:tblStylePr w:type="lastRow">
      <w:rPr>
        <w:b/>
        <w:bCs/>
      </w:rPr>
      <w:tblPr/>
      <w:tcPr>
        <w:tcBorders>
          <w:top w:val="single" w:sz="4" w:space="0" w:color="F7CCA3" w:themeColor="accent6" w:themeTint="99"/>
        </w:tcBorders>
      </w:tcPr>
    </w:tblStylePr>
    <w:tblStylePr w:type="firstCol">
      <w:rPr>
        <w:b/>
        <w:bCs/>
      </w:rPr>
    </w:tblStylePr>
    <w:tblStylePr w:type="lastCol">
      <w:rPr>
        <w:b/>
        <w:bCs/>
      </w:rPr>
    </w:tblStylePr>
    <w:tblStylePr w:type="band1Vert">
      <w:tblPr/>
      <w:tcPr>
        <w:shd w:val="clear" w:color="auto" w:fill="FCEEE0" w:themeFill="accent6" w:themeFillTint="33"/>
      </w:tcPr>
    </w:tblStylePr>
    <w:tblStylePr w:type="band1Horz">
      <w:tblPr/>
      <w:tcPr>
        <w:shd w:val="clear" w:color="auto" w:fill="FCEEE0" w:themeFill="accent6" w:themeFillTint="33"/>
      </w:tcPr>
    </w:tblStylePr>
  </w:style>
  <w:style w:type="table" w:styleId="ListTable2">
    <w:name w:val="List Table 2"/>
    <w:basedOn w:val="TableNormal"/>
    <w:uiPriority w:val="47"/>
    <w:semiHidden/>
    <w:rsid w:val="0058629F"/>
    <w:tblPr>
      <w:tblStyleRowBandSize w:val="1"/>
      <w:tblStyleColBandSize w:val="1"/>
    </w:tblPr>
    <w:tcPr>
      <w:shd w:val="clear" w:color="auto" w:fill="D3D2D2" w:themeFill="text1" w:themeFillTint="33"/>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Pr>
    <w:tcPr>
      <w:shd w:val="clear" w:color="auto" w:fill="C2E3FF" w:themeFill="accent1" w:themeFillTint="33"/>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3FF" w:themeFill="accent1" w:themeFillTint="33"/>
      </w:tcPr>
    </w:tblStylePr>
  </w:style>
  <w:style w:type="table" w:styleId="ListTable2-Accent2">
    <w:name w:val="List Table 2 Accent 2"/>
    <w:basedOn w:val="TableNormal"/>
    <w:uiPriority w:val="47"/>
    <w:semiHidden/>
    <w:rsid w:val="0058629F"/>
    <w:tblPr>
      <w:tblStyleRowBandSize w:val="1"/>
      <w:tblStyleColBandSize w:val="1"/>
    </w:tblPr>
    <w:tcPr>
      <w:shd w:val="clear" w:color="auto" w:fill="FFE2C7" w:themeFill="accent2" w:themeFillTint="33"/>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2C7" w:themeFill="accent2" w:themeFillTint="33"/>
      </w:tcPr>
    </w:tblStylePr>
  </w:style>
  <w:style w:type="table" w:styleId="ListTable2-Accent3">
    <w:name w:val="List Table 2 Accent 3"/>
    <w:basedOn w:val="TableNormal"/>
    <w:uiPriority w:val="47"/>
    <w:semiHidden/>
    <w:rsid w:val="0058629F"/>
    <w:tblPr>
      <w:tblStyleRowBandSize w:val="1"/>
      <w:tblStyleColBandSize w:val="1"/>
    </w:tblPr>
    <w:tcPr>
      <w:shd w:val="clear" w:color="auto" w:fill="BCFFFB" w:themeFill="accent3" w:themeFillTint="33"/>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Pr>
    <w:tcPr>
      <w:shd w:val="clear" w:color="auto" w:fill="C8BEEC" w:themeFill="accent4" w:themeFillTint="33"/>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Pr>
    <w:tcPr>
      <w:shd w:val="clear" w:color="auto" w:fill="E0EDF9" w:themeFill="accent5" w:themeFillTint="33"/>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DF9" w:themeFill="accent5" w:themeFillTint="33"/>
      </w:tcPr>
    </w:tblStylePr>
  </w:style>
  <w:style w:type="table" w:styleId="ListTable2-Accent6">
    <w:name w:val="List Table 2 Accent 6"/>
    <w:basedOn w:val="TableNormal"/>
    <w:uiPriority w:val="47"/>
    <w:semiHidden/>
    <w:rsid w:val="0058629F"/>
    <w:tblPr>
      <w:tblStyleRowBandSize w:val="1"/>
      <w:tblStyleColBandSize w:val="1"/>
    </w:tblPr>
    <w:tcPr>
      <w:shd w:val="clear" w:color="auto" w:fill="FCEEE0" w:themeFill="accent6" w:themeFillTint="33"/>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EEE0"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72CE" w:themeColor="accent1"/>
        <w:left w:val="single" w:sz="4" w:space="0" w:color="0072CE" w:themeColor="accent1"/>
        <w:bottom w:val="single" w:sz="4" w:space="0" w:color="0072CE" w:themeColor="accent1"/>
        <w:right w:val="single" w:sz="4" w:space="0" w:color="0072CE" w:themeColor="accent1"/>
      </w:tblBorders>
    </w:tblPr>
    <w:tblStylePr w:type="firstRow">
      <w:rPr>
        <w:b/>
        <w:bCs/>
        <w:color w:val="FFFFFF" w:themeColor="background1"/>
      </w:rPr>
      <w:tblPr/>
      <w:tcPr>
        <w:shd w:val="clear" w:color="auto" w:fill="0072CE" w:themeFill="accent1"/>
      </w:tcPr>
    </w:tblStylePr>
    <w:tblStylePr w:type="lastRow">
      <w:rPr>
        <w:b/>
        <w:bCs/>
      </w:rPr>
      <w:tblPr/>
      <w:tcPr>
        <w:tcBorders>
          <w:top w:val="double" w:sz="4" w:space="0" w:color="0072C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CE" w:themeColor="accent1"/>
          <w:right w:val="single" w:sz="4" w:space="0" w:color="0072CE" w:themeColor="accent1"/>
        </w:tcBorders>
      </w:tcPr>
    </w:tblStylePr>
    <w:tblStylePr w:type="band1Horz">
      <w:tblPr/>
      <w:tcPr>
        <w:tcBorders>
          <w:top w:val="single" w:sz="4" w:space="0" w:color="0072CE" w:themeColor="accent1"/>
          <w:bottom w:val="single" w:sz="4" w:space="0" w:color="0072C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CE" w:themeColor="accent1"/>
          <w:left w:val="nil"/>
        </w:tcBorders>
      </w:tcPr>
    </w:tblStylePr>
    <w:tblStylePr w:type="swCell">
      <w:tblPr/>
      <w:tcPr>
        <w:tcBorders>
          <w:top w:val="double" w:sz="4" w:space="0" w:color="0072CE"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EA7200" w:themeColor="accent2"/>
        <w:left w:val="single" w:sz="4" w:space="0" w:color="EA7200" w:themeColor="accent2"/>
        <w:bottom w:val="single" w:sz="4" w:space="0" w:color="EA7200" w:themeColor="accent2"/>
        <w:right w:val="single" w:sz="4" w:space="0" w:color="EA7200" w:themeColor="accent2"/>
      </w:tblBorders>
    </w:tblPr>
    <w:tblStylePr w:type="firstRow">
      <w:rPr>
        <w:b/>
        <w:bCs/>
        <w:color w:val="FFFFFF" w:themeColor="background1"/>
      </w:rPr>
      <w:tblPr/>
      <w:tcPr>
        <w:shd w:val="clear" w:color="auto" w:fill="EA7200" w:themeFill="accent2"/>
      </w:tcPr>
    </w:tblStylePr>
    <w:tblStylePr w:type="lastRow">
      <w:rPr>
        <w:b/>
        <w:bCs/>
      </w:rPr>
      <w:tblPr/>
      <w:tcPr>
        <w:tcBorders>
          <w:top w:val="double" w:sz="4" w:space="0" w:color="EA72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A7200" w:themeColor="accent2"/>
          <w:right w:val="single" w:sz="4" w:space="0" w:color="EA7200" w:themeColor="accent2"/>
        </w:tcBorders>
      </w:tcPr>
    </w:tblStylePr>
    <w:tblStylePr w:type="band1Horz">
      <w:tblPr/>
      <w:tcPr>
        <w:tcBorders>
          <w:top w:val="single" w:sz="4" w:space="0" w:color="EA7200" w:themeColor="accent2"/>
          <w:bottom w:val="single" w:sz="4" w:space="0" w:color="EA72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A7200" w:themeColor="accent2"/>
          <w:left w:val="nil"/>
        </w:tcBorders>
      </w:tcPr>
    </w:tblStylePr>
    <w:tblStylePr w:type="swCell">
      <w:tblPr/>
      <w:tcPr>
        <w:tcBorders>
          <w:top w:val="double" w:sz="4" w:space="0" w:color="EA7200"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AAE2" w:themeColor="accent5"/>
        <w:left w:val="single" w:sz="4" w:space="0" w:color="66AAE2" w:themeColor="accent5"/>
        <w:bottom w:val="single" w:sz="4" w:space="0" w:color="66AAE2" w:themeColor="accent5"/>
        <w:right w:val="single" w:sz="4" w:space="0" w:color="66AAE2" w:themeColor="accent5"/>
      </w:tblBorders>
    </w:tblPr>
    <w:tblStylePr w:type="firstRow">
      <w:rPr>
        <w:b/>
        <w:bCs/>
        <w:color w:val="FFFFFF" w:themeColor="background1"/>
      </w:rPr>
      <w:tblPr/>
      <w:tcPr>
        <w:shd w:val="clear" w:color="auto" w:fill="66AAE2" w:themeFill="accent5"/>
      </w:tcPr>
    </w:tblStylePr>
    <w:tblStylePr w:type="lastRow">
      <w:rPr>
        <w:b/>
        <w:bCs/>
      </w:rPr>
      <w:tblPr/>
      <w:tcPr>
        <w:tcBorders>
          <w:top w:val="double" w:sz="4" w:space="0" w:color="66AAE2"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AAE2" w:themeColor="accent5"/>
          <w:right w:val="single" w:sz="4" w:space="0" w:color="66AAE2" w:themeColor="accent5"/>
        </w:tcBorders>
      </w:tcPr>
    </w:tblStylePr>
    <w:tblStylePr w:type="band1Horz">
      <w:tblPr/>
      <w:tcPr>
        <w:tcBorders>
          <w:top w:val="single" w:sz="4" w:space="0" w:color="66AAE2" w:themeColor="accent5"/>
          <w:bottom w:val="single" w:sz="4" w:space="0" w:color="66AAE2"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AAE2" w:themeColor="accent5"/>
          <w:left w:val="nil"/>
        </w:tcBorders>
      </w:tcPr>
    </w:tblStylePr>
    <w:tblStylePr w:type="swCell">
      <w:tblPr/>
      <w:tcPr>
        <w:tcBorders>
          <w:top w:val="double" w:sz="4" w:space="0" w:color="66AAE2"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F2AB66" w:themeColor="accent6"/>
        <w:left w:val="single" w:sz="4" w:space="0" w:color="F2AB66" w:themeColor="accent6"/>
        <w:bottom w:val="single" w:sz="4" w:space="0" w:color="F2AB66" w:themeColor="accent6"/>
        <w:right w:val="single" w:sz="4" w:space="0" w:color="F2AB66" w:themeColor="accent6"/>
      </w:tblBorders>
    </w:tblPr>
    <w:tblStylePr w:type="firstRow">
      <w:rPr>
        <w:b/>
        <w:bCs/>
        <w:color w:val="FFFFFF" w:themeColor="background1"/>
      </w:rPr>
      <w:tblPr/>
      <w:tcPr>
        <w:shd w:val="clear" w:color="auto" w:fill="F2AB66" w:themeFill="accent6"/>
      </w:tcPr>
    </w:tblStylePr>
    <w:tblStylePr w:type="lastRow">
      <w:rPr>
        <w:b/>
        <w:bCs/>
      </w:rPr>
      <w:tblPr/>
      <w:tcPr>
        <w:tcBorders>
          <w:top w:val="double" w:sz="4" w:space="0" w:color="F2AB6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2AB66" w:themeColor="accent6"/>
          <w:right w:val="single" w:sz="4" w:space="0" w:color="F2AB66" w:themeColor="accent6"/>
        </w:tcBorders>
      </w:tcPr>
    </w:tblStylePr>
    <w:tblStylePr w:type="band1Horz">
      <w:tblPr/>
      <w:tcPr>
        <w:tcBorders>
          <w:top w:val="single" w:sz="4" w:space="0" w:color="F2AB66" w:themeColor="accent6"/>
          <w:bottom w:val="single" w:sz="4" w:space="0" w:color="F2AB6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2AB66" w:themeColor="accent6"/>
          <w:left w:val="nil"/>
        </w:tcBorders>
      </w:tcPr>
    </w:tblStylePr>
    <w:tblStylePr w:type="swCell">
      <w:tblPr/>
      <w:tcPr>
        <w:tcBorders>
          <w:top w:val="double" w:sz="4" w:space="0" w:color="F2AB66"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tcBorders>
        <w:shd w:val="clear" w:color="auto" w:fill="0072CE" w:themeFill="accent1"/>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FFA959" w:themeColor="accent2" w:themeTint="99"/>
        <w:left w:val="single" w:sz="4" w:space="0" w:color="FFA959" w:themeColor="accent2" w:themeTint="99"/>
        <w:bottom w:val="single" w:sz="4" w:space="0" w:color="FFA959" w:themeColor="accent2" w:themeTint="99"/>
        <w:right w:val="single" w:sz="4" w:space="0" w:color="FFA959" w:themeColor="accent2" w:themeTint="99"/>
        <w:insideH w:val="single" w:sz="4" w:space="0" w:color="FFA959" w:themeColor="accent2" w:themeTint="99"/>
      </w:tblBorders>
    </w:tblPr>
    <w:tblStylePr w:type="firstRow">
      <w:rPr>
        <w:b/>
        <w:bCs/>
        <w:color w:val="FFFFFF" w:themeColor="background1"/>
      </w:rPr>
      <w:tblPr/>
      <w:tcPr>
        <w:tcBorders>
          <w:top w:val="single" w:sz="4" w:space="0" w:color="EA7200" w:themeColor="accent2"/>
          <w:left w:val="single" w:sz="4" w:space="0" w:color="EA7200" w:themeColor="accent2"/>
          <w:bottom w:val="single" w:sz="4" w:space="0" w:color="EA7200" w:themeColor="accent2"/>
          <w:right w:val="single" w:sz="4" w:space="0" w:color="EA7200" w:themeColor="accent2"/>
          <w:insideH w:val="nil"/>
        </w:tcBorders>
        <w:shd w:val="clear" w:color="auto" w:fill="EA7200" w:themeFill="accent2"/>
      </w:tcPr>
    </w:tblStylePr>
    <w:tblStylePr w:type="lastRow">
      <w:rPr>
        <w:b/>
        <w:bCs/>
      </w:rPr>
      <w:tblPr/>
      <w:tcPr>
        <w:tcBorders>
          <w:top w:val="double" w:sz="4" w:space="0" w:color="FFA959" w:themeColor="accent2" w:themeTint="99"/>
        </w:tcBorders>
      </w:tcPr>
    </w:tblStylePr>
    <w:tblStylePr w:type="firstCol">
      <w:rPr>
        <w:b/>
        <w:bCs/>
      </w:rPr>
    </w:tblStylePr>
    <w:tblStylePr w:type="lastCol">
      <w:rPr>
        <w:b/>
        <w:bCs/>
      </w:rPr>
    </w:tblStylePr>
    <w:tblStylePr w:type="band1Vert">
      <w:tblPr/>
      <w:tcPr>
        <w:shd w:val="clear" w:color="auto" w:fill="FFE2C7" w:themeFill="accent2" w:themeFillTint="33"/>
      </w:tcPr>
    </w:tblStylePr>
    <w:tblStylePr w:type="band1Horz">
      <w:tblPr/>
      <w:tcPr>
        <w:shd w:val="clear" w:color="auto" w:fill="FFE2C7"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CBED" w:themeColor="accent5" w:themeTint="99"/>
        <w:left w:val="single" w:sz="4" w:space="0" w:color="A3CBED" w:themeColor="accent5" w:themeTint="99"/>
        <w:bottom w:val="single" w:sz="4" w:space="0" w:color="A3CBED" w:themeColor="accent5" w:themeTint="99"/>
        <w:right w:val="single" w:sz="4" w:space="0" w:color="A3CBED" w:themeColor="accent5" w:themeTint="99"/>
        <w:insideH w:val="single" w:sz="4" w:space="0" w:color="A3CBED" w:themeColor="accent5" w:themeTint="99"/>
      </w:tblBorders>
    </w:tblPr>
    <w:tblStylePr w:type="firstRow">
      <w:rPr>
        <w:b/>
        <w:bCs/>
        <w:color w:val="FFFFFF" w:themeColor="background1"/>
      </w:rPr>
      <w:tblPr/>
      <w:tcPr>
        <w:tcBorders>
          <w:top w:val="single" w:sz="4" w:space="0" w:color="66AAE2" w:themeColor="accent5"/>
          <w:left w:val="single" w:sz="4" w:space="0" w:color="66AAE2" w:themeColor="accent5"/>
          <w:bottom w:val="single" w:sz="4" w:space="0" w:color="66AAE2" w:themeColor="accent5"/>
          <w:right w:val="single" w:sz="4" w:space="0" w:color="66AAE2" w:themeColor="accent5"/>
          <w:insideH w:val="nil"/>
        </w:tcBorders>
        <w:shd w:val="clear" w:color="auto" w:fill="66AAE2" w:themeFill="accent5"/>
      </w:tcPr>
    </w:tblStylePr>
    <w:tblStylePr w:type="lastRow">
      <w:rPr>
        <w:b/>
        <w:bCs/>
      </w:rPr>
      <w:tblPr/>
      <w:tcPr>
        <w:tcBorders>
          <w:top w:val="double" w:sz="4" w:space="0" w:color="A3CBED" w:themeColor="accent5" w:themeTint="99"/>
        </w:tcBorders>
      </w:tcPr>
    </w:tblStylePr>
    <w:tblStylePr w:type="firstCol">
      <w:rPr>
        <w:b/>
        <w:bCs/>
      </w:rPr>
    </w:tblStylePr>
    <w:tblStylePr w:type="lastCol">
      <w:rPr>
        <w:b/>
        <w:bCs/>
      </w:rPr>
    </w:tblStylePr>
    <w:tblStylePr w:type="band1Vert">
      <w:tblPr/>
      <w:tcPr>
        <w:shd w:val="clear" w:color="auto" w:fill="E0EDF9" w:themeFill="accent5" w:themeFillTint="33"/>
      </w:tcPr>
    </w:tblStylePr>
    <w:tblStylePr w:type="band1Horz">
      <w:tblPr/>
      <w:tcPr>
        <w:shd w:val="clear" w:color="auto" w:fill="E0EDF9"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F7CCA3" w:themeColor="accent6" w:themeTint="99"/>
        <w:left w:val="single" w:sz="4" w:space="0" w:color="F7CCA3" w:themeColor="accent6" w:themeTint="99"/>
        <w:bottom w:val="single" w:sz="4" w:space="0" w:color="F7CCA3" w:themeColor="accent6" w:themeTint="99"/>
        <w:right w:val="single" w:sz="4" w:space="0" w:color="F7CCA3" w:themeColor="accent6" w:themeTint="99"/>
        <w:insideH w:val="single" w:sz="4" w:space="0" w:color="F7CCA3" w:themeColor="accent6" w:themeTint="99"/>
      </w:tblBorders>
    </w:tblPr>
    <w:tblStylePr w:type="firstRow">
      <w:rPr>
        <w:b/>
        <w:bCs/>
        <w:color w:val="FFFFFF" w:themeColor="background1"/>
      </w:rPr>
      <w:tblPr/>
      <w:tcPr>
        <w:tcBorders>
          <w:top w:val="single" w:sz="4" w:space="0" w:color="F2AB66" w:themeColor="accent6"/>
          <w:left w:val="single" w:sz="4" w:space="0" w:color="F2AB66" w:themeColor="accent6"/>
          <w:bottom w:val="single" w:sz="4" w:space="0" w:color="F2AB66" w:themeColor="accent6"/>
          <w:right w:val="single" w:sz="4" w:space="0" w:color="F2AB66" w:themeColor="accent6"/>
          <w:insideH w:val="nil"/>
        </w:tcBorders>
        <w:shd w:val="clear" w:color="auto" w:fill="F2AB66" w:themeFill="accent6"/>
      </w:tcPr>
    </w:tblStylePr>
    <w:tblStylePr w:type="lastRow">
      <w:rPr>
        <w:b/>
        <w:bCs/>
      </w:rPr>
      <w:tblPr/>
      <w:tcPr>
        <w:tcBorders>
          <w:top w:val="double" w:sz="4" w:space="0" w:color="F7CCA3" w:themeColor="accent6" w:themeTint="99"/>
        </w:tcBorders>
      </w:tcPr>
    </w:tblStylePr>
    <w:tblStylePr w:type="firstCol">
      <w:rPr>
        <w:b/>
        <w:bCs/>
      </w:rPr>
    </w:tblStylePr>
    <w:tblStylePr w:type="lastCol">
      <w:rPr>
        <w:b/>
        <w:bCs/>
      </w:rPr>
    </w:tblStylePr>
    <w:tblStylePr w:type="band1Vert">
      <w:tblPr/>
      <w:tcPr>
        <w:shd w:val="clear" w:color="auto" w:fill="FCEEE0" w:themeFill="accent6" w:themeFillTint="33"/>
      </w:tcPr>
    </w:tblStylePr>
    <w:tblStylePr w:type="band1Horz">
      <w:tblPr/>
      <w:tcPr>
        <w:shd w:val="clear" w:color="auto" w:fill="FCEEE0"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72CE" w:themeColor="accent1"/>
        <w:left w:val="single" w:sz="24" w:space="0" w:color="0072CE" w:themeColor="accent1"/>
        <w:bottom w:val="single" w:sz="24" w:space="0" w:color="0072CE" w:themeColor="accent1"/>
        <w:right w:val="single" w:sz="24" w:space="0" w:color="0072CE" w:themeColor="accent1"/>
      </w:tblBorders>
    </w:tblPr>
    <w:tcPr>
      <w:shd w:val="clear" w:color="auto" w:fill="0072C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EA7200" w:themeColor="accent2"/>
        <w:left w:val="single" w:sz="24" w:space="0" w:color="EA7200" w:themeColor="accent2"/>
        <w:bottom w:val="single" w:sz="24" w:space="0" w:color="EA7200" w:themeColor="accent2"/>
        <w:right w:val="single" w:sz="24" w:space="0" w:color="EA7200" w:themeColor="accent2"/>
      </w:tblBorders>
    </w:tblPr>
    <w:tcPr>
      <w:shd w:val="clear" w:color="auto" w:fill="EA72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AAE2" w:themeColor="accent5"/>
        <w:left w:val="single" w:sz="24" w:space="0" w:color="66AAE2" w:themeColor="accent5"/>
        <w:bottom w:val="single" w:sz="24" w:space="0" w:color="66AAE2" w:themeColor="accent5"/>
        <w:right w:val="single" w:sz="24" w:space="0" w:color="66AAE2" w:themeColor="accent5"/>
      </w:tblBorders>
    </w:tblPr>
    <w:tcPr>
      <w:shd w:val="clear" w:color="auto" w:fill="66AAE2"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F2AB66" w:themeColor="accent6"/>
        <w:left w:val="single" w:sz="24" w:space="0" w:color="F2AB66" w:themeColor="accent6"/>
        <w:bottom w:val="single" w:sz="24" w:space="0" w:color="F2AB66" w:themeColor="accent6"/>
        <w:right w:val="single" w:sz="24" w:space="0" w:color="F2AB66" w:themeColor="accent6"/>
      </w:tblBorders>
    </w:tblPr>
    <w:tcPr>
      <w:shd w:val="clear" w:color="auto" w:fill="F2AB6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559A" w:themeColor="accent1" w:themeShade="BF"/>
    </w:rPr>
    <w:tblPr>
      <w:tblStyleRowBandSize w:val="1"/>
      <w:tblStyleColBandSize w:val="1"/>
      <w:tblBorders>
        <w:top w:val="single" w:sz="4" w:space="0" w:color="0072CE" w:themeColor="accent1"/>
        <w:bottom w:val="single" w:sz="4" w:space="0" w:color="0072CE" w:themeColor="accent1"/>
      </w:tblBorders>
    </w:tblPr>
    <w:tblStylePr w:type="firstRow">
      <w:rPr>
        <w:b/>
        <w:bCs/>
      </w:rPr>
      <w:tblPr/>
      <w:tcPr>
        <w:tcBorders>
          <w:bottom w:val="single" w:sz="4" w:space="0" w:color="0072CE" w:themeColor="accent1"/>
        </w:tcBorders>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6Colorful-Accent2">
    <w:name w:val="List Table 6 Colorful Accent 2"/>
    <w:basedOn w:val="TableNormal"/>
    <w:uiPriority w:val="51"/>
    <w:semiHidden/>
    <w:rsid w:val="0058629F"/>
    <w:rPr>
      <w:color w:val="AF5500" w:themeColor="accent2" w:themeShade="BF"/>
    </w:rPr>
    <w:tblPr>
      <w:tblStyleRowBandSize w:val="1"/>
      <w:tblStyleColBandSize w:val="1"/>
      <w:tblBorders>
        <w:top w:val="single" w:sz="4" w:space="0" w:color="EA7200" w:themeColor="accent2"/>
        <w:bottom w:val="single" w:sz="4" w:space="0" w:color="EA7200" w:themeColor="accent2"/>
      </w:tblBorders>
    </w:tblPr>
    <w:tblStylePr w:type="firstRow">
      <w:rPr>
        <w:b/>
        <w:bCs/>
      </w:rPr>
      <w:tblPr/>
      <w:tcPr>
        <w:tcBorders>
          <w:bottom w:val="single" w:sz="4" w:space="0" w:color="EA7200" w:themeColor="accent2"/>
        </w:tcBorders>
      </w:tcPr>
    </w:tblStylePr>
    <w:tblStylePr w:type="lastRow">
      <w:rPr>
        <w:b/>
        <w:bCs/>
      </w:rPr>
      <w:tblPr/>
      <w:tcPr>
        <w:tcBorders>
          <w:top w:val="double" w:sz="4" w:space="0" w:color="EA7200" w:themeColor="accent2"/>
        </w:tcBorders>
      </w:tcPr>
    </w:tblStylePr>
    <w:tblStylePr w:type="firstCol">
      <w:rPr>
        <w:b/>
        <w:bCs/>
      </w:rPr>
    </w:tblStylePr>
    <w:tblStylePr w:type="lastCol">
      <w:rPr>
        <w:b/>
        <w:bCs/>
      </w:rPr>
    </w:tblStylePr>
    <w:tblStylePr w:type="band1Vert">
      <w:tblPr/>
      <w:tcPr>
        <w:shd w:val="clear" w:color="auto" w:fill="FFE2C7" w:themeFill="accent2" w:themeFillTint="33"/>
      </w:tcPr>
    </w:tblStylePr>
    <w:tblStylePr w:type="band1Horz">
      <w:tblPr/>
      <w:tcPr>
        <w:shd w:val="clear" w:color="auto" w:fill="FFE2C7"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2782CE" w:themeColor="accent5" w:themeShade="BF"/>
    </w:rPr>
    <w:tblPr>
      <w:tblStyleRowBandSize w:val="1"/>
      <w:tblStyleColBandSize w:val="1"/>
      <w:tblBorders>
        <w:top w:val="single" w:sz="4" w:space="0" w:color="66AAE2" w:themeColor="accent5"/>
        <w:bottom w:val="single" w:sz="4" w:space="0" w:color="66AAE2" w:themeColor="accent5"/>
      </w:tblBorders>
    </w:tblPr>
    <w:tblStylePr w:type="firstRow">
      <w:rPr>
        <w:b/>
        <w:bCs/>
      </w:rPr>
      <w:tblPr/>
      <w:tcPr>
        <w:tcBorders>
          <w:bottom w:val="single" w:sz="4" w:space="0" w:color="66AAE2" w:themeColor="accent5"/>
        </w:tcBorders>
      </w:tcPr>
    </w:tblStylePr>
    <w:tblStylePr w:type="lastRow">
      <w:rPr>
        <w:b/>
        <w:bCs/>
      </w:rPr>
      <w:tblPr/>
      <w:tcPr>
        <w:tcBorders>
          <w:top w:val="double" w:sz="4" w:space="0" w:color="66AAE2" w:themeColor="accent5"/>
        </w:tcBorders>
      </w:tcPr>
    </w:tblStylePr>
    <w:tblStylePr w:type="firstCol">
      <w:rPr>
        <w:b/>
        <w:bCs/>
      </w:rPr>
    </w:tblStylePr>
    <w:tblStylePr w:type="lastCol">
      <w:rPr>
        <w:b/>
        <w:bCs/>
      </w:rPr>
    </w:tblStylePr>
    <w:tblStylePr w:type="band1Vert">
      <w:tblPr/>
      <w:tcPr>
        <w:shd w:val="clear" w:color="auto" w:fill="E0EDF9" w:themeFill="accent5" w:themeFillTint="33"/>
      </w:tcPr>
    </w:tblStylePr>
    <w:tblStylePr w:type="band1Horz">
      <w:tblPr/>
      <w:tcPr>
        <w:shd w:val="clear" w:color="auto" w:fill="E0EDF9" w:themeFill="accent5" w:themeFillTint="33"/>
      </w:tcPr>
    </w:tblStylePr>
  </w:style>
  <w:style w:type="table" w:styleId="ListTable6Colorful-Accent6">
    <w:name w:val="List Table 6 Colorful Accent 6"/>
    <w:basedOn w:val="TableNormal"/>
    <w:uiPriority w:val="51"/>
    <w:semiHidden/>
    <w:rsid w:val="0058629F"/>
    <w:rPr>
      <w:color w:val="EB7E16" w:themeColor="accent6" w:themeShade="BF"/>
    </w:rPr>
    <w:tblPr>
      <w:tblStyleRowBandSize w:val="1"/>
      <w:tblStyleColBandSize w:val="1"/>
      <w:tblBorders>
        <w:top w:val="single" w:sz="4" w:space="0" w:color="F2AB66" w:themeColor="accent6"/>
        <w:bottom w:val="single" w:sz="4" w:space="0" w:color="F2AB66" w:themeColor="accent6"/>
      </w:tblBorders>
    </w:tblPr>
    <w:tblStylePr w:type="firstRow">
      <w:rPr>
        <w:b/>
        <w:bCs/>
      </w:rPr>
      <w:tblPr/>
      <w:tcPr>
        <w:tcBorders>
          <w:bottom w:val="single" w:sz="4" w:space="0" w:color="F2AB66" w:themeColor="accent6"/>
        </w:tcBorders>
      </w:tcPr>
    </w:tblStylePr>
    <w:tblStylePr w:type="lastRow">
      <w:rPr>
        <w:b/>
        <w:bCs/>
      </w:rPr>
      <w:tblPr/>
      <w:tcPr>
        <w:tcBorders>
          <w:top w:val="double" w:sz="4" w:space="0" w:color="F2AB66" w:themeColor="accent6"/>
        </w:tcBorders>
      </w:tcPr>
    </w:tblStylePr>
    <w:tblStylePr w:type="firstCol">
      <w:rPr>
        <w:b/>
        <w:bCs/>
      </w:rPr>
    </w:tblStylePr>
    <w:tblStylePr w:type="lastCol">
      <w:rPr>
        <w:b/>
        <w:bCs/>
      </w:rPr>
    </w:tblStylePr>
    <w:tblStylePr w:type="band1Vert">
      <w:tblPr/>
      <w:tcPr>
        <w:shd w:val="clear" w:color="auto" w:fill="FCEEE0" w:themeFill="accent6" w:themeFillTint="33"/>
      </w:tcPr>
    </w:tblStylePr>
    <w:tblStylePr w:type="band1Horz">
      <w:tblPr/>
      <w:tcPr>
        <w:shd w:val="clear" w:color="auto" w:fill="FCEEE0"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cPr>
      <w:shd w:val="clear" w:color="auto" w:fill="D3D2D2" w:themeFill="text1" w:themeFillTint="33"/>
    </w:tc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559A" w:themeColor="accent1" w:themeShade="BF"/>
    </w:rPr>
    <w:tblPr>
      <w:tblStyleRowBandSize w:val="1"/>
      <w:tblStyleColBandSize w:val="1"/>
    </w:tblPr>
    <w:tcPr>
      <w:shd w:val="clear" w:color="auto" w:fill="C2E3FF" w:themeFill="accent1" w:themeFillTint="33"/>
    </w:tcPr>
    <w:tblStylePr w:type="firstRow">
      <w:rPr>
        <w:rFonts w:asciiTheme="majorHAnsi" w:eastAsiaTheme="majorEastAsia" w:hAnsiTheme="majorHAnsi" w:cstheme="majorBidi"/>
        <w:i/>
        <w:iCs/>
        <w:sz w:val="26"/>
      </w:rPr>
      <w:tblPr/>
      <w:tcPr>
        <w:tcBorders>
          <w:bottom w:val="single" w:sz="4" w:space="0" w:color="0072C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C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C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CE" w:themeColor="accent1"/>
        </w:tcBorders>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AF5500" w:themeColor="accent2" w:themeShade="BF"/>
    </w:rPr>
    <w:tblPr>
      <w:tblStyleRowBandSize w:val="1"/>
      <w:tblStyleColBandSize w:val="1"/>
    </w:tblPr>
    <w:tcPr>
      <w:shd w:val="clear" w:color="auto" w:fill="FFE2C7" w:themeFill="accent2" w:themeFillTint="33"/>
    </w:tcPr>
    <w:tblStylePr w:type="firstRow">
      <w:rPr>
        <w:rFonts w:asciiTheme="majorHAnsi" w:eastAsiaTheme="majorEastAsia" w:hAnsiTheme="majorHAnsi" w:cstheme="majorBidi"/>
        <w:i/>
        <w:iCs/>
        <w:sz w:val="26"/>
      </w:rPr>
      <w:tblPr/>
      <w:tcPr>
        <w:tcBorders>
          <w:bottom w:val="single" w:sz="4" w:space="0" w:color="EA72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A72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A72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A7200" w:themeColor="accent2"/>
        </w:tcBorders>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cPr>
      <w:shd w:val="clear" w:color="auto" w:fill="BCFFFB" w:themeFill="accent3" w:themeFillTint="33"/>
    </w:tc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cPr>
      <w:shd w:val="clear" w:color="auto" w:fill="C8BEEC" w:themeFill="accent4" w:themeFillTint="33"/>
    </w:tc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2782CE" w:themeColor="accent5" w:themeShade="BF"/>
    </w:rPr>
    <w:tblPr>
      <w:tblStyleRowBandSize w:val="1"/>
      <w:tblStyleColBandSize w:val="1"/>
    </w:tblPr>
    <w:tcPr>
      <w:shd w:val="clear" w:color="auto" w:fill="E0EDF9" w:themeFill="accent5" w:themeFillTint="33"/>
    </w:tcPr>
    <w:tblStylePr w:type="firstRow">
      <w:rPr>
        <w:rFonts w:asciiTheme="majorHAnsi" w:eastAsiaTheme="majorEastAsia" w:hAnsiTheme="majorHAnsi" w:cstheme="majorBidi"/>
        <w:i/>
        <w:iCs/>
        <w:sz w:val="26"/>
      </w:rPr>
      <w:tblPr/>
      <w:tcPr>
        <w:tcBorders>
          <w:bottom w:val="single" w:sz="4" w:space="0" w:color="66AAE2"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AAE2"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AAE2"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AAE2" w:themeColor="accent5"/>
        </w:tcBorders>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EB7E16" w:themeColor="accent6" w:themeShade="BF"/>
    </w:rPr>
    <w:tblPr>
      <w:tblStyleRowBandSize w:val="1"/>
      <w:tblStyleColBandSize w:val="1"/>
    </w:tblPr>
    <w:tcPr>
      <w:shd w:val="clear" w:color="auto" w:fill="FCEEE0" w:themeFill="accent6" w:themeFillTint="33"/>
    </w:tcPr>
    <w:tblStylePr w:type="firstRow">
      <w:rPr>
        <w:rFonts w:asciiTheme="majorHAnsi" w:eastAsiaTheme="majorEastAsia" w:hAnsiTheme="majorHAnsi" w:cstheme="majorBidi"/>
        <w:i/>
        <w:iCs/>
        <w:sz w:val="26"/>
      </w:rPr>
      <w:tblPr/>
      <w:tcPr>
        <w:tcBorders>
          <w:bottom w:val="single" w:sz="4" w:space="0" w:color="F2AB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2AB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2AB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2AB66" w:themeColor="accent6"/>
        </w:tcBorders>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insideV w:val="single" w:sz="8" w:space="0" w:color="1B99FF" w:themeColor="accent1" w:themeTint="BF"/>
      </w:tblBorders>
    </w:tblPr>
    <w:tcPr>
      <w:shd w:val="clear" w:color="auto" w:fill="B3DDFF" w:themeFill="accent1" w:themeFillTint="3F"/>
    </w:tcPr>
    <w:tblStylePr w:type="firstRow">
      <w:rPr>
        <w:b/>
        <w:bCs/>
      </w:rPr>
    </w:tblStylePr>
    <w:tblStylePr w:type="lastRow">
      <w:rPr>
        <w:b/>
        <w:bCs/>
      </w:rPr>
      <w:tblPr/>
      <w:tcPr>
        <w:tcBorders>
          <w:top w:val="single" w:sz="18" w:space="0" w:color="1B99FF" w:themeColor="accent1" w:themeTint="BF"/>
        </w:tcBorders>
      </w:tcPr>
    </w:tblStylePr>
    <w:tblStylePr w:type="firstCol">
      <w:rPr>
        <w:b/>
        <w:bCs/>
      </w:rPr>
    </w:tblStylePr>
    <w:tblStylePr w:type="lastCol">
      <w:rPr>
        <w:b/>
        <w:bCs/>
      </w:r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FF9430" w:themeColor="accent2" w:themeTint="BF"/>
        <w:left w:val="single" w:sz="8" w:space="0" w:color="FF9430" w:themeColor="accent2" w:themeTint="BF"/>
        <w:bottom w:val="single" w:sz="8" w:space="0" w:color="FF9430" w:themeColor="accent2" w:themeTint="BF"/>
        <w:right w:val="single" w:sz="8" w:space="0" w:color="FF9430" w:themeColor="accent2" w:themeTint="BF"/>
        <w:insideH w:val="single" w:sz="8" w:space="0" w:color="FF9430" w:themeColor="accent2" w:themeTint="BF"/>
        <w:insideV w:val="single" w:sz="8" w:space="0" w:color="FF9430" w:themeColor="accent2" w:themeTint="BF"/>
      </w:tblBorders>
    </w:tblPr>
    <w:tcPr>
      <w:shd w:val="clear" w:color="auto" w:fill="FFDBBA" w:themeFill="accent2" w:themeFillTint="3F"/>
    </w:tcPr>
    <w:tblStylePr w:type="firstRow">
      <w:rPr>
        <w:b/>
        <w:bCs/>
      </w:rPr>
    </w:tblStylePr>
    <w:tblStylePr w:type="lastRow">
      <w:rPr>
        <w:b/>
        <w:bCs/>
      </w:rPr>
      <w:tblPr/>
      <w:tcPr>
        <w:tcBorders>
          <w:top w:val="single" w:sz="18" w:space="0" w:color="FF9430" w:themeColor="accent2" w:themeTint="BF"/>
        </w:tcBorders>
      </w:tcPr>
    </w:tblStylePr>
    <w:tblStylePr w:type="firstCol">
      <w:rPr>
        <w:b/>
        <w:bCs/>
      </w:rPr>
    </w:tblStylePr>
    <w:tblStylePr w:type="lastCol">
      <w:rPr>
        <w:b/>
        <w:bCs/>
      </w:rPr>
    </w:tblStylePr>
    <w:tblStylePr w:type="band1Vert">
      <w:tblPr/>
      <w:tcPr>
        <w:shd w:val="clear" w:color="auto" w:fill="FFB875" w:themeFill="accent2" w:themeFillTint="7F"/>
      </w:tcPr>
    </w:tblStylePr>
    <w:tblStylePr w:type="band1Horz">
      <w:tblPr/>
      <w:tcPr>
        <w:shd w:val="clear" w:color="auto" w:fill="FFB875"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BFE9" w:themeColor="accent5" w:themeTint="BF"/>
        <w:left w:val="single" w:sz="8" w:space="0" w:color="8CBFE9" w:themeColor="accent5" w:themeTint="BF"/>
        <w:bottom w:val="single" w:sz="8" w:space="0" w:color="8CBFE9" w:themeColor="accent5" w:themeTint="BF"/>
        <w:right w:val="single" w:sz="8" w:space="0" w:color="8CBFE9" w:themeColor="accent5" w:themeTint="BF"/>
        <w:insideH w:val="single" w:sz="8" w:space="0" w:color="8CBFE9" w:themeColor="accent5" w:themeTint="BF"/>
        <w:insideV w:val="single" w:sz="8" w:space="0" w:color="8CBFE9" w:themeColor="accent5" w:themeTint="BF"/>
      </w:tblBorders>
    </w:tblPr>
    <w:tcPr>
      <w:shd w:val="clear" w:color="auto" w:fill="D9E9F7" w:themeFill="accent5" w:themeFillTint="3F"/>
    </w:tcPr>
    <w:tblStylePr w:type="firstRow">
      <w:rPr>
        <w:b/>
        <w:bCs/>
      </w:rPr>
    </w:tblStylePr>
    <w:tblStylePr w:type="lastRow">
      <w:rPr>
        <w:b/>
        <w:bCs/>
      </w:rPr>
      <w:tblPr/>
      <w:tcPr>
        <w:tcBorders>
          <w:top w:val="single" w:sz="18" w:space="0" w:color="8CBFE9" w:themeColor="accent5" w:themeTint="BF"/>
        </w:tcBorders>
      </w:tcPr>
    </w:tblStylePr>
    <w:tblStylePr w:type="firstCol">
      <w:rPr>
        <w:b/>
        <w:bCs/>
      </w:rPr>
    </w:tblStylePr>
    <w:tblStylePr w:type="lastCol">
      <w:rPr>
        <w:b/>
        <w:bCs/>
      </w:rPr>
    </w:tblStylePr>
    <w:tblStylePr w:type="band1Vert">
      <w:tblPr/>
      <w:tcPr>
        <w:shd w:val="clear" w:color="auto" w:fill="B2D4F0" w:themeFill="accent5" w:themeFillTint="7F"/>
      </w:tcPr>
    </w:tblStylePr>
    <w:tblStylePr w:type="band1Horz">
      <w:tblPr/>
      <w:tcPr>
        <w:shd w:val="clear" w:color="auto" w:fill="B2D4F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F5BF8C" w:themeColor="accent6" w:themeTint="BF"/>
        <w:left w:val="single" w:sz="8" w:space="0" w:color="F5BF8C" w:themeColor="accent6" w:themeTint="BF"/>
        <w:bottom w:val="single" w:sz="8" w:space="0" w:color="F5BF8C" w:themeColor="accent6" w:themeTint="BF"/>
        <w:right w:val="single" w:sz="8" w:space="0" w:color="F5BF8C" w:themeColor="accent6" w:themeTint="BF"/>
        <w:insideH w:val="single" w:sz="8" w:space="0" w:color="F5BF8C" w:themeColor="accent6" w:themeTint="BF"/>
        <w:insideV w:val="single" w:sz="8" w:space="0" w:color="F5BF8C" w:themeColor="accent6" w:themeTint="BF"/>
      </w:tblBorders>
    </w:tblPr>
    <w:tcPr>
      <w:shd w:val="clear" w:color="auto" w:fill="FBE9D8" w:themeFill="accent6" w:themeFillTint="3F"/>
    </w:tcPr>
    <w:tblStylePr w:type="firstRow">
      <w:rPr>
        <w:b/>
        <w:bCs/>
      </w:rPr>
    </w:tblStylePr>
    <w:tblStylePr w:type="lastRow">
      <w:rPr>
        <w:b/>
        <w:bCs/>
      </w:rPr>
      <w:tblPr/>
      <w:tcPr>
        <w:tcBorders>
          <w:top w:val="single" w:sz="18" w:space="0" w:color="F5BF8C" w:themeColor="accent6" w:themeTint="BF"/>
        </w:tcBorders>
      </w:tcPr>
    </w:tblStylePr>
    <w:tblStylePr w:type="firstCol">
      <w:rPr>
        <w:b/>
        <w:bCs/>
      </w:rPr>
    </w:tblStylePr>
    <w:tblStylePr w:type="lastCol">
      <w:rPr>
        <w:b/>
        <w:bCs/>
      </w:rPr>
    </w:tblStylePr>
    <w:tblStylePr w:type="band1Vert">
      <w:tblPr/>
      <w:tcPr>
        <w:shd w:val="clear" w:color="auto" w:fill="F8D4B2" w:themeFill="accent6" w:themeFillTint="7F"/>
      </w:tcPr>
    </w:tblStylePr>
    <w:tblStylePr w:type="band1Horz">
      <w:tblPr/>
      <w:tcPr>
        <w:shd w:val="clear" w:color="auto" w:fill="F8D4B2"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cPr>
      <w:shd w:val="clear" w:color="auto" w:fill="B3DDFF" w:themeFill="accent1" w:themeFillTint="3F"/>
    </w:tcPr>
    <w:tblStylePr w:type="firstRow">
      <w:rPr>
        <w:b/>
        <w:bCs/>
        <w:color w:val="232222" w:themeColor="text1"/>
      </w:rPr>
      <w:tblPr/>
      <w:tcPr>
        <w:shd w:val="clear" w:color="auto" w:fill="E1F1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2E3FF" w:themeFill="accent1" w:themeFillTint="33"/>
      </w:tcPr>
    </w:tblStylePr>
    <w:tblStylePr w:type="band1Vert">
      <w:tblPr/>
      <w:tcPr>
        <w:shd w:val="clear" w:color="auto" w:fill="67BBFF" w:themeFill="accent1" w:themeFillTint="7F"/>
      </w:tcPr>
    </w:tblStylePr>
    <w:tblStylePr w:type="band1Horz">
      <w:tblPr/>
      <w:tcPr>
        <w:tcBorders>
          <w:insideH w:val="single" w:sz="6" w:space="0" w:color="0072CE" w:themeColor="accent1"/>
          <w:insideV w:val="single" w:sz="6" w:space="0" w:color="0072CE" w:themeColor="accent1"/>
        </w:tcBorders>
        <w:shd w:val="clear" w:color="auto" w:fill="67BB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EA7200" w:themeColor="accent2"/>
        <w:left w:val="single" w:sz="8" w:space="0" w:color="EA7200" w:themeColor="accent2"/>
        <w:bottom w:val="single" w:sz="8" w:space="0" w:color="EA7200" w:themeColor="accent2"/>
        <w:right w:val="single" w:sz="8" w:space="0" w:color="EA7200" w:themeColor="accent2"/>
        <w:insideH w:val="single" w:sz="8" w:space="0" w:color="EA7200" w:themeColor="accent2"/>
        <w:insideV w:val="single" w:sz="8" w:space="0" w:color="EA7200" w:themeColor="accent2"/>
      </w:tblBorders>
    </w:tblPr>
    <w:tcPr>
      <w:shd w:val="clear" w:color="auto" w:fill="FFDBBA" w:themeFill="accent2" w:themeFillTint="3F"/>
    </w:tcPr>
    <w:tblStylePr w:type="firstRow">
      <w:rPr>
        <w:b/>
        <w:bCs/>
        <w:color w:val="232222" w:themeColor="text1"/>
      </w:rPr>
      <w:tblPr/>
      <w:tcPr>
        <w:shd w:val="clear" w:color="auto" w:fill="FFF0E3"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FE2C7" w:themeFill="accent2" w:themeFillTint="33"/>
      </w:tcPr>
    </w:tblStylePr>
    <w:tblStylePr w:type="band1Vert">
      <w:tblPr/>
      <w:tcPr>
        <w:shd w:val="clear" w:color="auto" w:fill="FFB875" w:themeFill="accent2" w:themeFillTint="7F"/>
      </w:tcPr>
    </w:tblStylePr>
    <w:tblStylePr w:type="band1Horz">
      <w:tblPr/>
      <w:tcPr>
        <w:tcBorders>
          <w:insideH w:val="single" w:sz="6" w:space="0" w:color="EA7200" w:themeColor="accent2"/>
          <w:insideV w:val="single" w:sz="6" w:space="0" w:color="EA7200" w:themeColor="accent2"/>
        </w:tcBorders>
        <w:shd w:val="clear" w:color="auto" w:fill="FFB875"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AAE2" w:themeColor="accent5"/>
        <w:left w:val="single" w:sz="8" w:space="0" w:color="66AAE2" w:themeColor="accent5"/>
        <w:bottom w:val="single" w:sz="8" w:space="0" w:color="66AAE2" w:themeColor="accent5"/>
        <w:right w:val="single" w:sz="8" w:space="0" w:color="66AAE2" w:themeColor="accent5"/>
        <w:insideH w:val="single" w:sz="8" w:space="0" w:color="66AAE2" w:themeColor="accent5"/>
        <w:insideV w:val="single" w:sz="8" w:space="0" w:color="66AAE2" w:themeColor="accent5"/>
      </w:tblBorders>
    </w:tblPr>
    <w:tcPr>
      <w:shd w:val="clear" w:color="auto" w:fill="D9E9F7" w:themeFill="accent5" w:themeFillTint="3F"/>
    </w:tcPr>
    <w:tblStylePr w:type="firstRow">
      <w:rPr>
        <w:b/>
        <w:bCs/>
        <w:color w:val="232222" w:themeColor="text1"/>
      </w:rPr>
      <w:tblPr/>
      <w:tcPr>
        <w:shd w:val="clear" w:color="auto" w:fill="EFF6FC"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DF9" w:themeFill="accent5" w:themeFillTint="33"/>
      </w:tcPr>
    </w:tblStylePr>
    <w:tblStylePr w:type="band1Vert">
      <w:tblPr/>
      <w:tcPr>
        <w:shd w:val="clear" w:color="auto" w:fill="B2D4F0" w:themeFill="accent5" w:themeFillTint="7F"/>
      </w:tcPr>
    </w:tblStylePr>
    <w:tblStylePr w:type="band1Horz">
      <w:tblPr/>
      <w:tcPr>
        <w:tcBorders>
          <w:insideH w:val="single" w:sz="6" w:space="0" w:color="66AAE2" w:themeColor="accent5"/>
          <w:insideV w:val="single" w:sz="6" w:space="0" w:color="66AAE2" w:themeColor="accent5"/>
        </w:tcBorders>
        <w:shd w:val="clear" w:color="auto" w:fill="B2D4F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F2AB66" w:themeColor="accent6"/>
        <w:left w:val="single" w:sz="8" w:space="0" w:color="F2AB66" w:themeColor="accent6"/>
        <w:bottom w:val="single" w:sz="8" w:space="0" w:color="F2AB66" w:themeColor="accent6"/>
        <w:right w:val="single" w:sz="8" w:space="0" w:color="F2AB66" w:themeColor="accent6"/>
        <w:insideH w:val="single" w:sz="8" w:space="0" w:color="F2AB66" w:themeColor="accent6"/>
        <w:insideV w:val="single" w:sz="8" w:space="0" w:color="F2AB66" w:themeColor="accent6"/>
      </w:tblBorders>
    </w:tblPr>
    <w:tcPr>
      <w:shd w:val="clear" w:color="auto" w:fill="FBE9D8" w:themeFill="accent6" w:themeFillTint="3F"/>
    </w:tcPr>
    <w:tblStylePr w:type="firstRow">
      <w:rPr>
        <w:b/>
        <w:bCs/>
        <w:color w:val="232222" w:themeColor="text1"/>
      </w:rPr>
      <w:tblPr/>
      <w:tcPr>
        <w:shd w:val="clear" w:color="auto" w:fill="FDF6EF"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CEEE0" w:themeFill="accent6" w:themeFillTint="33"/>
      </w:tcPr>
    </w:tblStylePr>
    <w:tblStylePr w:type="band1Vert">
      <w:tblPr/>
      <w:tcPr>
        <w:shd w:val="clear" w:color="auto" w:fill="F8D4B2" w:themeFill="accent6" w:themeFillTint="7F"/>
      </w:tcPr>
    </w:tblStylePr>
    <w:tblStylePr w:type="band1Horz">
      <w:tblPr/>
      <w:tcPr>
        <w:tcBorders>
          <w:insideH w:val="single" w:sz="6" w:space="0" w:color="F2AB66" w:themeColor="accent6"/>
          <w:insideV w:val="single" w:sz="6" w:space="0" w:color="F2AB66" w:themeColor="accent6"/>
        </w:tcBorders>
        <w:shd w:val="clear" w:color="auto" w:fill="F8D4B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3DD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C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C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BB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DBBA"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A72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A72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A72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A72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875" w:themeFill="accent2" w:themeFillTint="7F"/>
      </w:tcPr>
    </w:tblStylePr>
  </w:style>
  <w:style w:type="table" w:styleId="MediumGrid3-Accent3">
    <w:name w:val="Medium Grid 3 Accent 3"/>
    <w:basedOn w:val="TableNormal"/>
    <w:uiPriority w:val="69"/>
    <w:semiHidden/>
    <w:rsid w:val="0058629F"/>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E9F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AAE2"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AAE2"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AAE2"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AAE2"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D4F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BE9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2AB6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2AB6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2AB6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2AB6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8D4B2" w:themeFill="accent6" w:themeFillTint="7F"/>
      </w:tcPr>
    </w:tblStylePr>
  </w:style>
  <w:style w:type="table" w:styleId="MediumList1">
    <w:name w:val="Medium List 1"/>
    <w:basedOn w:val="TableNormal"/>
    <w:uiPriority w:val="65"/>
    <w:semiHidden/>
    <w:rsid w:val="0058629F"/>
    <w:tblPr>
      <w:tblStyleRowBandSize w:val="1"/>
      <w:tblStyleColBandSize w:val="1"/>
    </w:tblPr>
    <w:tcPr>
      <w:shd w:val="clear" w:color="auto" w:fill="C9C7C7" w:themeFill="text1" w:themeFillTint="3F"/>
    </w:tc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Pr>
    <w:tcPr>
      <w:shd w:val="clear" w:color="auto" w:fill="B3DDFF" w:themeFill="accent1" w:themeFillTint="3F"/>
    </w:tcPr>
    <w:tblStylePr w:type="firstRow">
      <w:rPr>
        <w:rFonts w:asciiTheme="majorHAnsi" w:eastAsiaTheme="majorEastAsia" w:hAnsiTheme="majorHAnsi" w:cstheme="majorBidi"/>
      </w:rPr>
      <w:tblPr/>
      <w:tcPr>
        <w:tcBorders>
          <w:top w:val="nil"/>
          <w:bottom w:val="single" w:sz="8" w:space="0" w:color="0072CE" w:themeColor="accent1"/>
        </w:tcBorders>
      </w:tcPr>
    </w:tblStylePr>
    <w:tblStylePr w:type="lastRow">
      <w:rPr>
        <w:b/>
        <w:bCs/>
        <w:color w:val="201547" w:themeColor="text2"/>
      </w:rPr>
      <w:tblPr/>
      <w:tcPr>
        <w:tcBorders>
          <w:top w:val="single" w:sz="8" w:space="0" w:color="0072CE" w:themeColor="accent1"/>
          <w:bottom w:val="single" w:sz="8" w:space="0" w:color="0072CE" w:themeColor="accent1"/>
        </w:tcBorders>
      </w:tcPr>
    </w:tblStylePr>
    <w:tblStylePr w:type="firstCol">
      <w:rPr>
        <w:b/>
        <w:bCs/>
      </w:rPr>
    </w:tblStylePr>
    <w:tblStylePr w:type="lastCol">
      <w:rPr>
        <w:b/>
        <w:bCs/>
      </w:rPr>
      <w:tblPr/>
      <w:tcPr>
        <w:tcBorders>
          <w:top w:val="single" w:sz="8" w:space="0" w:color="0072CE" w:themeColor="accent1"/>
          <w:bottom w:val="single" w:sz="8" w:space="0" w:color="0072CE" w:themeColor="accent1"/>
        </w:tcBorders>
      </w:tcPr>
    </w:tblStylePr>
    <w:tblStylePr w:type="band1Vert">
      <w:tblPr/>
      <w:tcPr>
        <w:shd w:val="clear" w:color="auto" w:fill="B3DD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Pr>
    <w:tcPr>
      <w:shd w:val="clear" w:color="auto" w:fill="FFDBBA" w:themeFill="accent2" w:themeFillTint="3F"/>
    </w:tcPr>
    <w:tblStylePr w:type="firstRow">
      <w:rPr>
        <w:rFonts w:asciiTheme="majorHAnsi" w:eastAsiaTheme="majorEastAsia" w:hAnsiTheme="majorHAnsi" w:cstheme="majorBidi"/>
      </w:rPr>
      <w:tblPr/>
      <w:tcPr>
        <w:tcBorders>
          <w:top w:val="nil"/>
          <w:bottom w:val="single" w:sz="8" w:space="0" w:color="EA7200" w:themeColor="accent2"/>
        </w:tcBorders>
      </w:tcPr>
    </w:tblStylePr>
    <w:tblStylePr w:type="lastRow">
      <w:rPr>
        <w:b/>
        <w:bCs/>
        <w:color w:val="201547" w:themeColor="text2"/>
      </w:rPr>
      <w:tblPr/>
      <w:tcPr>
        <w:tcBorders>
          <w:top w:val="single" w:sz="8" w:space="0" w:color="EA7200" w:themeColor="accent2"/>
          <w:bottom w:val="single" w:sz="8" w:space="0" w:color="EA7200" w:themeColor="accent2"/>
        </w:tcBorders>
      </w:tcPr>
    </w:tblStylePr>
    <w:tblStylePr w:type="firstCol">
      <w:rPr>
        <w:b/>
        <w:bCs/>
      </w:rPr>
    </w:tblStylePr>
    <w:tblStylePr w:type="lastCol">
      <w:rPr>
        <w:b/>
        <w:bCs/>
      </w:rPr>
      <w:tblPr/>
      <w:tcPr>
        <w:tcBorders>
          <w:top w:val="single" w:sz="8" w:space="0" w:color="EA7200" w:themeColor="accent2"/>
          <w:bottom w:val="single" w:sz="8" w:space="0" w:color="EA7200" w:themeColor="accent2"/>
        </w:tcBorders>
      </w:tcPr>
    </w:tblStylePr>
    <w:tblStylePr w:type="band1Vert">
      <w:tblPr/>
      <w:tcPr>
        <w:shd w:val="clear" w:color="auto" w:fill="FFDBBA" w:themeFill="accent2" w:themeFillTint="3F"/>
      </w:tcPr>
    </w:tblStylePr>
  </w:style>
  <w:style w:type="table" w:styleId="MediumList1-Accent3">
    <w:name w:val="Medium List 1 Accent 3"/>
    <w:basedOn w:val="TableNormal"/>
    <w:uiPriority w:val="65"/>
    <w:semiHidden/>
    <w:rsid w:val="0058629F"/>
    <w:tblPr>
      <w:tblStyleRowBandSize w:val="1"/>
      <w:tblStyleColBandSize w:val="1"/>
    </w:tblPr>
    <w:tcPr>
      <w:shd w:val="clear" w:color="auto" w:fill="ACFFFA" w:themeFill="accent3" w:themeFillTint="3F"/>
    </w:tc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Pr>
    <w:tcPr>
      <w:shd w:val="clear" w:color="auto" w:fill="BBAFE7" w:themeFill="accent4" w:themeFillTint="3F"/>
    </w:tc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Pr>
    <w:tcPr>
      <w:shd w:val="clear" w:color="auto" w:fill="D9E9F7" w:themeFill="accent5" w:themeFillTint="3F"/>
    </w:tcPr>
    <w:tblStylePr w:type="firstRow">
      <w:rPr>
        <w:rFonts w:asciiTheme="majorHAnsi" w:eastAsiaTheme="majorEastAsia" w:hAnsiTheme="majorHAnsi" w:cstheme="majorBidi"/>
      </w:rPr>
      <w:tblPr/>
      <w:tcPr>
        <w:tcBorders>
          <w:top w:val="nil"/>
          <w:bottom w:val="single" w:sz="8" w:space="0" w:color="66AAE2" w:themeColor="accent5"/>
        </w:tcBorders>
      </w:tcPr>
    </w:tblStylePr>
    <w:tblStylePr w:type="lastRow">
      <w:rPr>
        <w:b/>
        <w:bCs/>
        <w:color w:val="201547" w:themeColor="text2"/>
      </w:rPr>
      <w:tblPr/>
      <w:tcPr>
        <w:tcBorders>
          <w:top w:val="single" w:sz="8" w:space="0" w:color="66AAE2" w:themeColor="accent5"/>
          <w:bottom w:val="single" w:sz="8" w:space="0" w:color="66AAE2" w:themeColor="accent5"/>
        </w:tcBorders>
      </w:tcPr>
    </w:tblStylePr>
    <w:tblStylePr w:type="firstCol">
      <w:rPr>
        <w:b/>
        <w:bCs/>
      </w:rPr>
    </w:tblStylePr>
    <w:tblStylePr w:type="lastCol">
      <w:rPr>
        <w:b/>
        <w:bCs/>
      </w:rPr>
      <w:tblPr/>
      <w:tcPr>
        <w:tcBorders>
          <w:top w:val="single" w:sz="8" w:space="0" w:color="66AAE2" w:themeColor="accent5"/>
          <w:bottom w:val="single" w:sz="8" w:space="0" w:color="66AAE2" w:themeColor="accent5"/>
        </w:tcBorders>
      </w:tcPr>
    </w:tblStylePr>
    <w:tblStylePr w:type="band1Vert">
      <w:tblPr/>
      <w:tcPr>
        <w:shd w:val="clear" w:color="auto" w:fill="D9E9F7" w:themeFill="accent5" w:themeFillTint="3F"/>
      </w:tcPr>
    </w:tblStylePr>
  </w:style>
  <w:style w:type="table" w:styleId="MediumList1-Accent6">
    <w:name w:val="Medium List 1 Accent 6"/>
    <w:basedOn w:val="TableNormal"/>
    <w:uiPriority w:val="65"/>
    <w:semiHidden/>
    <w:rsid w:val="0058629F"/>
    <w:tblPr>
      <w:tblStyleRowBandSize w:val="1"/>
      <w:tblStyleColBandSize w:val="1"/>
    </w:tblPr>
    <w:tcPr>
      <w:shd w:val="clear" w:color="auto" w:fill="FBE9D8" w:themeFill="accent6" w:themeFillTint="3F"/>
    </w:tcPr>
    <w:tblStylePr w:type="firstRow">
      <w:rPr>
        <w:rFonts w:asciiTheme="majorHAnsi" w:eastAsiaTheme="majorEastAsia" w:hAnsiTheme="majorHAnsi" w:cstheme="majorBidi"/>
      </w:rPr>
      <w:tblPr/>
      <w:tcPr>
        <w:tcBorders>
          <w:top w:val="nil"/>
          <w:bottom w:val="single" w:sz="8" w:space="0" w:color="F2AB66" w:themeColor="accent6"/>
        </w:tcBorders>
      </w:tcPr>
    </w:tblStylePr>
    <w:tblStylePr w:type="lastRow">
      <w:rPr>
        <w:b/>
        <w:bCs/>
        <w:color w:val="201547" w:themeColor="text2"/>
      </w:rPr>
      <w:tblPr/>
      <w:tcPr>
        <w:tcBorders>
          <w:top w:val="single" w:sz="8" w:space="0" w:color="F2AB66" w:themeColor="accent6"/>
          <w:bottom w:val="single" w:sz="8" w:space="0" w:color="F2AB66" w:themeColor="accent6"/>
        </w:tcBorders>
      </w:tcPr>
    </w:tblStylePr>
    <w:tblStylePr w:type="firstCol">
      <w:rPr>
        <w:b/>
        <w:bCs/>
      </w:rPr>
    </w:tblStylePr>
    <w:tblStylePr w:type="lastCol">
      <w:rPr>
        <w:b/>
        <w:bCs/>
      </w:rPr>
      <w:tblPr/>
      <w:tcPr>
        <w:tcBorders>
          <w:top w:val="single" w:sz="8" w:space="0" w:color="F2AB66" w:themeColor="accent6"/>
          <w:bottom w:val="single" w:sz="8" w:space="0" w:color="F2AB66" w:themeColor="accent6"/>
        </w:tcBorders>
      </w:tcPr>
    </w:tblStylePr>
    <w:tblStylePr w:type="band1Vert">
      <w:tblPr/>
      <w:tcPr>
        <w:shd w:val="clear" w:color="auto" w:fill="FBE9D8"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rPr>
        <w:sz w:val="24"/>
        <w:szCs w:val="24"/>
      </w:rPr>
      <w:tblPr/>
      <w:tcPr>
        <w:tcBorders>
          <w:top w:val="nil"/>
          <w:left w:val="nil"/>
          <w:bottom w:val="single" w:sz="24" w:space="0" w:color="0072CE" w:themeColor="accent1"/>
          <w:right w:val="nil"/>
          <w:insideH w:val="nil"/>
          <w:insideV w:val="nil"/>
        </w:tcBorders>
        <w:shd w:val="clear" w:color="auto" w:fill="FFFFFF" w:themeFill="background1"/>
      </w:tcPr>
    </w:tblStylePr>
    <w:tblStylePr w:type="lastRow">
      <w:tblPr/>
      <w:tcPr>
        <w:tcBorders>
          <w:top w:val="single" w:sz="8" w:space="0" w:color="0072C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CE" w:themeColor="accent1"/>
          <w:insideH w:val="nil"/>
          <w:insideV w:val="nil"/>
        </w:tcBorders>
        <w:shd w:val="clear" w:color="auto" w:fill="FFFFFF" w:themeFill="background1"/>
      </w:tcPr>
    </w:tblStylePr>
    <w:tblStylePr w:type="lastCol">
      <w:tblPr/>
      <w:tcPr>
        <w:tcBorders>
          <w:top w:val="nil"/>
          <w:left w:val="single" w:sz="8" w:space="0" w:color="0072C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top w:val="nil"/>
          <w:bottom w:val="nil"/>
          <w:insideH w:val="nil"/>
          <w:insideV w:val="nil"/>
        </w:tcBorders>
        <w:shd w:val="clear" w:color="auto" w:fill="B3DD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EA7200" w:themeColor="accent2"/>
        <w:left w:val="single" w:sz="8" w:space="0" w:color="EA7200" w:themeColor="accent2"/>
        <w:bottom w:val="single" w:sz="8" w:space="0" w:color="EA7200" w:themeColor="accent2"/>
        <w:right w:val="single" w:sz="8" w:space="0" w:color="EA7200" w:themeColor="accent2"/>
      </w:tblBorders>
    </w:tblPr>
    <w:tblStylePr w:type="firstRow">
      <w:rPr>
        <w:sz w:val="24"/>
        <w:szCs w:val="24"/>
      </w:rPr>
      <w:tblPr/>
      <w:tcPr>
        <w:tcBorders>
          <w:top w:val="nil"/>
          <w:left w:val="nil"/>
          <w:bottom w:val="single" w:sz="24" w:space="0" w:color="EA7200" w:themeColor="accent2"/>
          <w:right w:val="nil"/>
          <w:insideH w:val="nil"/>
          <w:insideV w:val="nil"/>
        </w:tcBorders>
        <w:shd w:val="clear" w:color="auto" w:fill="FFFFFF" w:themeFill="background1"/>
      </w:tcPr>
    </w:tblStylePr>
    <w:tblStylePr w:type="lastRow">
      <w:tblPr/>
      <w:tcPr>
        <w:tcBorders>
          <w:top w:val="single" w:sz="8" w:space="0" w:color="EA72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A7200" w:themeColor="accent2"/>
          <w:insideH w:val="nil"/>
          <w:insideV w:val="nil"/>
        </w:tcBorders>
        <w:shd w:val="clear" w:color="auto" w:fill="FFFFFF" w:themeFill="background1"/>
      </w:tcPr>
    </w:tblStylePr>
    <w:tblStylePr w:type="lastCol">
      <w:tblPr/>
      <w:tcPr>
        <w:tcBorders>
          <w:top w:val="nil"/>
          <w:left w:val="single" w:sz="8" w:space="0" w:color="EA72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BBA" w:themeFill="accent2" w:themeFillTint="3F"/>
      </w:tcPr>
    </w:tblStylePr>
    <w:tblStylePr w:type="band1Horz">
      <w:tblPr/>
      <w:tcPr>
        <w:tcBorders>
          <w:top w:val="nil"/>
          <w:bottom w:val="nil"/>
          <w:insideH w:val="nil"/>
          <w:insideV w:val="nil"/>
        </w:tcBorders>
        <w:shd w:val="clear" w:color="auto" w:fill="FFDBBA"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AAE2" w:themeColor="accent5"/>
        <w:left w:val="single" w:sz="8" w:space="0" w:color="66AAE2" w:themeColor="accent5"/>
        <w:bottom w:val="single" w:sz="8" w:space="0" w:color="66AAE2" w:themeColor="accent5"/>
        <w:right w:val="single" w:sz="8" w:space="0" w:color="66AAE2" w:themeColor="accent5"/>
      </w:tblBorders>
    </w:tblPr>
    <w:tblStylePr w:type="firstRow">
      <w:rPr>
        <w:sz w:val="24"/>
        <w:szCs w:val="24"/>
      </w:rPr>
      <w:tblPr/>
      <w:tcPr>
        <w:tcBorders>
          <w:top w:val="nil"/>
          <w:left w:val="nil"/>
          <w:bottom w:val="single" w:sz="24" w:space="0" w:color="66AAE2" w:themeColor="accent5"/>
          <w:right w:val="nil"/>
          <w:insideH w:val="nil"/>
          <w:insideV w:val="nil"/>
        </w:tcBorders>
        <w:shd w:val="clear" w:color="auto" w:fill="FFFFFF" w:themeFill="background1"/>
      </w:tcPr>
    </w:tblStylePr>
    <w:tblStylePr w:type="lastRow">
      <w:tblPr/>
      <w:tcPr>
        <w:tcBorders>
          <w:top w:val="single" w:sz="8" w:space="0" w:color="66AAE2"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AAE2" w:themeColor="accent5"/>
          <w:insideH w:val="nil"/>
          <w:insideV w:val="nil"/>
        </w:tcBorders>
        <w:shd w:val="clear" w:color="auto" w:fill="FFFFFF" w:themeFill="background1"/>
      </w:tcPr>
    </w:tblStylePr>
    <w:tblStylePr w:type="lastCol">
      <w:tblPr/>
      <w:tcPr>
        <w:tcBorders>
          <w:top w:val="nil"/>
          <w:left w:val="single" w:sz="8" w:space="0" w:color="66AAE2"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9F7" w:themeFill="accent5" w:themeFillTint="3F"/>
      </w:tcPr>
    </w:tblStylePr>
    <w:tblStylePr w:type="band1Horz">
      <w:tblPr/>
      <w:tcPr>
        <w:tcBorders>
          <w:top w:val="nil"/>
          <w:bottom w:val="nil"/>
          <w:insideH w:val="nil"/>
          <w:insideV w:val="nil"/>
        </w:tcBorders>
        <w:shd w:val="clear" w:color="auto" w:fill="D9E9F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F2AB66" w:themeColor="accent6"/>
        <w:left w:val="single" w:sz="8" w:space="0" w:color="F2AB66" w:themeColor="accent6"/>
        <w:bottom w:val="single" w:sz="8" w:space="0" w:color="F2AB66" w:themeColor="accent6"/>
        <w:right w:val="single" w:sz="8" w:space="0" w:color="F2AB66" w:themeColor="accent6"/>
      </w:tblBorders>
    </w:tblPr>
    <w:tblStylePr w:type="firstRow">
      <w:rPr>
        <w:sz w:val="24"/>
        <w:szCs w:val="24"/>
      </w:rPr>
      <w:tblPr/>
      <w:tcPr>
        <w:tcBorders>
          <w:top w:val="nil"/>
          <w:left w:val="nil"/>
          <w:bottom w:val="single" w:sz="24" w:space="0" w:color="F2AB66" w:themeColor="accent6"/>
          <w:right w:val="nil"/>
          <w:insideH w:val="nil"/>
          <w:insideV w:val="nil"/>
        </w:tcBorders>
        <w:shd w:val="clear" w:color="auto" w:fill="FFFFFF" w:themeFill="background1"/>
      </w:tcPr>
    </w:tblStylePr>
    <w:tblStylePr w:type="lastRow">
      <w:tblPr/>
      <w:tcPr>
        <w:tcBorders>
          <w:top w:val="single" w:sz="8" w:space="0" w:color="F2AB6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2AB66" w:themeColor="accent6"/>
          <w:insideH w:val="nil"/>
          <w:insideV w:val="nil"/>
        </w:tcBorders>
        <w:shd w:val="clear" w:color="auto" w:fill="FFFFFF" w:themeFill="background1"/>
      </w:tcPr>
    </w:tblStylePr>
    <w:tblStylePr w:type="lastCol">
      <w:tblPr/>
      <w:tcPr>
        <w:tcBorders>
          <w:top w:val="nil"/>
          <w:left w:val="single" w:sz="8" w:space="0" w:color="F2AB6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E9D8" w:themeFill="accent6" w:themeFillTint="3F"/>
      </w:tcPr>
    </w:tblStylePr>
    <w:tblStylePr w:type="band1Horz">
      <w:tblPr/>
      <w:tcPr>
        <w:tcBorders>
          <w:top w:val="nil"/>
          <w:bottom w:val="nil"/>
          <w:insideH w:val="nil"/>
          <w:insideV w:val="nil"/>
        </w:tcBorders>
        <w:shd w:val="clear" w:color="auto" w:fill="FBE9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Pr>
    <w:tcPr>
      <w:shd w:val="clear" w:color="auto" w:fill="C9C7C7" w:themeFill="text1" w:themeFillTint="3F"/>
    </w:tc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Pr>
    <w:tcPr>
      <w:shd w:val="clear" w:color="auto" w:fill="B3DDFF" w:themeFill="accent1" w:themeFillTint="3F"/>
    </w:tcPr>
    <w:tblStylePr w:type="firstRow">
      <w:pPr>
        <w:spacing w:before="0" w:after="0" w:line="240" w:lineRule="auto"/>
      </w:pPr>
      <w:rPr>
        <w:b/>
        <w:bCs/>
        <w:color w:val="FFFFFF" w:themeColor="background1"/>
      </w:rPr>
      <w:tblPr/>
      <w:tcPr>
        <w:tc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shd w:val="clear" w:color="auto" w:fill="0072CE" w:themeFill="accent1"/>
      </w:tcPr>
    </w:tblStylePr>
    <w:tblStylePr w:type="lastRow">
      <w:pPr>
        <w:spacing w:before="0" w:after="0" w:line="240" w:lineRule="auto"/>
      </w:pPr>
      <w:rPr>
        <w:b/>
        <w:bCs/>
      </w:rPr>
      <w:tblPr/>
      <w:tcPr>
        <w:tcBorders>
          <w:top w:val="double" w:sz="6"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DD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Pr>
    <w:tcPr>
      <w:shd w:val="clear" w:color="auto" w:fill="FFDBBA" w:themeFill="accent2" w:themeFillTint="3F"/>
    </w:tcPr>
    <w:tblStylePr w:type="firstRow">
      <w:pPr>
        <w:spacing w:before="0" w:after="0" w:line="240" w:lineRule="auto"/>
      </w:pPr>
      <w:rPr>
        <w:b/>
        <w:bCs/>
        <w:color w:val="FFFFFF" w:themeColor="background1"/>
      </w:rPr>
      <w:tblPr/>
      <w:tcPr>
        <w:tcBorders>
          <w:top w:val="single" w:sz="8" w:space="0" w:color="FF9430" w:themeColor="accent2" w:themeTint="BF"/>
          <w:left w:val="single" w:sz="8" w:space="0" w:color="FF9430" w:themeColor="accent2" w:themeTint="BF"/>
          <w:bottom w:val="single" w:sz="8" w:space="0" w:color="FF9430" w:themeColor="accent2" w:themeTint="BF"/>
          <w:right w:val="single" w:sz="8" w:space="0" w:color="FF9430" w:themeColor="accent2" w:themeTint="BF"/>
          <w:insideH w:val="nil"/>
          <w:insideV w:val="nil"/>
        </w:tcBorders>
        <w:shd w:val="clear" w:color="auto" w:fill="EA7200" w:themeFill="accent2"/>
      </w:tcPr>
    </w:tblStylePr>
    <w:tblStylePr w:type="lastRow">
      <w:pPr>
        <w:spacing w:before="0" w:after="0" w:line="240" w:lineRule="auto"/>
      </w:pPr>
      <w:rPr>
        <w:b/>
        <w:bCs/>
      </w:rPr>
      <w:tblPr/>
      <w:tcPr>
        <w:tcBorders>
          <w:top w:val="double" w:sz="6" w:space="0" w:color="FF9430" w:themeColor="accent2" w:themeTint="BF"/>
          <w:left w:val="single" w:sz="8" w:space="0" w:color="FF9430" w:themeColor="accent2" w:themeTint="BF"/>
          <w:bottom w:val="single" w:sz="8" w:space="0" w:color="FF9430" w:themeColor="accent2" w:themeTint="BF"/>
          <w:right w:val="single" w:sz="8" w:space="0" w:color="FF943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DBBA"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Pr>
    <w:tcPr>
      <w:shd w:val="clear" w:color="auto" w:fill="ACFFFA" w:themeFill="accent3" w:themeFillTint="3F"/>
    </w:tc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Pr>
    <w:tcPr>
      <w:shd w:val="clear" w:color="auto" w:fill="BBAFE7" w:themeFill="accent4" w:themeFillTint="3F"/>
    </w:tc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Pr>
    <w:tcPr>
      <w:shd w:val="clear" w:color="auto" w:fill="D9E9F7" w:themeFill="accent5" w:themeFillTint="3F"/>
    </w:tcPr>
    <w:tblStylePr w:type="firstRow">
      <w:pPr>
        <w:spacing w:before="0" w:after="0" w:line="240" w:lineRule="auto"/>
      </w:pPr>
      <w:rPr>
        <w:b/>
        <w:bCs/>
        <w:color w:val="FFFFFF" w:themeColor="background1"/>
      </w:rPr>
      <w:tblPr/>
      <w:tcPr>
        <w:tcBorders>
          <w:top w:val="single" w:sz="8" w:space="0" w:color="8CBFE9" w:themeColor="accent5" w:themeTint="BF"/>
          <w:left w:val="single" w:sz="8" w:space="0" w:color="8CBFE9" w:themeColor="accent5" w:themeTint="BF"/>
          <w:bottom w:val="single" w:sz="8" w:space="0" w:color="8CBFE9" w:themeColor="accent5" w:themeTint="BF"/>
          <w:right w:val="single" w:sz="8" w:space="0" w:color="8CBFE9" w:themeColor="accent5" w:themeTint="BF"/>
          <w:insideH w:val="nil"/>
          <w:insideV w:val="nil"/>
        </w:tcBorders>
        <w:shd w:val="clear" w:color="auto" w:fill="66AAE2" w:themeFill="accent5"/>
      </w:tcPr>
    </w:tblStylePr>
    <w:tblStylePr w:type="lastRow">
      <w:pPr>
        <w:spacing w:before="0" w:after="0" w:line="240" w:lineRule="auto"/>
      </w:pPr>
      <w:rPr>
        <w:b/>
        <w:bCs/>
      </w:rPr>
      <w:tblPr/>
      <w:tcPr>
        <w:tcBorders>
          <w:top w:val="double" w:sz="6" w:space="0" w:color="8CBFE9" w:themeColor="accent5" w:themeTint="BF"/>
          <w:left w:val="single" w:sz="8" w:space="0" w:color="8CBFE9" w:themeColor="accent5" w:themeTint="BF"/>
          <w:bottom w:val="single" w:sz="8" w:space="0" w:color="8CBFE9" w:themeColor="accent5" w:themeTint="BF"/>
          <w:right w:val="single" w:sz="8" w:space="0" w:color="8CBFE9"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9F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Pr>
    <w:tcPr>
      <w:shd w:val="clear" w:color="auto" w:fill="FBE9D8" w:themeFill="accent6" w:themeFillTint="3F"/>
    </w:tcPr>
    <w:tblStylePr w:type="firstRow">
      <w:pPr>
        <w:spacing w:before="0" w:after="0" w:line="240" w:lineRule="auto"/>
      </w:pPr>
      <w:rPr>
        <w:b/>
        <w:bCs/>
        <w:color w:val="FFFFFF" w:themeColor="background1"/>
      </w:rPr>
      <w:tblPr/>
      <w:tcPr>
        <w:tcBorders>
          <w:top w:val="single" w:sz="8" w:space="0" w:color="F5BF8C" w:themeColor="accent6" w:themeTint="BF"/>
          <w:left w:val="single" w:sz="8" w:space="0" w:color="F5BF8C" w:themeColor="accent6" w:themeTint="BF"/>
          <w:bottom w:val="single" w:sz="8" w:space="0" w:color="F5BF8C" w:themeColor="accent6" w:themeTint="BF"/>
          <w:right w:val="single" w:sz="8" w:space="0" w:color="F5BF8C" w:themeColor="accent6" w:themeTint="BF"/>
          <w:insideH w:val="nil"/>
          <w:insideV w:val="nil"/>
        </w:tcBorders>
        <w:shd w:val="clear" w:color="auto" w:fill="F2AB66" w:themeFill="accent6"/>
      </w:tcPr>
    </w:tblStylePr>
    <w:tblStylePr w:type="lastRow">
      <w:pPr>
        <w:spacing w:before="0" w:after="0" w:line="240" w:lineRule="auto"/>
      </w:pPr>
      <w:rPr>
        <w:b/>
        <w:bCs/>
      </w:rPr>
      <w:tblPr/>
      <w:tcPr>
        <w:tcBorders>
          <w:top w:val="double" w:sz="6" w:space="0" w:color="F5BF8C" w:themeColor="accent6" w:themeTint="BF"/>
          <w:left w:val="single" w:sz="8" w:space="0" w:color="F5BF8C" w:themeColor="accent6" w:themeTint="BF"/>
          <w:bottom w:val="single" w:sz="8" w:space="0" w:color="F5BF8C" w:themeColor="accent6" w:themeTint="BF"/>
          <w:right w:val="single" w:sz="8" w:space="0" w:color="F5BF8C" w:themeColor="accent6" w:themeTint="BF"/>
          <w:insideH w:val="nil"/>
          <w:insideV w:val="nil"/>
        </w:tcBorders>
      </w:tcPr>
    </w:tblStylePr>
    <w:tblStylePr w:type="firstCol">
      <w:rPr>
        <w:b/>
        <w:bCs/>
      </w:rPr>
    </w:tblStylePr>
    <w:tblStylePr w:type="lastCol">
      <w:rPr>
        <w:b/>
        <w:bCs/>
      </w:rPr>
    </w:tblStylePr>
    <w:tblStylePr w:type="band1Vert">
      <w:tblPr/>
      <w:tcPr>
        <w:shd w:val="clear" w:color="auto" w:fill="FBE9D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C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CE" w:themeFill="accent1"/>
      </w:tcPr>
    </w:tblStylePr>
    <w:tblStylePr w:type="lastCol">
      <w:rPr>
        <w:b/>
        <w:bCs/>
        <w:color w:val="FFFFFF" w:themeColor="background1"/>
      </w:rPr>
      <w:tblPr/>
      <w:tcPr>
        <w:tcBorders>
          <w:left w:val="nil"/>
          <w:right w:val="nil"/>
          <w:insideH w:val="nil"/>
          <w:insideV w:val="nil"/>
        </w:tcBorders>
        <w:shd w:val="clear" w:color="auto" w:fill="0072C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A72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A7200" w:themeFill="accent2"/>
      </w:tcPr>
    </w:tblStylePr>
    <w:tblStylePr w:type="lastCol">
      <w:rPr>
        <w:b/>
        <w:bCs/>
        <w:color w:val="FFFFFF" w:themeColor="background1"/>
      </w:rPr>
      <w:tblPr/>
      <w:tcPr>
        <w:tcBorders>
          <w:left w:val="nil"/>
          <w:right w:val="nil"/>
          <w:insideH w:val="nil"/>
          <w:insideV w:val="nil"/>
        </w:tcBorders>
        <w:shd w:val="clear" w:color="auto" w:fill="EA72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AAE2"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AAE2" w:themeFill="accent5"/>
      </w:tcPr>
    </w:tblStylePr>
    <w:tblStylePr w:type="lastCol">
      <w:rPr>
        <w:b/>
        <w:bCs/>
        <w:color w:val="FFFFFF" w:themeColor="background1"/>
      </w:rPr>
      <w:tblPr/>
      <w:tcPr>
        <w:tcBorders>
          <w:left w:val="nil"/>
          <w:right w:val="nil"/>
          <w:insideH w:val="nil"/>
          <w:insideV w:val="nil"/>
        </w:tcBorders>
        <w:shd w:val="clear" w:color="auto" w:fill="66AAE2"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2AB6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2AB66" w:themeFill="accent6"/>
      </w:tcPr>
    </w:tblStylePr>
    <w:tblStylePr w:type="lastCol">
      <w:rPr>
        <w:b/>
        <w:bCs/>
        <w:color w:val="FFFFFF" w:themeColor="background1"/>
      </w:rPr>
      <w:tblPr/>
      <w:tcPr>
        <w:tcBorders>
          <w:left w:val="nil"/>
          <w:right w:val="nil"/>
          <w:insideH w:val="nil"/>
          <w:insideV w:val="nil"/>
        </w:tcBorders>
        <w:shd w:val="clear" w:color="auto" w:fill="F2AB6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cPr>
      <w:tcBorders>
        <w:right w:val="single" w:sz="4" w:space="0" w:color="918E8E" w:themeColor="text1" w:themeTint="80"/>
      </w:tcBorders>
    </w:tc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StylePr>
    <w:tblStylePr w:type="lastCol">
      <w:rPr>
        <w:b/>
        <w:bCs/>
        <w:caps/>
      </w:r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Pr w:type="firstRow">
      <w:rPr>
        <w:b/>
        <w:bCs/>
      </w:rPr>
    </w:tblStylePr>
    <w:tblStylePr w:type="lastRow">
      <w:rPr>
        <w:b/>
        <w:bCs/>
      </w:rPr>
    </w:tblStylePr>
    <w:tblStylePr w:type="firstCol">
      <w:rPr>
        <w:b/>
        <w:bCs/>
      </w:rPr>
    </w:tblStylePr>
    <w:tblStylePr w:type="lastCol">
      <w:rPr>
        <w:b/>
        <w:bCs/>
      </w:rPr>
    </w:tblStylePr>
  </w:style>
  <w:style w:type="table" w:styleId="PlainTable5">
    <w:name w:val="Plain Table 5"/>
    <w:basedOn w:val="TableNormal"/>
    <w:uiPriority w:val="45"/>
    <w:semiHidden/>
    <w:rsid w:val="0058629F"/>
    <w:tblPr>
      <w:tblStyleRowBandSize w:val="1"/>
      <w:tblStyleColBandSize w:val="1"/>
    </w:tblPr>
    <w:tcPr>
      <w:shd w:val="clear" w:color="auto" w:fill="FFFFFF" w:themeFill="background1"/>
    </w:tc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cPr>
      <w:tcBorders>
        <w:bottom w:val="single" w:sz="6" w:space="0" w:color="FFFFFF"/>
      </w:tcBorders>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aliases w:val="Table No Border"/>
    <w:basedOn w:val="TableNormal"/>
    <w:rsid w:val="00EC4055"/>
    <w:pPr>
      <w:spacing w:before="70" w:after="70"/>
    </w:pPr>
    <w:tblPr>
      <w:tblStyleColBandSize w:val="1"/>
    </w:tblPr>
    <w:tcPr>
      <w:shd w:val="clear" w:color="auto" w:fill="CCE3F5" w:themeFill="background2"/>
    </w:tcPr>
    <w:tblStylePr w:type="firstRow">
      <w:pPr>
        <w:keepNext/>
        <w:wordWrap/>
      </w:pPr>
      <w:rPr>
        <w:color w:val="FFFFFF"/>
      </w:rPr>
      <w:tblPr/>
      <w:tcPr>
        <w:tcBorders>
          <w:top w:val="nil"/>
          <w:left w:val="nil"/>
          <w:bottom w:val="nil"/>
          <w:right w:val="nil"/>
          <w:insideH w:val="nil"/>
          <w:insideV w:val="nil"/>
        </w:tcBorders>
        <w:shd w:val="clear" w:color="auto" w:fill="0072CE" w:themeFill="accent1"/>
      </w:tcPr>
    </w:tblStylePr>
    <w:tblStylePr w:type="firstCol">
      <w:tblPr/>
      <w:tcPr>
        <w:shd w:val="clear" w:color="auto" w:fill="FFFFFF" w:themeFill="background1"/>
      </w:tcPr>
    </w:tblStylePr>
  </w:style>
  <w:style w:type="table" w:styleId="TableList1">
    <w:name w:val="Table List 1"/>
    <w:basedOn w:val="TableNormal"/>
    <w:semiHidden/>
    <w:rsid w:val="0058629F"/>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rsid w:val="0058629F"/>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rsid w:val="00D12263"/>
    <w:rPr>
      <w:sz w:val="16"/>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rsid w:val="00783D00"/>
    <w:pPr>
      <w:spacing w:before="0" w:after="0" w:line="240" w:lineRule="auto"/>
    </w:pPr>
    <w:rPr>
      <w:rFonts w:cs="Arial"/>
      <w:b/>
      <w:color w:val="201547" w:themeColor="text2"/>
      <w:spacing w:val="-4"/>
      <w:kern w:val="28"/>
      <w:sz w:val="28"/>
      <w:szCs w:val="42"/>
    </w:rPr>
  </w:style>
  <w:style w:type="paragraph" w:customStyle="1" w:styleId="xPartnerLogo">
    <w:name w:val="xPartnerLogo"/>
    <w:basedOn w:val="NoSpacing"/>
    <w:uiPriority w:val="99"/>
    <w:rsid w:val="00081719"/>
    <w:pPr>
      <w:framePr w:h="709" w:hRule="exact" w:wrap="around" w:vAnchor="page" w:hAnchor="page" w:x="568" w:y="15452"/>
    </w:pPr>
    <w:rPr>
      <w:b/>
      <w:color w:val="201547" w:themeColor="text2"/>
      <w:sz w:val="28"/>
    </w:rPr>
  </w:style>
  <w:style w:type="paragraph" w:customStyle="1" w:styleId="xVicLogo">
    <w:name w:val="xVicLogo"/>
    <w:basedOn w:val="NoSpacing"/>
    <w:uiPriority w:val="99"/>
    <w:rsid w:val="00C33BEC"/>
    <w:pPr>
      <w:framePr w:wrap="around" w:vAnchor="page" w:hAnchor="page" w:x="8602" w:y="15452"/>
    </w:pPr>
  </w:style>
  <w:style w:type="numbering" w:customStyle="1" w:styleId="MyHeadings">
    <w:name w:val="MyHeadings"/>
    <w:uiPriority w:val="99"/>
    <w:rsid w:val="0058629F"/>
    <w:pPr>
      <w:numPr>
        <w:numId w:val="3"/>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SectionSubtitle">
    <w:name w:val="Section Subtitle"/>
    <w:basedOn w:val="Normal"/>
    <w:uiPriority w:val="3"/>
    <w:rsid w:val="002F5718"/>
    <w:pPr>
      <w:shd w:val="clear" w:color="auto" w:fill="201547" w:themeFill="text2"/>
      <w:spacing w:before="0" w:after="0" w:line="276" w:lineRule="auto"/>
    </w:pPr>
    <w:rPr>
      <w:color w:val="FFFFFF" w:themeColor="background1"/>
      <w:sz w:val="24"/>
    </w:rPr>
  </w:style>
  <w:style w:type="paragraph" w:customStyle="1" w:styleId="IntroFeatureText">
    <w:name w:val="Intro/Feature Text"/>
    <w:basedOn w:val="Normal"/>
    <w:next w:val="Normal"/>
    <w:qFormat/>
    <w:rsid w:val="00801AD3"/>
    <w:pPr>
      <w:spacing w:before="160" w:after="160"/>
    </w:pPr>
    <w:rPr>
      <w:color w:val="201547" w:themeColor="text2"/>
      <w:spacing w:val="-1"/>
      <w:sz w:val="24"/>
      <w:szCs w:val="24"/>
    </w:rPr>
  </w:style>
  <w:style w:type="paragraph" w:styleId="ListNumber4">
    <w:name w:val="List Number 4"/>
    <w:basedOn w:val="Normal"/>
    <w:unhideWhenUsed/>
    <w:rsid w:val="00B45695"/>
    <w:pPr>
      <w:numPr>
        <w:ilvl w:val="3"/>
        <w:numId w:val="6"/>
      </w:numPr>
    </w:pPr>
  </w:style>
  <w:style w:type="paragraph" w:customStyle="1" w:styleId="Source">
    <w:name w:val="Source"/>
    <w:basedOn w:val="Normal"/>
    <w:next w:val="BodyText"/>
    <w:qFormat/>
    <w:rsid w:val="00853A46"/>
    <w:pPr>
      <w:numPr>
        <w:numId w:val="7"/>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6"/>
      </w:numPr>
    </w:pPr>
  </w:style>
  <w:style w:type="paragraph" w:styleId="Subtitle">
    <w:name w:val="Subtitle"/>
    <w:basedOn w:val="Normal"/>
    <w:next w:val="Normal"/>
    <w:link w:val="SubtitleChar"/>
    <w:uiPriority w:val="99"/>
    <w:rsid w:val="00576577"/>
    <w:pPr>
      <w:numPr>
        <w:ilvl w:val="1"/>
      </w:numPr>
      <w:spacing w:before="200" w:after="0" w:line="240" w:lineRule="auto"/>
      <w:contextualSpacing/>
    </w:pPr>
    <w:rPr>
      <w:rFonts w:eastAsiaTheme="minorEastAsia" w:cstheme="minorBidi"/>
      <w:color w:val="201547" w:themeColor="text2"/>
      <w:sz w:val="24"/>
      <w:szCs w:val="18"/>
    </w:rPr>
  </w:style>
  <w:style w:type="character" w:customStyle="1" w:styleId="SubtitleChar">
    <w:name w:val="Subtitle Char"/>
    <w:basedOn w:val="DefaultParagraphFont"/>
    <w:link w:val="Subtitle"/>
    <w:uiPriority w:val="99"/>
    <w:rsid w:val="00576577"/>
    <w:rPr>
      <w:rFonts w:eastAsiaTheme="minorEastAsia" w:cstheme="minorBidi"/>
      <w:color w:val="201547" w:themeColor="text2"/>
      <w:sz w:val="24"/>
      <w:szCs w:val="18"/>
    </w:rPr>
  </w:style>
  <w:style w:type="paragraph" w:customStyle="1" w:styleId="xProjectBar">
    <w:name w:val="xProjectBar"/>
    <w:basedOn w:val="Normal"/>
    <w:next w:val="Normal"/>
    <w:uiPriority w:val="99"/>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link w:val="TableTextLeftChar"/>
    <w:qFormat/>
    <w:rsid w:val="00D26A13"/>
    <w:pPr>
      <w:spacing w:before="70" w:after="70"/>
    </w:pPr>
    <w:rPr>
      <w:sz w:val="18"/>
    </w:r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99"/>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9"/>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8"/>
      </w:numPr>
      <w:spacing w:before="60" w:after="100" w:afterAutospacing="1"/>
      <w:contextualSpacing/>
    </w:pPr>
    <w:rPr>
      <w:rFonts w:cs="Calibri"/>
      <w:sz w:val="18"/>
      <w:szCs w:val="17"/>
    </w:rPr>
  </w:style>
  <w:style w:type="paragraph" w:styleId="ListParagraph">
    <w:name w:val="List Paragraph"/>
    <w:aliases w:val="PECI Bullets (Content)"/>
    <w:basedOn w:val="Normal"/>
    <w:link w:val="ListParagraphChar"/>
    <w:uiPriority w:val="34"/>
    <w:qFormat/>
    <w:rsid w:val="00816257"/>
    <w:pPr>
      <w:ind w:left="720"/>
      <w:contextualSpacing/>
    </w:pPr>
  </w:style>
  <w:style w:type="character" w:styleId="Strong">
    <w:name w:val="Strong"/>
    <w:basedOn w:val="DefaultParagraphFont"/>
    <w:uiPriority w:val="22"/>
    <w:rsid w:val="007577B1"/>
    <w:rPr>
      <w:b/>
      <w:bCs/>
    </w:r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0"/>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72CE"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character" w:customStyle="1" w:styleId="SectionTitle">
    <w:name w:val="Section Title"/>
    <w:uiPriority w:val="3"/>
    <w:rsid w:val="00A1606D"/>
    <w:rPr>
      <w:color w:val="FFFFFF" w:themeColor="background1"/>
      <w:bdr w:val="none" w:sz="0" w:space="0" w:color="auto"/>
      <w:shd w:val="clear" w:color="auto" w:fill="auto"/>
    </w:r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style>
  <w:style w:type="paragraph" w:customStyle="1" w:styleId="xPartnerLogosInsideCover">
    <w:name w:val="xPartnerLogos_InsideCover"/>
    <w:basedOn w:val="NoSpacing"/>
    <w:next w:val="BodyText"/>
    <w:uiPriority w:val="99"/>
    <w:rsid w:val="00EE4D70"/>
    <w:pPr>
      <w:tabs>
        <w:tab w:val="left" w:pos="2948"/>
        <w:tab w:val="left" w:pos="5897"/>
      </w:tabs>
      <w:spacing w:before="200" w:after="200"/>
    </w:p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1"/>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style>
  <w:style w:type="paragraph" w:customStyle="1" w:styleId="FooterEven">
    <w:name w:val="Footer Even"/>
    <w:next w:val="Footer"/>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style>
  <w:style w:type="paragraph" w:customStyle="1" w:styleId="DisclaimerText">
    <w:name w:val="Disclaimer Text"/>
    <w:basedOn w:val="Normal"/>
    <w:uiPriority w:val="99"/>
    <w:semiHidden/>
    <w:rsid w:val="002A4F2A"/>
    <w:pPr>
      <w:framePr w:hSpace="181" w:wrap="around" w:hAnchor="margin" w:yAlign="bottom"/>
      <w:spacing w:before="0" w:after="9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B16A3D"/>
    <w:pPr>
      <w:pBdr>
        <w:top w:val="single" w:sz="4" w:space="14" w:color="0072CE" w:themeColor="accent1"/>
        <w:left w:val="single" w:sz="4" w:space="12" w:color="0072CE" w:themeColor="accent1"/>
        <w:bottom w:val="single" w:sz="4" w:space="14" w:color="0072CE" w:themeColor="accent1"/>
        <w:right w:val="single" w:sz="4" w:space="12" w:color="0072CE" w:themeColor="accent1"/>
      </w:pBdr>
      <w:shd w:val="clear" w:color="auto" w:fill="0072CE" w:themeFill="accent1"/>
      <w:tabs>
        <w:tab w:val="left" w:pos="2268"/>
        <w:tab w:val="left" w:pos="4536"/>
        <w:tab w:val="left" w:pos="6804"/>
        <w:tab w:val="right" w:pos="9638"/>
      </w:tabs>
      <w:spacing w:line="300" w:lineRule="exact"/>
      <w:ind w:left="284" w:right="284"/>
    </w:pPr>
    <w:rPr>
      <w:color w:val="FFFFFF"/>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2"/>
      </w:numPr>
      <w:tabs>
        <w:tab w:val="left" w:pos="1134"/>
      </w:tabs>
      <w:spacing w:before="120" w:after="120"/>
    </w:pPr>
    <w:rPr>
      <w:rFonts w:cs="Arial"/>
    </w:rPr>
  </w:style>
  <w:style w:type="paragraph" w:customStyle="1" w:styleId="QuoteBullet2">
    <w:name w:val="Quote Bullet 2"/>
    <w:basedOn w:val="Quote"/>
    <w:qFormat/>
    <w:rsid w:val="00AC1C83"/>
    <w:pPr>
      <w:numPr>
        <w:ilvl w:val="1"/>
        <w:numId w:val="12"/>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rPr>
  </w:style>
  <w:style w:type="paragraph" w:customStyle="1" w:styleId="TableHeadingCentre">
    <w:name w:val="Table Heading Centre"/>
    <w:basedOn w:val="TableTextCentre"/>
    <w:qFormat/>
    <w:rsid w:val="00D05BC2"/>
    <w:pPr>
      <w:keepNext/>
    </w:pPr>
    <w:rPr>
      <w:b/>
      <w:color w:val="FFFFFF"/>
    </w:rPr>
  </w:style>
  <w:style w:type="paragraph" w:customStyle="1" w:styleId="TableHeadingRight">
    <w:name w:val="Table Heading Right"/>
    <w:basedOn w:val="TableTextRight"/>
    <w:qFormat/>
    <w:rsid w:val="00D05BC2"/>
    <w:pPr>
      <w:keepNext/>
    </w:pPr>
    <w:rPr>
      <w:b/>
      <w:color w:val="FFFFFF"/>
    </w:rPr>
  </w:style>
  <w:style w:type="paragraph" w:customStyle="1" w:styleId="xDisclaimerHeading">
    <w:name w:val="xDisclaimer Heading"/>
    <w:basedOn w:val="NoSpacing"/>
    <w:rsid w:val="00064813"/>
    <w:pPr>
      <w:spacing w:before="120" w:after="120"/>
    </w:pPr>
    <w:rPr>
      <w:b/>
    </w:rPr>
  </w:style>
  <w:style w:type="paragraph" w:customStyle="1" w:styleId="DisclaimerTextLeftBold">
    <w:name w:val="Disclaimer Text Left Bold"/>
    <w:basedOn w:val="DisclaimerTextLeft"/>
    <w:next w:val="DisclaimerTextLeft"/>
    <w:uiPriority w:val="99"/>
    <w:semiHidden/>
    <w:rsid w:val="00740ECE"/>
    <w:pPr>
      <w:framePr w:wrap="around"/>
    </w:pPr>
    <w:rPr>
      <w:b/>
    </w:rPr>
  </w:style>
  <w:style w:type="paragraph" w:customStyle="1" w:styleId="DisclaimerTextLeft">
    <w:name w:val="Disclaimer Text Left"/>
    <w:basedOn w:val="DisclaimerText"/>
    <w:uiPriority w:val="99"/>
    <w:semiHidden/>
    <w:rsid w:val="00740ECE"/>
    <w:pPr>
      <w:framePr w:wrap="around"/>
    </w:pPr>
  </w:style>
  <w:style w:type="paragraph" w:customStyle="1" w:styleId="DisclaimerTextRightBold">
    <w:name w:val="Disclaimer Text Right Bold"/>
    <w:basedOn w:val="Normal"/>
    <w:uiPriority w:val="99"/>
    <w:semiHidden/>
    <w:rsid w:val="00740ECE"/>
    <w:pPr>
      <w:framePr w:hSpace="181" w:wrap="around" w:hAnchor="margin" w:yAlign="bottom"/>
      <w:spacing w:before="0" w:after="90"/>
      <w:suppressOverlap/>
    </w:pPr>
    <w:rPr>
      <w:rFonts w:ascii="Arial Bold" w:hAnsi="Arial Bold" w:cs="Arial"/>
      <w:color w:val="232222" w:themeColor="text1"/>
    </w:rPr>
  </w:style>
  <w:style w:type="paragraph" w:customStyle="1" w:styleId="DisclaimerTextRight12pt">
    <w:name w:val="Disclaimer Text Right 12pt"/>
    <w:basedOn w:val="Normal"/>
    <w:uiPriority w:val="99"/>
    <w:semiHidden/>
    <w:rsid w:val="00740ECE"/>
    <w:pPr>
      <w:framePr w:hSpace="181" w:wrap="around" w:hAnchor="margin" w:yAlign="bottom"/>
      <w:spacing w:before="0" w:after="90"/>
      <w:suppressOverlap/>
    </w:pPr>
    <w:rPr>
      <w:rFonts w:cs="Arial"/>
      <w:color w:val="232222" w:themeColor="text1"/>
      <w:sz w:val="24"/>
    </w:rPr>
  </w:style>
  <w:style w:type="paragraph" w:customStyle="1" w:styleId="DisclaimerTextRightBold12pt">
    <w:name w:val="Disclaimer Text Right Bold 12 pt"/>
    <w:basedOn w:val="DisclaimerTextRightBold"/>
    <w:next w:val="DisclaimerTextRight12pt"/>
    <w:uiPriority w:val="99"/>
    <w:semiHidden/>
    <w:rsid w:val="00E4201F"/>
    <w:pPr>
      <w:framePr w:wrap="around"/>
    </w:pPr>
    <w:rPr>
      <w:sz w:val="24"/>
    </w:rPr>
  </w:style>
  <w:style w:type="paragraph" w:customStyle="1" w:styleId="DisclaimerTextRight">
    <w:name w:val="Disclaimer Text Right"/>
    <w:basedOn w:val="DisclaimerText"/>
    <w:uiPriority w:val="99"/>
    <w:semiHidden/>
    <w:rsid w:val="000957C3"/>
    <w:pPr>
      <w:framePr w:wrap="around"/>
    </w:pPr>
  </w:style>
  <w:style w:type="paragraph" w:customStyle="1" w:styleId="xWebBackCover">
    <w:name w:val="xWebBackCover"/>
    <w:basedOn w:val="NoSpacing"/>
    <w:semiHidden/>
    <w:rsid w:val="00E97B47"/>
    <w:pPr>
      <w:shd w:val="clear" w:color="auto" w:fill="201547" w:themeFill="text2"/>
    </w:pPr>
    <w:rPr>
      <w:b/>
      <w:bCs/>
      <w:color w:val="FFFFFF" w:themeColor="background1"/>
      <w:sz w:val="21"/>
      <w:szCs w:val="21"/>
      <w:lang w:val="en-US"/>
    </w:rPr>
  </w:style>
  <w:style w:type="paragraph" w:customStyle="1" w:styleId="Heading1-Topofpage">
    <w:name w:val="Heading 1 - Top of page"/>
    <w:basedOn w:val="Heading1"/>
    <w:qFormat/>
    <w:rsid w:val="0079482A"/>
    <w:pPr>
      <w:spacing w:before="0"/>
    </w:pPr>
  </w:style>
  <w:style w:type="character" w:customStyle="1" w:styleId="TableTextLeftChar">
    <w:name w:val="Table Text Left Char"/>
    <w:basedOn w:val="DefaultParagraphFont"/>
    <w:link w:val="TableTextLeft"/>
    <w:rsid w:val="00D26A13"/>
    <w:rPr>
      <w:sz w:val="18"/>
    </w:rPr>
  </w:style>
  <w:style w:type="table" w:customStyle="1" w:styleId="Calculations">
    <w:name w:val="Calculations"/>
    <w:basedOn w:val="TableNormal"/>
    <w:uiPriority w:val="99"/>
    <w:rsid w:val="00FE4739"/>
    <w:pPr>
      <w:spacing w:before="70" w:after="70" w:line="240" w:lineRule="auto"/>
    </w:pPr>
    <w:tblPr/>
    <w:tcPr>
      <w:shd w:val="clear" w:color="auto" w:fill="CCE3F5" w:themeFill="background2"/>
    </w:tcPr>
    <w:tblStylePr w:type="firstRow">
      <w:rPr>
        <w:rFonts w:asciiTheme="majorHAnsi" w:hAnsiTheme="majorHAnsi"/>
        <w:b/>
        <w:sz w:val="18"/>
      </w:rPr>
    </w:tblStylePr>
  </w:style>
  <w:style w:type="paragraph" w:styleId="TOC9">
    <w:name w:val="toc 9"/>
    <w:basedOn w:val="Normal"/>
    <w:next w:val="Normal"/>
    <w:autoRedefine/>
    <w:uiPriority w:val="39"/>
    <w:unhideWhenUsed/>
    <w:rsid w:val="00087706"/>
    <w:pPr>
      <w:spacing w:before="0" w:after="100" w:line="259" w:lineRule="auto"/>
      <w:ind w:left="1760"/>
    </w:pPr>
    <w:rPr>
      <w:rFonts w:eastAsiaTheme="minorEastAsia" w:cstheme="minorBidi"/>
      <w:kern w:val="2"/>
      <w:sz w:val="22"/>
      <w:szCs w:val="22"/>
      <w14:ligatures w14:val="standardContextual"/>
    </w:rPr>
  </w:style>
  <w:style w:type="paragraph" w:customStyle="1" w:styleId="xDisclaimertext3">
    <w:name w:val="xDisclaimer text 3"/>
    <w:basedOn w:val="xDisclaimerText"/>
    <w:rsid w:val="00747A21"/>
    <w:pPr>
      <w:spacing w:before="60" w:after="60"/>
    </w:pPr>
  </w:style>
  <w:style w:type="character" w:styleId="PageNumber">
    <w:name w:val="page number"/>
    <w:basedOn w:val="DefaultParagraphFont"/>
    <w:semiHidden/>
    <w:rsid w:val="00747A21"/>
    <w:rPr>
      <w:rFonts w:ascii="Arial" w:hAnsi="Arial"/>
      <w:b/>
      <w:color w:val="auto"/>
      <w:sz w:val="16"/>
    </w:rPr>
  </w:style>
  <w:style w:type="paragraph" w:customStyle="1" w:styleId="Emailaddress">
    <w:name w:val="Email address"/>
    <w:basedOn w:val="Normal"/>
    <w:semiHidden/>
    <w:rsid w:val="00747A21"/>
    <w:pPr>
      <w:spacing w:before="0" w:after="0"/>
    </w:pPr>
    <w:rPr>
      <w:rFonts w:cs="Arial"/>
      <w:color w:val="232222" w:themeColor="text1"/>
      <w:sz w:val="16"/>
      <w:szCs w:val="16"/>
    </w:rPr>
  </w:style>
  <w:style w:type="character" w:customStyle="1" w:styleId="Italics">
    <w:name w:val="Italics"/>
    <w:rsid w:val="00747A21"/>
    <w:rPr>
      <w:i/>
    </w:rPr>
  </w:style>
  <w:style w:type="numbering" w:styleId="1ai">
    <w:name w:val="Outline List 1"/>
    <w:basedOn w:val="NoList"/>
    <w:rsid w:val="00747A21"/>
    <w:pPr>
      <w:numPr>
        <w:numId w:val="14"/>
      </w:numPr>
    </w:pPr>
  </w:style>
  <w:style w:type="paragraph" w:customStyle="1" w:styleId="xDoublePic">
    <w:name w:val="xDoublePic"/>
    <w:basedOn w:val="xInlineShape0"/>
    <w:semiHidden/>
    <w:rsid w:val="00747A21"/>
    <w:pPr>
      <w:spacing w:before="0" w:after="0"/>
    </w:pPr>
  </w:style>
  <w:style w:type="paragraph" w:customStyle="1" w:styleId="Footnotes">
    <w:name w:val="Footnotes"/>
    <w:basedOn w:val="Normal"/>
    <w:rsid w:val="00747A21"/>
    <w:pPr>
      <w:keepLines/>
      <w:numPr>
        <w:numId w:val="16"/>
      </w:numPr>
      <w:spacing w:before="60" w:after="100" w:afterAutospacing="1" w:line="180" w:lineRule="exact"/>
    </w:pPr>
    <w:rPr>
      <w:rFonts w:cs="Arial"/>
      <w:color w:val="232222" w:themeColor="text1"/>
      <w:sz w:val="14"/>
    </w:rPr>
  </w:style>
  <w:style w:type="character" w:customStyle="1" w:styleId="Superscript">
    <w:name w:val="Superscript"/>
    <w:semiHidden/>
    <w:rsid w:val="00747A21"/>
    <w:rPr>
      <w:vertAlign w:val="superscript"/>
    </w:rPr>
  </w:style>
  <w:style w:type="paragraph" w:customStyle="1" w:styleId="TableTextNumbered">
    <w:name w:val="Table Text Numbered"/>
    <w:basedOn w:val="TableTextLeft"/>
    <w:qFormat/>
    <w:rsid w:val="00747A21"/>
    <w:pPr>
      <w:tabs>
        <w:tab w:val="num" w:pos="482"/>
      </w:tabs>
      <w:spacing w:before="60" w:after="60" w:line="220" w:lineRule="atLeast"/>
      <w:ind w:left="482" w:right="113" w:hanging="369"/>
    </w:pPr>
    <w:rPr>
      <w:rFonts w:cs="Arial"/>
      <w:color w:val="232222" w:themeColor="text1"/>
    </w:rPr>
  </w:style>
  <w:style w:type="paragraph" w:customStyle="1" w:styleId="BoldHeading">
    <w:name w:val="Bold Heading"/>
    <w:basedOn w:val="Normal"/>
    <w:next w:val="BodyText"/>
    <w:qFormat/>
    <w:rsid w:val="00747A21"/>
    <w:pPr>
      <w:spacing w:before="280" w:after="240"/>
    </w:pPr>
    <w:rPr>
      <w:rFonts w:cs="Arial"/>
      <w:b/>
      <w:color w:val="232222" w:themeColor="text1"/>
    </w:rPr>
  </w:style>
  <w:style w:type="paragraph" w:customStyle="1" w:styleId="xInlineShape0">
    <w:name w:val="xInlineShape"/>
    <w:basedOn w:val="Normal"/>
    <w:next w:val="BodyText"/>
    <w:uiPriority w:val="3"/>
    <w:semiHidden/>
    <w:rsid w:val="00747A21"/>
    <w:pPr>
      <w:keepNext/>
      <w:spacing w:after="20" w:line="240" w:lineRule="auto"/>
    </w:pPr>
    <w:rPr>
      <w:rFonts w:cs="Arial"/>
      <w:color w:val="232222" w:themeColor="text1"/>
    </w:rPr>
  </w:style>
  <w:style w:type="paragraph" w:customStyle="1" w:styleId="TOFHeading">
    <w:name w:val="TOF Heading"/>
    <w:basedOn w:val="Normal"/>
    <w:uiPriority w:val="99"/>
    <w:rsid w:val="00747A21"/>
    <w:pPr>
      <w:keepNext/>
      <w:tabs>
        <w:tab w:val="left" w:pos="2268"/>
      </w:tabs>
      <w:spacing w:before="240" w:after="60"/>
    </w:pPr>
    <w:rPr>
      <w:rFonts w:cs="Arial"/>
      <w:b/>
      <w:color w:val="201547" w:themeColor="text2"/>
      <w:szCs w:val="32"/>
    </w:rPr>
  </w:style>
  <w:style w:type="paragraph" w:customStyle="1" w:styleId="AppendixHeading3">
    <w:name w:val="Appendix Heading 3"/>
    <w:basedOn w:val="Normal"/>
    <w:next w:val="BodyText"/>
    <w:uiPriority w:val="2"/>
    <w:rsid w:val="00747A21"/>
    <w:pPr>
      <w:keepNext/>
      <w:keepLines/>
      <w:tabs>
        <w:tab w:val="left" w:pos="1559"/>
        <w:tab w:val="left" w:pos="1843"/>
        <w:tab w:val="left" w:pos="2126"/>
        <w:tab w:val="left" w:pos="2410"/>
        <w:tab w:val="left" w:pos="6804"/>
      </w:tabs>
      <w:spacing w:before="100" w:after="100" w:line="240" w:lineRule="exact"/>
    </w:pPr>
    <w:rPr>
      <w:rFonts w:asciiTheme="majorHAnsi" w:hAnsiTheme="majorHAnsi" w:cs="Arial"/>
      <w:b/>
      <w:i/>
      <w:color w:val="494847"/>
    </w:rPr>
  </w:style>
  <w:style w:type="paragraph" w:customStyle="1" w:styleId="TableofContents2">
    <w:name w:val="TableofContents2"/>
    <w:basedOn w:val="Normal"/>
    <w:semiHidden/>
    <w:rsid w:val="00747A21"/>
    <w:pPr>
      <w:keepNext/>
      <w:spacing w:before="0" w:line="230" w:lineRule="auto"/>
    </w:pPr>
    <w:rPr>
      <w:rFonts w:cs="Arial"/>
      <w:color w:val="232222" w:themeColor="text1"/>
      <w:spacing w:val="-6"/>
      <w:sz w:val="40"/>
      <w:szCs w:val="28"/>
    </w:rPr>
  </w:style>
  <w:style w:type="character" w:customStyle="1" w:styleId="Bold">
    <w:name w:val="Bold"/>
    <w:semiHidden/>
    <w:rsid w:val="00747A21"/>
    <w:rPr>
      <w:b/>
    </w:rPr>
  </w:style>
  <w:style w:type="paragraph" w:customStyle="1" w:styleId="xContactDetails">
    <w:name w:val="xContact Details"/>
    <w:basedOn w:val="TableTextLeft"/>
    <w:uiPriority w:val="3"/>
    <w:semiHidden/>
    <w:rsid w:val="00747A21"/>
    <w:pPr>
      <w:spacing w:before="40" w:after="60" w:line="220" w:lineRule="atLeast"/>
      <w:ind w:left="113" w:right="113"/>
      <w:contextualSpacing/>
    </w:pPr>
    <w:rPr>
      <w:rFonts w:cs="Arial"/>
      <w:color w:val="232222" w:themeColor="text1"/>
      <w:sz w:val="16"/>
    </w:rPr>
  </w:style>
  <w:style w:type="paragraph" w:customStyle="1" w:styleId="xEntityDetails">
    <w:name w:val="xEntity Details"/>
    <w:basedOn w:val="xContactDetails"/>
    <w:uiPriority w:val="3"/>
    <w:semiHidden/>
    <w:rsid w:val="00747A21"/>
    <w:pPr>
      <w:framePr w:wrap="around" w:hAnchor="text"/>
    </w:pPr>
  </w:style>
  <w:style w:type="paragraph" w:customStyle="1" w:styleId="xStatus">
    <w:name w:val="xStatus"/>
    <w:basedOn w:val="Normal"/>
    <w:uiPriority w:val="3"/>
    <w:semiHidden/>
    <w:rsid w:val="00747A21"/>
    <w:pPr>
      <w:tabs>
        <w:tab w:val="left" w:pos="1134"/>
        <w:tab w:val="left" w:pos="2268"/>
        <w:tab w:val="left" w:pos="3402"/>
        <w:tab w:val="left" w:pos="4536"/>
        <w:tab w:val="left" w:pos="5103"/>
      </w:tabs>
      <w:spacing w:before="0" w:after="0" w:line="240" w:lineRule="auto"/>
      <w:jc w:val="center"/>
    </w:pPr>
    <w:rPr>
      <w:rFonts w:cs="Arial"/>
      <w:caps/>
      <w:color w:val="EAEAEA"/>
      <w:spacing w:val="40"/>
      <w:sz w:val="120"/>
      <w:szCs w:val="24"/>
    </w:rPr>
  </w:style>
  <w:style w:type="paragraph" w:customStyle="1" w:styleId="AppendixHeading2">
    <w:name w:val="Appendix Heading 2"/>
    <w:basedOn w:val="Normal"/>
    <w:next w:val="BodyText"/>
    <w:uiPriority w:val="2"/>
    <w:rsid w:val="00747A21"/>
    <w:pPr>
      <w:keepNext/>
      <w:keepLines/>
      <w:tabs>
        <w:tab w:val="left" w:pos="1559"/>
        <w:tab w:val="left" w:pos="1843"/>
        <w:tab w:val="left" w:pos="2126"/>
        <w:tab w:val="left" w:pos="2410"/>
      </w:tabs>
      <w:spacing w:before="100" w:after="100" w:line="240" w:lineRule="exact"/>
    </w:pPr>
    <w:rPr>
      <w:rFonts w:cs="Arial"/>
      <w:b/>
      <w:color w:val="494847"/>
    </w:rPr>
  </w:style>
  <w:style w:type="character" w:styleId="IntenseEmphasis">
    <w:name w:val="Intense Emphasis"/>
    <w:rsid w:val="00747A21"/>
    <w:rPr>
      <w:b/>
      <w:bCs/>
      <w:i/>
      <w:iCs/>
      <w:color w:val="auto"/>
    </w:rPr>
  </w:style>
  <w:style w:type="paragraph" w:styleId="IntenseQuote">
    <w:name w:val="Intense Quote"/>
    <w:basedOn w:val="Normal"/>
    <w:next w:val="Normal"/>
    <w:link w:val="IntenseQuoteChar"/>
    <w:rsid w:val="00747A21"/>
    <w:pPr>
      <w:pBdr>
        <w:bottom w:val="single" w:sz="4" w:space="4" w:color="0072CE" w:themeColor="accent1"/>
      </w:pBdr>
      <w:spacing w:before="200" w:after="280"/>
      <w:ind w:left="936" w:right="936"/>
    </w:pPr>
    <w:rPr>
      <w:rFonts w:cs="Arial"/>
      <w:b/>
      <w:bCs/>
      <w:i/>
      <w:iCs/>
      <w:color w:val="CCE3F5" w:themeColor="background2"/>
    </w:rPr>
  </w:style>
  <w:style w:type="character" w:customStyle="1" w:styleId="IntenseQuoteChar">
    <w:name w:val="Intense Quote Char"/>
    <w:basedOn w:val="DefaultParagraphFont"/>
    <w:link w:val="IntenseQuote"/>
    <w:rsid w:val="00747A21"/>
    <w:rPr>
      <w:rFonts w:cs="Arial"/>
      <w:b/>
      <w:bCs/>
      <w:i/>
      <w:iCs/>
      <w:color w:val="CCE3F5" w:themeColor="background2"/>
    </w:rPr>
  </w:style>
  <w:style w:type="paragraph" w:customStyle="1" w:styleId="PullOutBoxBodyText">
    <w:name w:val="Pull Out Box Body Text"/>
    <w:basedOn w:val="Normal"/>
    <w:qFormat/>
    <w:rsid w:val="00747A21"/>
    <w:pPr>
      <w:ind w:left="142" w:right="142"/>
    </w:pPr>
    <w:rPr>
      <w:rFonts w:cs="Arial"/>
      <w:color w:val="232222" w:themeColor="text1"/>
    </w:rPr>
  </w:style>
  <w:style w:type="paragraph" w:customStyle="1" w:styleId="PullOutBoxHeading">
    <w:name w:val="Pull Out Box Heading"/>
    <w:basedOn w:val="PullOutBoxBodyText"/>
    <w:next w:val="PullOutBoxBodyText"/>
    <w:qFormat/>
    <w:rsid w:val="00747A21"/>
    <w:pPr>
      <w:keepNext/>
      <w:keepLines/>
    </w:pPr>
    <w:rPr>
      <w:b/>
      <w:szCs w:val="24"/>
    </w:rPr>
  </w:style>
  <w:style w:type="paragraph" w:customStyle="1" w:styleId="PullOutBoxBullet">
    <w:name w:val="Pull Out Box Bullet"/>
    <w:basedOn w:val="PullOutBoxBodyText"/>
    <w:qFormat/>
    <w:rsid w:val="00747A21"/>
    <w:pPr>
      <w:tabs>
        <w:tab w:val="num" w:pos="567"/>
      </w:tabs>
      <w:ind w:left="312" w:hanging="170"/>
    </w:pPr>
  </w:style>
  <w:style w:type="paragraph" w:customStyle="1" w:styleId="PullOutBoxBullet2">
    <w:name w:val="Pull Out Box Bullet 2"/>
    <w:basedOn w:val="PullOutBoxBodyText"/>
    <w:qFormat/>
    <w:rsid w:val="00747A21"/>
    <w:pPr>
      <w:tabs>
        <w:tab w:val="num" w:pos="851"/>
      </w:tabs>
      <w:ind w:left="482" w:hanging="170"/>
    </w:pPr>
  </w:style>
  <w:style w:type="paragraph" w:customStyle="1" w:styleId="PullOutBoxBullet3">
    <w:name w:val="Pull Out Box Bullet 3"/>
    <w:basedOn w:val="PullOutBoxBodyText"/>
    <w:qFormat/>
    <w:rsid w:val="00747A21"/>
    <w:pPr>
      <w:tabs>
        <w:tab w:val="num" w:pos="1134"/>
      </w:tabs>
      <w:ind w:left="652" w:hanging="170"/>
    </w:pPr>
  </w:style>
  <w:style w:type="paragraph" w:customStyle="1" w:styleId="xBackPageWebAddress">
    <w:name w:val="xBack Page Web Address"/>
    <w:basedOn w:val="Normal"/>
    <w:semiHidden/>
    <w:rsid w:val="00747A21"/>
    <w:pPr>
      <w:spacing w:before="140" w:after="0"/>
    </w:pPr>
    <w:rPr>
      <w:rFonts w:cs="Arial"/>
      <w:color w:val="FFFFFF"/>
      <w:spacing w:val="-6"/>
      <w:sz w:val="36"/>
      <w:szCs w:val="36"/>
    </w:rPr>
  </w:style>
  <w:style w:type="paragraph" w:customStyle="1" w:styleId="xBackPage">
    <w:name w:val="xBack Page"/>
    <w:basedOn w:val="Normal"/>
    <w:semiHidden/>
    <w:rsid w:val="00747A21"/>
    <w:pPr>
      <w:spacing w:before="0" w:after="0"/>
    </w:pPr>
    <w:rPr>
      <w:rFonts w:cs="Arial"/>
      <w:color w:val="FFFFFF"/>
    </w:rPr>
  </w:style>
  <w:style w:type="character" w:customStyle="1" w:styleId="BoldAndItalics">
    <w:name w:val="Bold And Italics"/>
    <w:semiHidden/>
    <w:rsid w:val="00747A21"/>
    <w:rPr>
      <w:b/>
      <w:i/>
    </w:rPr>
  </w:style>
  <w:style w:type="paragraph" w:customStyle="1" w:styleId="CaptionDescriptive">
    <w:name w:val="Caption Descriptive"/>
    <w:basedOn w:val="BodyText"/>
    <w:next w:val="BodyText"/>
    <w:rsid w:val="00747A21"/>
    <w:pPr>
      <w:spacing w:before="60" w:after="60" w:line="240" w:lineRule="auto"/>
      <w:ind w:right="227"/>
      <w:jc w:val="left"/>
    </w:pPr>
    <w:rPr>
      <w:i/>
      <w:color w:val="232222" w:themeColor="text1"/>
      <w:sz w:val="18"/>
      <w:szCs w:val="14"/>
      <w:lang w:eastAsia="en-US"/>
    </w:rPr>
  </w:style>
  <w:style w:type="character" w:customStyle="1" w:styleId="MySuperscript">
    <w:name w:val="MySuperscript"/>
    <w:uiPriority w:val="1"/>
    <w:semiHidden/>
    <w:rsid w:val="00747A21"/>
    <w:rPr>
      <w:vertAlign w:val="superscript"/>
    </w:rPr>
  </w:style>
  <w:style w:type="character" w:customStyle="1" w:styleId="MySubscript">
    <w:name w:val="MySubscript"/>
    <w:uiPriority w:val="1"/>
    <w:semiHidden/>
    <w:rsid w:val="00747A21"/>
    <w:rPr>
      <w:vertAlign w:val="subscript"/>
    </w:rPr>
  </w:style>
  <w:style w:type="character" w:customStyle="1" w:styleId="MySuperscriptItalics">
    <w:name w:val="MySuperscript&amp;Italics"/>
    <w:uiPriority w:val="1"/>
    <w:semiHidden/>
    <w:rsid w:val="00747A21"/>
    <w:rPr>
      <w:i/>
      <w:vertAlign w:val="superscript"/>
    </w:rPr>
  </w:style>
  <w:style w:type="character" w:customStyle="1" w:styleId="MySubscriptItalics">
    <w:name w:val="MySubscript&amp;Italics"/>
    <w:uiPriority w:val="1"/>
    <w:semiHidden/>
    <w:rsid w:val="00747A21"/>
    <w:rPr>
      <w:i/>
      <w:vertAlign w:val="subscript"/>
    </w:rPr>
  </w:style>
  <w:style w:type="paragraph" w:customStyle="1" w:styleId="PullOutBoxNumbered">
    <w:name w:val="Pull Out Box Numbered"/>
    <w:basedOn w:val="PullOutBoxBodyText"/>
    <w:qFormat/>
    <w:rsid w:val="00747A21"/>
    <w:pPr>
      <w:numPr>
        <w:numId w:val="15"/>
      </w:numPr>
    </w:pPr>
  </w:style>
  <w:style w:type="paragraph" w:customStyle="1" w:styleId="PullOutBoxNumbered2">
    <w:name w:val="Pull Out Box Numbered 2"/>
    <w:basedOn w:val="PullOutBoxBodyText"/>
    <w:qFormat/>
    <w:rsid w:val="00747A21"/>
    <w:pPr>
      <w:numPr>
        <w:ilvl w:val="1"/>
        <w:numId w:val="15"/>
      </w:numPr>
    </w:pPr>
  </w:style>
  <w:style w:type="paragraph" w:customStyle="1" w:styleId="PullOutBoxNumbered3">
    <w:name w:val="Pull Out Box Numbered 3"/>
    <w:basedOn w:val="PullOutBoxBodyText"/>
    <w:qFormat/>
    <w:rsid w:val="00747A21"/>
    <w:pPr>
      <w:numPr>
        <w:ilvl w:val="2"/>
        <w:numId w:val="15"/>
      </w:numPr>
    </w:pPr>
  </w:style>
  <w:style w:type="paragraph" w:customStyle="1" w:styleId="xDisclaimerText2">
    <w:name w:val="xDisclaimer Text 2"/>
    <w:basedOn w:val="xDisclaimerText"/>
    <w:rsid w:val="00747A21"/>
    <w:pPr>
      <w:spacing w:before="180" w:after="170"/>
    </w:pPr>
  </w:style>
  <w:style w:type="paragraph" w:customStyle="1" w:styleId="Heading1TopofPage">
    <w:name w:val="Heading 1 Top of Page"/>
    <w:basedOn w:val="Heading1"/>
    <w:next w:val="BodyText"/>
    <w:qFormat/>
    <w:rsid w:val="00747A21"/>
    <w:pPr>
      <w:keepLines/>
      <w:pageBreakBefore/>
      <w:framePr w:w="11907" w:h="1701" w:hSpace="11340" w:wrap="around" w:vAnchor="page" w:hAnchor="page" w:yAlign="top"/>
      <w:spacing w:before="1300" w:after="360" w:line="440" w:lineRule="exact"/>
      <w:ind w:left="1134" w:right="1134"/>
    </w:pPr>
    <w:rPr>
      <w:rFonts w:asciiTheme="minorHAnsi" w:eastAsia="Times New Roman" w:hAnsiTheme="minorHAnsi" w:cs="Arial"/>
      <w:b/>
      <w:spacing w:val="0"/>
      <w:kern w:val="32"/>
      <w:szCs w:val="32"/>
    </w:rPr>
  </w:style>
  <w:style w:type="paragraph" w:customStyle="1" w:styleId="SectionHeading">
    <w:name w:val="Section Heading"/>
    <w:basedOn w:val="Normal"/>
    <w:next w:val="BodyText"/>
    <w:semiHidden/>
    <w:qFormat/>
    <w:rsid w:val="00747A21"/>
    <w:pPr>
      <w:keepLines/>
      <w:pageBreakBefore/>
      <w:framePr w:w="11907" w:h="2155" w:hSpace="181" w:wrap="around" w:vAnchor="page" w:hAnchor="page" w:xAlign="right" w:yAlign="top"/>
      <w:spacing w:before="1300" w:after="0"/>
      <w:ind w:left="1134" w:right="1134"/>
      <w:suppressOverlap/>
      <w:jc w:val="right"/>
      <w:outlineLvl w:val="4"/>
    </w:pPr>
    <w:rPr>
      <w:rFonts w:cs="Arial"/>
      <w:b/>
      <w:color w:val="201547" w:themeColor="text2"/>
      <w:sz w:val="40"/>
      <w:szCs w:val="40"/>
    </w:rPr>
  </w:style>
  <w:style w:type="paragraph" w:customStyle="1" w:styleId="TitleBarText">
    <w:name w:val="Title Bar Text"/>
    <w:basedOn w:val="Normal"/>
    <w:uiPriority w:val="99"/>
    <w:qFormat/>
    <w:rsid w:val="00747A21"/>
    <w:pPr>
      <w:spacing w:before="0" w:after="0" w:line="360" w:lineRule="exact"/>
      <w:jc w:val="right"/>
    </w:pPr>
    <w:rPr>
      <w:rFonts w:ascii="Arial Narrow" w:hAnsi="Arial Narrow" w:cs="Arial"/>
      <w:color w:val="FFFFFF"/>
      <w:spacing w:val="-2"/>
      <w:sz w:val="28"/>
      <w:szCs w:val="28"/>
    </w:rPr>
  </w:style>
  <w:style w:type="paragraph" w:customStyle="1" w:styleId="Footnotes2">
    <w:name w:val="Footnotes 2"/>
    <w:basedOn w:val="Normal"/>
    <w:rsid w:val="00747A21"/>
    <w:pPr>
      <w:numPr>
        <w:ilvl w:val="1"/>
        <w:numId w:val="16"/>
      </w:numPr>
      <w:spacing w:before="0" w:after="100" w:afterAutospacing="1" w:line="180" w:lineRule="atLeast"/>
      <w:ind w:left="568" w:hanging="284"/>
      <w:contextualSpacing/>
    </w:pPr>
    <w:rPr>
      <w:rFonts w:cs="Arial"/>
      <w:color w:val="232222" w:themeColor="text1"/>
      <w:sz w:val="14"/>
    </w:rPr>
  </w:style>
  <w:style w:type="table" w:customStyle="1" w:styleId="HighlightTable">
    <w:name w:val="Highlight Table"/>
    <w:basedOn w:val="TableNormal"/>
    <w:uiPriority w:val="99"/>
    <w:rsid w:val="00747A21"/>
    <w:pPr>
      <w:spacing w:before="0" w:after="0" w:line="240" w:lineRule="auto"/>
    </w:pPr>
    <w:rPr>
      <w:rFonts w:cs="Arial"/>
      <w:color w:val="FFFFFF"/>
      <w:sz w:val="24"/>
    </w:rPr>
    <w:tblPr/>
  </w:style>
  <w:style w:type="paragraph" w:customStyle="1" w:styleId="BodyText100ThemeColour">
    <w:name w:val="Body Text 100% Theme Colour"/>
    <w:basedOn w:val="BodyText"/>
    <w:qFormat/>
    <w:rsid w:val="00747A21"/>
    <w:pPr>
      <w:spacing w:before="60"/>
      <w:jc w:val="left"/>
    </w:pPr>
    <w:rPr>
      <w:color w:val="201547" w:themeColor="text2"/>
      <w:lang w:eastAsia="en-US"/>
    </w:rPr>
  </w:style>
  <w:style w:type="paragraph" w:customStyle="1" w:styleId="CaptionImageorFigure">
    <w:name w:val="Caption Image or Figure"/>
    <w:basedOn w:val="Caption"/>
    <w:qFormat/>
    <w:rsid w:val="00747A21"/>
    <w:pPr>
      <w:tabs>
        <w:tab w:val="clear" w:pos="1191"/>
      </w:tabs>
      <w:spacing w:before="60" w:line="200" w:lineRule="atLeast"/>
      <w:ind w:left="0" w:firstLine="0"/>
    </w:pPr>
    <w:rPr>
      <w:rFonts w:cs="Arial"/>
      <w:bCs/>
      <w:color w:val="232222" w:themeColor="text1"/>
      <w:sz w:val="16"/>
      <w14:numSpacing w14:val="default"/>
    </w:rPr>
  </w:style>
  <w:style w:type="paragraph" w:customStyle="1" w:styleId="PhotoCredit">
    <w:name w:val="Photo Credit"/>
    <w:basedOn w:val="CaptionDescriptive"/>
    <w:next w:val="BodyText"/>
    <w:qFormat/>
    <w:rsid w:val="00747A21"/>
    <w:rPr>
      <w:i w:val="0"/>
      <w:sz w:val="16"/>
    </w:rPr>
  </w:style>
  <w:style w:type="character" w:customStyle="1" w:styleId="MyUnderline">
    <w:name w:val="MyUnderline"/>
    <w:uiPriority w:val="1"/>
    <w:semiHidden/>
    <w:rsid w:val="00747A21"/>
    <w:rPr>
      <w:u w:val="single"/>
      <w:lang w:eastAsia="en-AU"/>
    </w:rPr>
  </w:style>
  <w:style w:type="character" w:customStyle="1" w:styleId="MyBoldItalicsUnderline">
    <w:name w:val="MyBoldItalicsUnderline"/>
    <w:uiPriority w:val="1"/>
    <w:semiHidden/>
    <w:rsid w:val="00747A21"/>
    <w:rPr>
      <w:b/>
      <w:i/>
      <w:u w:val="single"/>
    </w:rPr>
  </w:style>
  <w:style w:type="character" w:customStyle="1" w:styleId="MyBoldUnderline">
    <w:name w:val="MyBoldUnderline"/>
    <w:uiPriority w:val="1"/>
    <w:semiHidden/>
    <w:rsid w:val="00747A21"/>
    <w:rPr>
      <w:b/>
      <w:u w:val="single"/>
    </w:rPr>
  </w:style>
  <w:style w:type="character" w:customStyle="1" w:styleId="MyItalicsUnderline">
    <w:name w:val="MyItalicsUnderline"/>
    <w:uiPriority w:val="1"/>
    <w:semiHidden/>
    <w:rsid w:val="00747A21"/>
    <w:rPr>
      <w:i/>
      <w:u w:val="single"/>
    </w:rPr>
  </w:style>
  <w:style w:type="paragraph" w:customStyle="1" w:styleId="SmallBullet">
    <w:name w:val="Small Bullet"/>
    <w:basedOn w:val="SmallBodyText"/>
    <w:qFormat/>
    <w:rsid w:val="00747A21"/>
    <w:pPr>
      <w:numPr>
        <w:numId w:val="17"/>
      </w:numPr>
      <w:spacing w:before="40" w:after="40" w:line="220" w:lineRule="atLeast"/>
      <w:ind w:right="3119"/>
    </w:pPr>
    <w:rPr>
      <w:rFonts w:cs="Arial"/>
      <w:color w:val="232222" w:themeColor="text1"/>
    </w:rPr>
  </w:style>
  <w:style w:type="paragraph" w:customStyle="1" w:styleId="SmallHeading">
    <w:name w:val="Small Heading"/>
    <w:basedOn w:val="xDisclaimerHeading"/>
    <w:next w:val="SmallBodyText"/>
    <w:qFormat/>
    <w:rsid w:val="00747A21"/>
    <w:pPr>
      <w:spacing w:before="170" w:after="40" w:line="220" w:lineRule="atLeast"/>
      <w:ind w:right="3119"/>
    </w:pPr>
    <w:rPr>
      <w:rFonts w:cs="Arial"/>
      <w:color w:val="232222" w:themeColor="text1"/>
      <w:sz w:val="18"/>
    </w:rPr>
  </w:style>
  <w:style w:type="paragraph" w:customStyle="1" w:styleId="xWeb">
    <w:name w:val="xWeb"/>
    <w:basedOn w:val="Normal"/>
    <w:semiHidden/>
    <w:qFormat/>
    <w:rsid w:val="00747A21"/>
    <w:pPr>
      <w:spacing w:before="0" w:after="0" w:line="240" w:lineRule="auto"/>
    </w:pPr>
    <w:rPr>
      <w:rFonts w:cs="Arial"/>
      <w:color w:val="636366"/>
      <w:spacing w:val="-4"/>
      <w:sz w:val="36"/>
      <w:szCs w:val="42"/>
    </w:rPr>
  </w:style>
  <w:style w:type="table" w:customStyle="1" w:styleId="DELWPTableNormal">
    <w:name w:val="DELWP Table Normal"/>
    <w:basedOn w:val="TableNormal"/>
    <w:uiPriority w:val="99"/>
    <w:rsid w:val="00747A21"/>
    <w:pPr>
      <w:spacing w:before="0" w:after="0" w:line="240" w:lineRule="auto"/>
    </w:pPr>
    <w:rPr>
      <w:rFonts w:cs="Arial"/>
      <w:color w:val="232222" w:themeColor="text1"/>
    </w:rPr>
    <w:tblPr/>
  </w:style>
  <w:style w:type="paragraph" w:customStyle="1" w:styleId="xAccessibilityText">
    <w:name w:val="xAccessibility Text"/>
    <w:basedOn w:val="Normal"/>
    <w:semiHidden/>
    <w:qFormat/>
    <w:rsid w:val="00747A21"/>
    <w:pPr>
      <w:spacing w:before="0" w:after="0" w:line="300" w:lineRule="exact"/>
    </w:pPr>
    <w:rPr>
      <w:rFonts w:cs="Arial"/>
      <w:color w:val="232222" w:themeColor="text1"/>
      <w:sz w:val="24"/>
    </w:rPr>
  </w:style>
  <w:style w:type="paragraph" w:customStyle="1" w:styleId="xAccessibilityHeading">
    <w:name w:val="xAccessibility Heading"/>
    <w:basedOn w:val="Normal"/>
    <w:semiHidden/>
    <w:qFormat/>
    <w:rsid w:val="00747A21"/>
    <w:pPr>
      <w:spacing w:before="170" w:after="20" w:line="300" w:lineRule="exact"/>
    </w:pPr>
    <w:rPr>
      <w:rFonts w:cs="Arial"/>
      <w:b/>
      <w:color w:val="232222" w:themeColor="text1"/>
      <w:sz w:val="24"/>
    </w:rPr>
  </w:style>
  <w:style w:type="character" w:customStyle="1" w:styleId="HiddenText">
    <w:name w:val="Hidden Text"/>
    <w:basedOn w:val="DefaultParagraphFont"/>
    <w:uiPriority w:val="1"/>
    <w:qFormat/>
    <w:rsid w:val="00747A21"/>
    <w:rPr>
      <w:color w:val="FF0000"/>
      <w:sz w:val="20"/>
      <w:u w:val="dotted"/>
    </w:rPr>
  </w:style>
  <w:style w:type="numbering" w:customStyle="1" w:styleId="Style1">
    <w:name w:val="Style1"/>
    <w:uiPriority w:val="99"/>
    <w:rsid w:val="00747A21"/>
    <w:pPr>
      <w:numPr>
        <w:numId w:val="18"/>
      </w:numPr>
    </w:pPr>
  </w:style>
  <w:style w:type="table" w:customStyle="1" w:styleId="TableGrid10">
    <w:name w:val="Table Grid1"/>
    <w:basedOn w:val="TableNormal"/>
    <w:next w:val="TableGrid"/>
    <w:uiPriority w:val="39"/>
    <w:rsid w:val="00747A21"/>
    <w:pPr>
      <w:spacing w:before="0" w:after="0" w:line="240" w:lineRule="auto"/>
    </w:pPr>
    <w:rPr>
      <w:rFonts w:ascii="Arial" w:eastAsia="Calibri" w:hAnsi="Arial" w:cs="ArialMT"/>
      <w:color w:val="53565A"/>
      <w:sz w:val="18"/>
      <w:szCs w:val="18"/>
      <w:lang w:val="en-US" w:eastAsia="en-US"/>
    </w:rPr>
    <w:tblPr/>
  </w:style>
  <w:style w:type="table" w:customStyle="1" w:styleId="TableGrid20">
    <w:name w:val="Table Grid2"/>
    <w:basedOn w:val="TableNormal"/>
    <w:next w:val="TableGrid"/>
    <w:rsid w:val="00747A21"/>
    <w:pPr>
      <w:spacing w:before="60" w:after="60" w:line="220" w:lineRule="atLeast"/>
      <w:ind w:left="113" w:right="113"/>
    </w:pPr>
    <w:rPr>
      <w:rFonts w:ascii="Arial" w:hAnsi="Arial"/>
      <w:color w:val="232222" w:themeColor="text1"/>
      <w:sz w:val="18"/>
    </w:rPr>
    <w:tblPr>
      <w:tblStyleColBandSize w:val="1"/>
    </w:tblPr>
    <w:tblStylePr w:type="firstRow">
      <w:pPr>
        <w:wordWrap/>
        <w:spacing w:beforeLines="0" w:before="100" w:beforeAutospacing="1" w:afterLines="0" w:after="100" w:afterAutospacing="1" w:line="220" w:lineRule="atLeast"/>
        <w:jc w:val="left"/>
      </w:pPr>
      <w:rPr>
        <w:rFonts w:ascii="Arial" w:hAnsi="Arial" w:cs="Arial" w:hint="default"/>
        <w:b w:val="0"/>
        <w:color w:val="232222" w:themeColor="text1"/>
        <w:sz w:val="18"/>
        <w:szCs w:val="18"/>
      </w:rPr>
      <w:tblPr/>
      <w:tcPr>
        <w:shd w:val="clear" w:color="auto" w:fill="201547" w:themeFill="text2"/>
      </w:tcPr>
    </w:tblStylePr>
    <w:tblStylePr w:type="lastRow">
      <w:rPr>
        <w:b w:val="0"/>
      </w:rPr>
    </w:tblStylePr>
    <w:tblStylePr w:type="lastCol">
      <w:pPr>
        <w:jc w:val="left"/>
      </w:pPr>
    </w:tblStylePr>
    <w:tblStylePr w:type="band1Vert">
      <w:tblPr/>
      <w:tcPr>
        <w:shd w:val="clear" w:color="auto" w:fill="CCE3F5" w:themeFill="background2"/>
      </w:tcPr>
    </w:tblStylePr>
    <w:tblStylePr w:type="nwCell">
      <w:pPr>
        <w:jc w:val="left"/>
      </w:pPr>
      <w:tblPr/>
      <w:tcPr>
        <w:vAlign w:val="center"/>
      </w:tcPr>
    </w:tblStylePr>
  </w:style>
  <w:style w:type="character" w:styleId="Mention">
    <w:name w:val="Mention"/>
    <w:basedOn w:val="DefaultParagraphFont"/>
    <w:uiPriority w:val="99"/>
    <w:unhideWhenUsed/>
    <w:rsid w:val="000867A9"/>
    <w:rPr>
      <w:color w:val="2B579A"/>
      <w:shd w:val="clear" w:color="auto" w:fill="E1DFDD"/>
    </w:rPr>
  </w:style>
  <w:style w:type="table" w:customStyle="1" w:styleId="Style2">
    <w:name w:val="Style2"/>
    <w:basedOn w:val="TableNormal"/>
    <w:uiPriority w:val="99"/>
    <w:rsid w:val="002A7B80"/>
    <w:pPr>
      <w:spacing w:before="0" w:after="0" w:line="240" w:lineRule="auto"/>
    </w:pPr>
    <w:tblPr/>
  </w:style>
  <w:style w:type="character" w:customStyle="1" w:styleId="ListParagraphChar">
    <w:name w:val="List Paragraph Char"/>
    <w:aliases w:val="PECI Bullets (Content) Char"/>
    <w:link w:val="ListParagraph"/>
    <w:uiPriority w:val="34"/>
    <w:locked/>
    <w:rsid w:val="00974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524489964">
      <w:bodyDiv w:val="1"/>
      <w:marLeft w:val="0"/>
      <w:marRight w:val="0"/>
      <w:marTop w:val="0"/>
      <w:marBottom w:val="0"/>
      <w:divBdr>
        <w:top w:val="none" w:sz="0" w:space="0" w:color="auto"/>
        <w:left w:val="none" w:sz="0" w:space="0" w:color="auto"/>
        <w:bottom w:val="none" w:sz="0" w:space="0" w:color="auto"/>
        <w:right w:val="none" w:sz="0" w:space="0" w:color="auto"/>
      </w:divBdr>
    </w:div>
    <w:div w:id="598568097">
      <w:bodyDiv w:val="1"/>
      <w:marLeft w:val="0"/>
      <w:marRight w:val="0"/>
      <w:marTop w:val="0"/>
      <w:marBottom w:val="0"/>
      <w:divBdr>
        <w:top w:val="none" w:sz="0" w:space="0" w:color="auto"/>
        <w:left w:val="none" w:sz="0" w:space="0" w:color="auto"/>
        <w:bottom w:val="none" w:sz="0" w:space="0" w:color="auto"/>
        <w:right w:val="none" w:sz="0" w:space="0" w:color="auto"/>
      </w:divBdr>
    </w:div>
    <w:div w:id="775640421">
      <w:bodyDiv w:val="1"/>
      <w:marLeft w:val="0"/>
      <w:marRight w:val="0"/>
      <w:marTop w:val="0"/>
      <w:marBottom w:val="0"/>
      <w:divBdr>
        <w:top w:val="none" w:sz="0" w:space="0" w:color="auto"/>
        <w:left w:val="none" w:sz="0" w:space="0" w:color="auto"/>
        <w:bottom w:val="none" w:sz="0" w:space="0" w:color="auto"/>
        <w:right w:val="none" w:sz="0" w:space="0" w:color="auto"/>
      </w:divBdr>
    </w:div>
    <w:div w:id="956958314">
      <w:bodyDiv w:val="1"/>
      <w:marLeft w:val="0"/>
      <w:marRight w:val="0"/>
      <w:marTop w:val="0"/>
      <w:marBottom w:val="0"/>
      <w:divBdr>
        <w:top w:val="none" w:sz="0" w:space="0" w:color="auto"/>
        <w:left w:val="none" w:sz="0" w:space="0" w:color="auto"/>
        <w:bottom w:val="none" w:sz="0" w:space="0" w:color="auto"/>
        <w:right w:val="none" w:sz="0" w:space="0" w:color="auto"/>
      </w:divBdr>
    </w:div>
    <w:div w:id="113803454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4.png"/><Relationship Id="rId26" Type="http://schemas.openxmlformats.org/officeDocument/2006/relationships/footer" Target="footer1.xml"/><Relationship Id="rId39" Type="http://schemas.openxmlformats.org/officeDocument/2006/relationships/glossaryDocument" Target="glossary/document.xml"/><Relationship Id="rId21" Type="http://schemas.openxmlformats.org/officeDocument/2006/relationships/image" Target="media/image7.svg"/><Relationship Id="rId34" Type="http://schemas.openxmlformats.org/officeDocument/2006/relationships/header" Target="header4.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file:///C:/Users/fionadurante/Downloads/deeca.vic.gov.au" TargetMode="External"/><Relationship Id="rId25" Type="http://schemas.openxmlformats.org/officeDocument/2006/relationships/header" Target="header2.xml"/><Relationship Id="rId33" Type="http://schemas.openxmlformats.org/officeDocument/2006/relationships/hyperlink" Target="http://www.deeca.vic.gov.au/"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svg"/><Relationship Id="rId20" Type="http://schemas.openxmlformats.org/officeDocument/2006/relationships/image" Target="media/image6.png"/><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eader" Target="header1.xml"/><Relationship Id="rId32" Type="http://schemas.openxmlformats.org/officeDocument/2006/relationships/hyperlink" Target="mailto:customer.service@deeca.vic.gov.au" TargetMode="External"/><Relationship Id="rId37" Type="http://schemas.openxmlformats.org/officeDocument/2006/relationships/footer" Target="footer3.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image" Target="media/image9.svg"/><Relationship Id="rId28" Type="http://schemas.openxmlformats.org/officeDocument/2006/relationships/header" Target="header3.xml"/><Relationship Id="rId36" Type="http://schemas.openxmlformats.org/officeDocument/2006/relationships/header" Target="header6.xml"/><Relationship Id="rId10" Type="http://schemas.openxmlformats.org/officeDocument/2006/relationships/settings" Target="settings.xml"/><Relationship Id="rId19" Type="http://schemas.openxmlformats.org/officeDocument/2006/relationships/image" Target="media/image5.svg"/><Relationship Id="rId31" Type="http://schemas.openxmlformats.org/officeDocument/2006/relationships/hyperlink" Target="http://creativecommons.org/licenses/by/4.0/"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image" Target="media/image8.png"/><Relationship Id="rId27" Type="http://schemas.openxmlformats.org/officeDocument/2006/relationships/footer" Target="footer2.xml"/><Relationship Id="rId30" Type="http://schemas.openxmlformats.org/officeDocument/2006/relationships/hyperlink" Target="http://creativecommons.org/licenses/by/4.0/" TargetMode="External"/><Relationship Id="rId35" Type="http://schemas.openxmlformats.org/officeDocument/2006/relationships/header" Target="header5.xml"/><Relationship Id="rId8" Type="http://schemas.openxmlformats.org/officeDocument/2006/relationships/numbering" Target="numbering.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C9D371F1CB348F890DB0B95F03189B3"/>
        <w:category>
          <w:name w:val="General"/>
          <w:gallery w:val="placeholder"/>
        </w:category>
        <w:types>
          <w:type w:val="bbPlcHdr"/>
        </w:types>
        <w:behaviors>
          <w:behavior w:val="content"/>
        </w:behaviors>
        <w:guid w:val="{7D39FF6A-BE69-4BEB-8CA2-73B6AFF7C0F1}"/>
      </w:docPartPr>
      <w:docPartBody>
        <w:p w:rsidR="00B539E6" w:rsidRDefault="00B539E6">
          <w:pPr>
            <w:pStyle w:val="8C9D371F1CB348F890DB0B95F03189B3"/>
          </w:pPr>
          <w:r w:rsidRPr="000C4F86">
            <w:rPr>
              <w:rStyle w:val="PlaceholderText"/>
            </w:rPr>
            <w:t>[Title]</w:t>
          </w:r>
        </w:p>
      </w:docPartBody>
    </w:docPart>
    <w:docPart>
      <w:docPartPr>
        <w:name w:val="64B0647015D1458BBFD15C8292004308"/>
        <w:category>
          <w:name w:val="General"/>
          <w:gallery w:val="placeholder"/>
        </w:category>
        <w:types>
          <w:type w:val="bbPlcHdr"/>
        </w:types>
        <w:behaviors>
          <w:behavior w:val="content"/>
        </w:behaviors>
        <w:guid w:val="{B979A70F-45AE-4938-AB55-F7E1717FD9E3}"/>
      </w:docPartPr>
      <w:docPartBody>
        <w:p w:rsidR="00D25AF1" w:rsidRDefault="00B539E6">
          <w:pPr>
            <w:pStyle w:val="64B0647015D1458BBFD15C8292004308"/>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MT">
    <w:altName w:val="Arial"/>
    <w:charset w:val="00"/>
    <w:family w:val="auto"/>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ED0"/>
    <w:rsid w:val="000025EC"/>
    <w:rsid w:val="0002304A"/>
    <w:rsid w:val="000602E2"/>
    <w:rsid w:val="0007017D"/>
    <w:rsid w:val="00074535"/>
    <w:rsid w:val="00076694"/>
    <w:rsid w:val="000858FE"/>
    <w:rsid w:val="00087B5A"/>
    <w:rsid w:val="00094CD2"/>
    <w:rsid w:val="000A34E6"/>
    <w:rsid w:val="00103496"/>
    <w:rsid w:val="0010553D"/>
    <w:rsid w:val="001115B5"/>
    <w:rsid w:val="001121CA"/>
    <w:rsid w:val="001143A7"/>
    <w:rsid w:val="001211B1"/>
    <w:rsid w:val="00122E4C"/>
    <w:rsid w:val="00134B31"/>
    <w:rsid w:val="001358EE"/>
    <w:rsid w:val="00136653"/>
    <w:rsid w:val="00142BA8"/>
    <w:rsid w:val="001529D9"/>
    <w:rsid w:val="0015330C"/>
    <w:rsid w:val="00161CC2"/>
    <w:rsid w:val="00163746"/>
    <w:rsid w:val="00166EC8"/>
    <w:rsid w:val="001865D3"/>
    <w:rsid w:val="001A6375"/>
    <w:rsid w:val="001B0108"/>
    <w:rsid w:val="001C24D2"/>
    <w:rsid w:val="001C7D93"/>
    <w:rsid w:val="001E292D"/>
    <w:rsid w:val="001F1703"/>
    <w:rsid w:val="001F67C6"/>
    <w:rsid w:val="00210576"/>
    <w:rsid w:val="00213CC2"/>
    <w:rsid w:val="00256D50"/>
    <w:rsid w:val="002573A3"/>
    <w:rsid w:val="00261699"/>
    <w:rsid w:val="00267C3C"/>
    <w:rsid w:val="00271E51"/>
    <w:rsid w:val="002766D2"/>
    <w:rsid w:val="00284906"/>
    <w:rsid w:val="002B6ADC"/>
    <w:rsid w:val="002D7612"/>
    <w:rsid w:val="002E5F1E"/>
    <w:rsid w:val="002F75D3"/>
    <w:rsid w:val="0033557A"/>
    <w:rsid w:val="00376B87"/>
    <w:rsid w:val="0038081B"/>
    <w:rsid w:val="00392923"/>
    <w:rsid w:val="003B08F1"/>
    <w:rsid w:val="003D47D2"/>
    <w:rsid w:val="00404BC8"/>
    <w:rsid w:val="0040508D"/>
    <w:rsid w:val="00411F7A"/>
    <w:rsid w:val="00413321"/>
    <w:rsid w:val="004172A5"/>
    <w:rsid w:val="00453EEA"/>
    <w:rsid w:val="0045620C"/>
    <w:rsid w:val="00464398"/>
    <w:rsid w:val="00482040"/>
    <w:rsid w:val="004825C5"/>
    <w:rsid w:val="0048476F"/>
    <w:rsid w:val="00493BFB"/>
    <w:rsid w:val="004C0FDC"/>
    <w:rsid w:val="004C6A3B"/>
    <w:rsid w:val="004D2D34"/>
    <w:rsid w:val="004D2E2A"/>
    <w:rsid w:val="004D3827"/>
    <w:rsid w:val="004D3AD1"/>
    <w:rsid w:val="00501994"/>
    <w:rsid w:val="00513DE9"/>
    <w:rsid w:val="00515ED0"/>
    <w:rsid w:val="00525774"/>
    <w:rsid w:val="0053154C"/>
    <w:rsid w:val="00547707"/>
    <w:rsid w:val="00561D8D"/>
    <w:rsid w:val="00561F2D"/>
    <w:rsid w:val="00565672"/>
    <w:rsid w:val="00582F8D"/>
    <w:rsid w:val="005837A3"/>
    <w:rsid w:val="005A3607"/>
    <w:rsid w:val="005A4AD4"/>
    <w:rsid w:val="005D73C3"/>
    <w:rsid w:val="005E23A5"/>
    <w:rsid w:val="005F3810"/>
    <w:rsid w:val="00602367"/>
    <w:rsid w:val="006064B5"/>
    <w:rsid w:val="0062166F"/>
    <w:rsid w:val="0062641A"/>
    <w:rsid w:val="00627E74"/>
    <w:rsid w:val="006424B3"/>
    <w:rsid w:val="00645D15"/>
    <w:rsid w:val="006663B3"/>
    <w:rsid w:val="00677CEE"/>
    <w:rsid w:val="00684602"/>
    <w:rsid w:val="006A60F6"/>
    <w:rsid w:val="006A75E4"/>
    <w:rsid w:val="006E0C5F"/>
    <w:rsid w:val="006E3D7E"/>
    <w:rsid w:val="006F04D4"/>
    <w:rsid w:val="006F0589"/>
    <w:rsid w:val="00717AAB"/>
    <w:rsid w:val="00720257"/>
    <w:rsid w:val="0072169C"/>
    <w:rsid w:val="00723CBE"/>
    <w:rsid w:val="00754595"/>
    <w:rsid w:val="00762E8A"/>
    <w:rsid w:val="00767E76"/>
    <w:rsid w:val="0077291E"/>
    <w:rsid w:val="007B6C03"/>
    <w:rsid w:val="007D4AEB"/>
    <w:rsid w:val="007D75B4"/>
    <w:rsid w:val="007F2C05"/>
    <w:rsid w:val="008039D0"/>
    <w:rsid w:val="0081194A"/>
    <w:rsid w:val="008475AA"/>
    <w:rsid w:val="00860221"/>
    <w:rsid w:val="008675DC"/>
    <w:rsid w:val="00882971"/>
    <w:rsid w:val="008B3CFC"/>
    <w:rsid w:val="008C5AD3"/>
    <w:rsid w:val="008D174E"/>
    <w:rsid w:val="008D465F"/>
    <w:rsid w:val="008F337C"/>
    <w:rsid w:val="0090132B"/>
    <w:rsid w:val="00922FC6"/>
    <w:rsid w:val="00924BFD"/>
    <w:rsid w:val="0095465B"/>
    <w:rsid w:val="00966B3C"/>
    <w:rsid w:val="00972626"/>
    <w:rsid w:val="009772AB"/>
    <w:rsid w:val="00983835"/>
    <w:rsid w:val="00986120"/>
    <w:rsid w:val="009866B9"/>
    <w:rsid w:val="009908FE"/>
    <w:rsid w:val="009913E4"/>
    <w:rsid w:val="009B022F"/>
    <w:rsid w:val="009B3F1B"/>
    <w:rsid w:val="009B47A2"/>
    <w:rsid w:val="009F363B"/>
    <w:rsid w:val="00A41787"/>
    <w:rsid w:val="00A417F3"/>
    <w:rsid w:val="00A43E2E"/>
    <w:rsid w:val="00A44F41"/>
    <w:rsid w:val="00A856A9"/>
    <w:rsid w:val="00A94CC1"/>
    <w:rsid w:val="00AB0207"/>
    <w:rsid w:val="00AB4C2A"/>
    <w:rsid w:val="00AC3520"/>
    <w:rsid w:val="00B165EA"/>
    <w:rsid w:val="00B34291"/>
    <w:rsid w:val="00B43005"/>
    <w:rsid w:val="00B47AC1"/>
    <w:rsid w:val="00B539E6"/>
    <w:rsid w:val="00B54610"/>
    <w:rsid w:val="00B63139"/>
    <w:rsid w:val="00B6471C"/>
    <w:rsid w:val="00B76720"/>
    <w:rsid w:val="00B81AEE"/>
    <w:rsid w:val="00B9790D"/>
    <w:rsid w:val="00BA1DE4"/>
    <w:rsid w:val="00BA21CA"/>
    <w:rsid w:val="00BF4551"/>
    <w:rsid w:val="00C00846"/>
    <w:rsid w:val="00C14E6E"/>
    <w:rsid w:val="00C15DC6"/>
    <w:rsid w:val="00C37086"/>
    <w:rsid w:val="00C47B28"/>
    <w:rsid w:val="00C6618E"/>
    <w:rsid w:val="00C668ED"/>
    <w:rsid w:val="00C77D30"/>
    <w:rsid w:val="00C8225C"/>
    <w:rsid w:val="00C84FAB"/>
    <w:rsid w:val="00C93F45"/>
    <w:rsid w:val="00C95FD3"/>
    <w:rsid w:val="00CC26B2"/>
    <w:rsid w:val="00CC6079"/>
    <w:rsid w:val="00CD0C0C"/>
    <w:rsid w:val="00D25276"/>
    <w:rsid w:val="00D25AF1"/>
    <w:rsid w:val="00D30837"/>
    <w:rsid w:val="00D332A9"/>
    <w:rsid w:val="00D43A11"/>
    <w:rsid w:val="00D53168"/>
    <w:rsid w:val="00D57CE8"/>
    <w:rsid w:val="00D640BA"/>
    <w:rsid w:val="00D95226"/>
    <w:rsid w:val="00DC7472"/>
    <w:rsid w:val="00DE5814"/>
    <w:rsid w:val="00E13B53"/>
    <w:rsid w:val="00E37395"/>
    <w:rsid w:val="00E378A8"/>
    <w:rsid w:val="00E41D74"/>
    <w:rsid w:val="00E726D3"/>
    <w:rsid w:val="00E760D0"/>
    <w:rsid w:val="00E801EE"/>
    <w:rsid w:val="00E8311A"/>
    <w:rsid w:val="00E861E6"/>
    <w:rsid w:val="00E90DA9"/>
    <w:rsid w:val="00E96775"/>
    <w:rsid w:val="00EB7B1C"/>
    <w:rsid w:val="00EC33D9"/>
    <w:rsid w:val="00EC3759"/>
    <w:rsid w:val="00ED4D42"/>
    <w:rsid w:val="00EE42DE"/>
    <w:rsid w:val="00F05446"/>
    <w:rsid w:val="00F137E7"/>
    <w:rsid w:val="00F21DF1"/>
    <w:rsid w:val="00F308FA"/>
    <w:rsid w:val="00F31D15"/>
    <w:rsid w:val="00F44B3E"/>
    <w:rsid w:val="00F54D87"/>
    <w:rsid w:val="00F64C63"/>
    <w:rsid w:val="00F65D86"/>
    <w:rsid w:val="00F761F8"/>
    <w:rsid w:val="00F87735"/>
    <w:rsid w:val="00F90AF6"/>
    <w:rsid w:val="00F960FA"/>
    <w:rsid w:val="00FA311F"/>
    <w:rsid w:val="00FA3713"/>
    <w:rsid w:val="00FA6024"/>
    <w:rsid w:val="00FC0C27"/>
    <w:rsid w:val="00FC6BF3"/>
    <w:rsid w:val="00FE3CFE"/>
    <w:rsid w:val="00FF4A1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76B87"/>
    <w:rPr>
      <w:color w:val="auto"/>
      <w:bdr w:val="none" w:sz="0" w:space="0" w:color="auto"/>
      <w:shd w:val="clear" w:color="auto" w:fill="FFFF00"/>
    </w:rPr>
  </w:style>
  <w:style w:type="paragraph" w:customStyle="1" w:styleId="8C9D371F1CB348F890DB0B95F03189B3">
    <w:name w:val="8C9D371F1CB348F890DB0B95F03189B3"/>
  </w:style>
  <w:style w:type="paragraph" w:customStyle="1" w:styleId="64B0647015D1458BBFD15C8292004308">
    <w:name w:val="64B0647015D1458BBFD15C8292004308"/>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DEECA Energy Theme">
  <a:themeElements>
    <a:clrScheme name="Custom 15">
      <a:dk1>
        <a:srgbClr val="232222"/>
      </a:dk1>
      <a:lt1>
        <a:sysClr val="window" lastClr="FFFFFF"/>
      </a:lt1>
      <a:dk2>
        <a:srgbClr val="201547"/>
      </a:dk2>
      <a:lt2>
        <a:srgbClr val="CCE3F5"/>
      </a:lt2>
      <a:accent1>
        <a:srgbClr val="0072CE"/>
      </a:accent1>
      <a:accent2>
        <a:srgbClr val="EA7200"/>
      </a:accent2>
      <a:accent3>
        <a:srgbClr val="00B2A9"/>
      </a:accent3>
      <a:accent4>
        <a:srgbClr val="201547"/>
      </a:accent4>
      <a:accent5>
        <a:srgbClr val="66AAE2"/>
      </a:accent5>
      <a:accent6>
        <a:srgbClr val="F2AB66"/>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DEECA Energy Theme" id="{60285F6E-04E0-4C09-ABD3-8CF014FA7860}" vid="{4CBAAA68-0B86-4E72-B256-7C5D288ED6B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Attachment Document" ma:contentTypeID="0x010100ADB6A493CB944449B507A6E62846B95F00665E9DA47A064445BA761A66524ECAB6" ma:contentTypeVersion="48" ma:contentTypeDescription="Attachment Document" ma:contentTypeScope="" ma:versionID="09e25ab83b5250ce5ee74a85a63dbc11">
  <xsd:schema xmlns:xsd="http://www.w3.org/2001/XMLSchema" xmlns:xs="http://www.w3.org/2001/XMLSchema" xmlns:p="http://schemas.microsoft.com/office/2006/metadata/properties" xmlns:ns2="cae37ace-7a49-4147-b024-43561a7a3263" xmlns:ns3="a5f32de4-e402-4188-b034-e71ca7d22e54" xmlns:ns4="c3b39626-1f87-4d8b-af49-d2ddfde2c4da" targetNamespace="http://schemas.microsoft.com/office/2006/metadata/properties" ma:root="true" ma:fieldsID="f46d14b7a40705a183ffbf7593f4e88b" ns2:_="" ns3:_="" ns4:_="">
    <xsd:import namespace="cae37ace-7a49-4147-b024-43561a7a3263"/>
    <xsd:import namespace="a5f32de4-e402-4188-b034-e71ca7d22e54"/>
    <xsd:import namespace="c3b39626-1f87-4d8b-af49-d2ddfde2c4da"/>
    <xsd:element name="properties">
      <xsd:complexType>
        <xsd:sequence>
          <xsd:element name="documentManagement">
            <xsd:complexType>
              <xsd:all>
                <xsd:element ref="ns2:ABCSignatureRequired" minOccurs="0"/>
                <xsd:element ref="ns2:ABCSignatureInstructions" minOccurs="0"/>
                <xsd:element ref="ns2:ABCOrgApproverSignatureRequired" minOccurs="0"/>
                <xsd:element ref="ns2:ABCOrgApproverSignatureInstructions" minOccurs="0"/>
                <xsd:element ref="ns3:_dlc_DocId" minOccurs="0"/>
                <xsd:element ref="ns3:_dlc_DocIdUrl" minOccurs="0"/>
                <xsd:element ref="ns3:_dlc_DocIdPersistId"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e37ace-7a49-4147-b024-43561a7a3263" elementFormDefault="qualified">
    <xsd:import namespace="http://schemas.microsoft.com/office/2006/documentManagement/types"/>
    <xsd:import namespace="http://schemas.microsoft.com/office/infopath/2007/PartnerControls"/>
    <xsd:element name="ABCSignatureRequired" ma:index="1" nillable="true" ma:displayName="Signature Required" ma:default="0" ma:internalName="ABCSignatureRequired">
      <xsd:simpleType>
        <xsd:restriction base="dms:Boolean"/>
      </xsd:simpleType>
    </xsd:element>
    <xsd:element name="ABCSignatureInstructions" ma:index="2" nillable="true" ma:displayName="Signature Instructions" ma:internalName="ABCSignatureInstructions">
      <xsd:simpleType>
        <xsd:restriction base="dms:Note">
          <xsd:maxLength value="255"/>
        </xsd:restriction>
      </xsd:simpleType>
    </xsd:element>
    <xsd:element name="ABCOrgApproverSignatureRequired" ma:index="3" nillable="true" ma:displayName="Org Approver Signature Required" ma:default="0" ma:internalName="ABCOrgApproverSignatureRequired">
      <xsd:simpleType>
        <xsd:restriction base="dms:Boolean"/>
      </xsd:simpleType>
    </xsd:element>
    <xsd:element name="ABCOrgApproverSignatureInstructions" ma:index="4" nillable="true" ma:displayName="Org Approver Signature Instructions" ma:internalName="ABCOrgApproverSignatureInstruction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3b39626-1f87-4d8b-af49-d2ddfde2c4da" elementFormDefault="qualified">
    <xsd:import namespace="http://schemas.microsoft.com/office/2006/documentManagement/types"/>
    <xsd:import namespace="http://schemas.microsoft.com/office/infopath/2007/PartnerControls"/>
    <xsd:element name="lcf76f155ced4ddcb4097134ff3c332f" ma:index="15"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spe:Receivers xmlns:spe="http://schemas.microsoft.com/sharepoint/events"/>
</file>

<file path=customXml/item5.xml><?xml version="1.0" encoding="utf-8"?>
<?mso-contentType ?>
<SharedContentType xmlns="Microsoft.SharePoint.Taxonomy.ContentTypeSync" SourceId="797aeec6-0273-40f2-ab3e-beee73212332" ContentTypeId="0x0101" PreviousValue="false" LastSyncTimeStamp="2018-05-31T04:53:04.507Z"/>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_dlc_DocId xmlns="a5f32de4-e402-4188-b034-e71ca7d22e54">DOCID252-1727716494-77</_dlc_DocId>
    <_dlc_DocIdUrl xmlns="a5f32de4-e402-4188-b034-e71ca7d22e54">
      <Url>https://delwpvicgovau.sharepoint.com/sites/ecm_252/_layouts/15/DocIdRedir.aspx?ID=DOCID252-1727716494-77</Url>
      <Description>DOCID252-1727716494-77</Description>
    </_dlc_DocIdUrl>
    <lcf76f155ced4ddcb4097134ff3c332f xmlns="c3b39626-1f87-4d8b-af49-d2ddfde2c4da" xsi:nil="true"/>
    <ABCSignatureRequired xmlns="cae37ace-7a49-4147-b024-43561a7a3263">false</ABCSignatureRequired>
    <ABCSignatureInstructions xmlns="cae37ace-7a49-4147-b024-43561a7a3263" xsi:nil="true"/>
    <ABCOrgApproverSignatureRequired xmlns="cae37ace-7a49-4147-b024-43561a7a3263">false</ABCOrgApproverSignatureRequired>
    <ABCOrgApproverSignatureInstructions xmlns="cae37ace-7a49-4147-b024-43561a7a3263"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93D3C6A-CC97-4A59-AD20-1148F86357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e37ace-7a49-4147-b024-43561a7a3263"/>
    <ds:schemaRef ds:uri="a5f32de4-e402-4188-b034-e71ca7d22e54"/>
    <ds:schemaRef ds:uri="c3b39626-1f87-4d8b-af49-d2ddfde2c4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4.xml><?xml version="1.0" encoding="utf-8"?>
<ds:datastoreItem xmlns:ds="http://schemas.openxmlformats.org/officeDocument/2006/customXml" ds:itemID="{A0C7AF57-BB52-4585-87BB-99EF8D048218}">
  <ds:schemaRefs>
    <ds:schemaRef ds:uri="http://schemas.microsoft.com/sharepoint/events"/>
  </ds:schemaRefs>
</ds:datastoreItem>
</file>

<file path=customXml/itemProps5.xml><?xml version="1.0" encoding="utf-8"?>
<ds:datastoreItem xmlns:ds="http://schemas.openxmlformats.org/officeDocument/2006/customXml" ds:itemID="{DE92D826-9F66-4FC5-AE3B-C31A92EB5912}">
  <ds:schemaRefs>
    <ds:schemaRef ds:uri="Microsoft.SharePoint.Taxonomy.ContentTypeSync"/>
  </ds:schemaRefs>
</ds:datastoreItem>
</file>

<file path=customXml/itemProps6.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7.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a5f32de4-e402-4188-b034-e71ca7d22e54"/>
    <ds:schemaRef ds:uri="c3b39626-1f87-4d8b-af49-d2ddfde2c4da"/>
    <ds:schemaRef ds:uri="cae37ace-7a49-4147-b024-43561a7a326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12361</Words>
  <Characters>70461</Characters>
  <Application>Microsoft Office Word</Application>
  <DocSecurity>0</DocSecurity>
  <Lines>587</Lines>
  <Paragraphs>165</Paragraphs>
  <ScaleCrop>false</ScaleCrop>
  <Company/>
  <LinksUpToDate>false</LinksUpToDate>
  <CharactersWithSpaces>82657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Measurement and Verification in Victorian Energy Upgrades</dc:title>
  <dc:subject>Specifications – Version 9.0</dc:subject>
  <dc:creator>Maree P Delaney (DELWP)</dc:creator>
  <cp:keywords/>
  <dc:description/>
  <cp:lastModifiedBy>Bradley T Arden (DEECA)</cp:lastModifiedBy>
  <cp:revision>666</cp:revision>
  <cp:lastPrinted>2026-08-27T00:01:00Z</cp:lastPrinted>
  <dcterms:created xsi:type="dcterms:W3CDTF">2025-10-31T18:27:00Z</dcterms:created>
  <dcterms:modified xsi:type="dcterms:W3CDTF">2026-09-16T22:58:00Z</dcterms:modified>
  <cp:category>Subtitle goes here</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Title</vt:lpwstr>
  </property>
  <property fmtid="{D5CDD505-2E9C-101B-9397-08002B2CF9AE}" pid="3" name="xFooterSubtitle">
    <vt:lpwstr>Subtitle</vt:lpwstr>
  </property>
  <property fmtid="{D5CDD505-2E9C-101B-9397-08002B2CF9AE}" pid="4" name="ContentTypeId">
    <vt:lpwstr>0x010100ADB6A493CB944449B507A6E62846B95F00665E9DA47A064445BA761A66524ECAB6</vt:lpwstr>
  </property>
  <property fmtid="{D5CDD505-2E9C-101B-9397-08002B2CF9AE}" pid="5" name="MediaServiceImageTags">
    <vt:lpwstr/>
  </property>
  <property fmtid="{D5CDD505-2E9C-101B-9397-08002B2CF9AE}" pid="6" name="ClassificationContentMarkingFooterShapeIds">
    <vt:lpwstr>5f,60,61,5c8e4223,17c95ed7,56c1731,2138a772,1d038df3,77d3f542</vt:lpwstr>
  </property>
  <property fmtid="{D5CDD505-2E9C-101B-9397-08002B2CF9AE}" pid="7" name="ClassificationContentMarkingFooterFontProps">
    <vt:lpwstr>#000000,12,Calibri</vt:lpwstr>
  </property>
  <property fmtid="{D5CDD505-2E9C-101B-9397-08002B2CF9AE}" pid="8" name="ClassificationContentMarkingFooterText">
    <vt:lpwstr>OFFICIAL</vt:lpwstr>
  </property>
  <property fmtid="{D5CDD505-2E9C-101B-9397-08002B2CF9AE}" pid="9" name="Agency">
    <vt:lpwstr>1;#Department of Environment, Land, Water and Planning|607a3f87-1228-4cd9-82a5-076aa8776274</vt:lpwstr>
  </property>
  <property fmtid="{D5CDD505-2E9C-101B-9397-08002B2CF9AE}" pid="10" name="Division">
    <vt:lpwstr>21;#Information Services|30448c83-753c-4662-9f56-9cde52d6c172</vt:lpwstr>
  </property>
  <property fmtid="{D5CDD505-2E9C-101B-9397-08002B2CF9AE}" pid="11" name="Dissemination Limiting Marker">
    <vt:lpwstr>2;#FOUO|955eb6fc-b35a-4808-8aa5-31e514fa3f26</vt:lpwstr>
  </property>
  <property fmtid="{D5CDD505-2E9C-101B-9397-08002B2CF9AE}" pid="12" name="Section">
    <vt:lpwstr/>
  </property>
  <property fmtid="{D5CDD505-2E9C-101B-9397-08002B2CF9AE}" pid="13" name="Sub-Section">
    <vt:lpwstr/>
  </property>
  <property fmtid="{D5CDD505-2E9C-101B-9397-08002B2CF9AE}" pid="14" name="Reference_x0020_Type">
    <vt:lpwstr/>
  </property>
  <property fmtid="{D5CDD505-2E9C-101B-9397-08002B2CF9AE}" pid="15" name="Location_x0020_Type">
    <vt:lpwstr/>
  </property>
  <property fmtid="{D5CDD505-2E9C-101B-9397-08002B2CF9AE}" pid="16" name="o2e611f6ba3e4c8f9a895dfb7980639e">
    <vt:lpwstr/>
  </property>
  <property fmtid="{D5CDD505-2E9C-101B-9397-08002B2CF9AE}" pid="17" name="ld508a88e6264ce89693af80a72862cb">
    <vt:lpwstr/>
  </property>
  <property fmtid="{D5CDD505-2E9C-101B-9397-08002B2CF9AE}" pid="18" name="Location Type">
    <vt:lpwstr/>
  </property>
  <property fmtid="{D5CDD505-2E9C-101B-9397-08002B2CF9AE}" pid="19" name="Reference Type">
    <vt:lpwstr/>
  </property>
  <property fmtid="{D5CDD505-2E9C-101B-9397-08002B2CF9AE}" pid="20" name="SharedWithUsers">
    <vt:lpwstr>1247;#Alex P Atkinson (DEECA);#171;#Jack E Brown (DEECA);#1191;#Andrew Marshall-Juarez (DEECA);#6011;#Benjamin E Chesler (DEECA);#2984;#Maree P Delaney (DEECA);#2820;#Trent C Hartley (DEECA);#791;#Nick D Smith (DEECA)</vt:lpwstr>
  </property>
  <property fmtid="{D5CDD505-2E9C-101B-9397-08002B2CF9AE}" pid="21" name="o85941e134754762b9719660a258a6e6">
    <vt:lpwstr/>
  </property>
  <property fmtid="{D5CDD505-2E9C-101B-9397-08002B2CF9AE}" pid="22" name="Copyright_x0020_Licence_x0020_Name">
    <vt:lpwstr/>
  </property>
  <property fmtid="{D5CDD505-2E9C-101B-9397-08002B2CF9AE}" pid="23" name="df723ab3fe1c4eb7a0b151674e7ac40d">
    <vt:lpwstr/>
  </property>
  <property fmtid="{D5CDD505-2E9C-101B-9397-08002B2CF9AE}" pid="24" name="Copyright_x0020_License_x0020_Type">
    <vt:lpwstr/>
  </property>
  <property fmtid="{D5CDD505-2E9C-101B-9397-08002B2CF9AE}" pid="25" name="Copyright Licence Name">
    <vt:lpwstr/>
  </property>
  <property fmtid="{D5CDD505-2E9C-101B-9397-08002B2CF9AE}" pid="26" name="Copyright License Type">
    <vt:lpwstr/>
  </property>
  <property fmtid="{D5CDD505-2E9C-101B-9397-08002B2CF9AE}" pid="27" name="Sub_x002d_Section">
    <vt:lpwstr/>
  </property>
  <property fmtid="{D5CDD505-2E9C-101B-9397-08002B2CF9AE}" pid="28" name="Dissemination_x0020_Limiting_x0020_Marker">
    <vt:lpwstr>2;#FOUO|955eb6fc-b35a-4808-8aa5-31e514fa3f26</vt:lpwstr>
  </property>
  <property fmtid="{D5CDD505-2E9C-101B-9397-08002B2CF9AE}" pid="29" name="_dlc_DocIdItemGuid">
    <vt:lpwstr>478a1fe6-e280-4cc0-8244-212ef24a8384</vt:lpwstr>
  </property>
  <property fmtid="{D5CDD505-2E9C-101B-9397-08002B2CF9AE}" pid="30" name="Security Classification">
    <vt:lpwstr>209;#FOUO|a68bb466-13a2-4b11-9c31-8c4948da88a9</vt:lpwstr>
  </property>
  <property fmtid="{D5CDD505-2E9C-101B-9397-08002B2CF9AE}" pid="31" name="Security_x0020_Classification">
    <vt:lpwstr>209;#FOUO|a68bb466-13a2-4b11-9c31-8c4948da88a9</vt:lpwstr>
  </property>
  <property fmtid="{D5CDD505-2E9C-101B-9397-08002B2CF9AE}" pid="32" name="Year">
    <vt:lpwstr>224;#2025|9ca4e8b8-e6e7-4b13-9337-6e1d52c7e9f6</vt:lpwstr>
  </property>
  <property fmtid="{D5CDD505-2E9C-101B-9397-08002B2CF9AE}" pid="33" name="ClassificationContentMarkingHeaderShapeIds">
    <vt:lpwstr>77639d3c,4c64e2d3,65929fc5,7fad9a89,5b5079d2,3a1d44d</vt:lpwstr>
  </property>
  <property fmtid="{D5CDD505-2E9C-101B-9397-08002B2CF9AE}" pid="34" name="ClassificationContentMarkingHeaderFontProps">
    <vt:lpwstr>#ff0000,12,Calibri</vt:lpwstr>
  </property>
  <property fmtid="{D5CDD505-2E9C-101B-9397-08002B2CF9AE}" pid="35" name="ClassificationContentMarkingHeaderText">
    <vt:lpwstr>OFFICIAL</vt:lpwstr>
  </property>
  <property fmtid="{D5CDD505-2E9C-101B-9397-08002B2CF9AE}" pid="36" name="MSIP_Label_c62a3d98-e4c9-4917-991a-0f0276b71296_Enabled">
    <vt:lpwstr>true</vt:lpwstr>
  </property>
  <property fmtid="{D5CDD505-2E9C-101B-9397-08002B2CF9AE}" pid="37" name="MSIP_Label_c62a3d98-e4c9-4917-991a-0f0276b71296_SetDate">
    <vt:lpwstr>2025-03-07T03:26:35Z</vt:lpwstr>
  </property>
  <property fmtid="{D5CDD505-2E9C-101B-9397-08002B2CF9AE}" pid="38" name="MSIP_Label_c62a3d98-e4c9-4917-991a-0f0276b71296_Method">
    <vt:lpwstr>Standard</vt:lpwstr>
  </property>
  <property fmtid="{D5CDD505-2E9C-101B-9397-08002B2CF9AE}" pid="39" name="MSIP_Label_c62a3d98-e4c9-4917-991a-0f0276b71296_Name">
    <vt:lpwstr>OFFICIAL</vt:lpwstr>
  </property>
  <property fmtid="{D5CDD505-2E9C-101B-9397-08002B2CF9AE}" pid="40" name="MSIP_Label_c62a3d98-e4c9-4917-991a-0f0276b71296_SiteId">
    <vt:lpwstr>5f894de5-5651-487a-aaff-5a8c899b254d</vt:lpwstr>
  </property>
  <property fmtid="{D5CDD505-2E9C-101B-9397-08002B2CF9AE}" pid="41" name="MSIP_Label_c62a3d98-e4c9-4917-991a-0f0276b71296_ActionId">
    <vt:lpwstr>6f64c52d-f25b-48e3-a1ab-8f4dd6b92440</vt:lpwstr>
  </property>
  <property fmtid="{D5CDD505-2E9C-101B-9397-08002B2CF9AE}" pid="42" name="MSIP_Label_c62a3d98-e4c9-4917-991a-0f0276b71296_ContentBits">
    <vt:lpwstr>1</vt:lpwstr>
  </property>
  <property fmtid="{D5CDD505-2E9C-101B-9397-08002B2CF9AE}" pid="43" name="MSIP_Label_c62a3d98-e4c9-4917-991a-0f0276b71296_Tag">
    <vt:lpwstr>10, 3, 0, 1</vt:lpwstr>
  </property>
  <property fmtid="{D5CDD505-2E9C-101B-9397-08002B2CF9AE}" pid="44" name="Branch">
    <vt:lpwstr>106;#Energy Programs|7984d6fd-343b-4680-8b33-40444d57ed46</vt:lpwstr>
  </property>
  <property fmtid="{D5CDD505-2E9C-101B-9397-08002B2CF9AE}" pid="45" name="Group1">
    <vt:lpwstr>85;#Energy|40f2c14a-2679-4881-8e58-939b39a0f1d1</vt:lpwstr>
  </property>
  <property fmtid="{D5CDD505-2E9C-101B-9397-08002B2CF9AE}" pid="46" name="MSIP_Label_4257e2ab-f512-40e2-9c9a-c64247360765_Enabled">
    <vt:lpwstr>true</vt:lpwstr>
  </property>
  <property fmtid="{D5CDD505-2E9C-101B-9397-08002B2CF9AE}" pid="47" name="MSIP_Label_4257e2ab-f512-40e2-9c9a-c64247360765_SetDate">
    <vt:lpwstr>2025-04-08T03:43:44Z</vt:lpwstr>
  </property>
  <property fmtid="{D5CDD505-2E9C-101B-9397-08002B2CF9AE}" pid="48" name="MSIP_Label_4257e2ab-f512-40e2-9c9a-c64247360765_Method">
    <vt:lpwstr>Privileged</vt:lpwstr>
  </property>
  <property fmtid="{D5CDD505-2E9C-101B-9397-08002B2CF9AE}" pid="49" name="MSIP_Label_4257e2ab-f512-40e2-9c9a-c64247360765_Name">
    <vt:lpwstr>OFFICIAL</vt:lpwstr>
  </property>
  <property fmtid="{D5CDD505-2E9C-101B-9397-08002B2CF9AE}" pid="50" name="MSIP_Label_4257e2ab-f512-40e2-9c9a-c64247360765_SiteId">
    <vt:lpwstr>e8bdd6f7-fc18-4e48-a554-7f547927223b</vt:lpwstr>
  </property>
  <property fmtid="{D5CDD505-2E9C-101B-9397-08002B2CF9AE}" pid="51" name="MSIP_Label_4257e2ab-f512-40e2-9c9a-c64247360765_ActionId">
    <vt:lpwstr>0e5a33bc-2837-4b97-ac9c-5b2befced23c</vt:lpwstr>
  </property>
  <property fmtid="{D5CDD505-2E9C-101B-9397-08002B2CF9AE}" pid="52" name="MSIP_Label_4257e2ab-f512-40e2-9c9a-c64247360765_ContentBits">
    <vt:lpwstr>2</vt:lpwstr>
  </property>
  <property fmtid="{D5CDD505-2E9C-101B-9397-08002B2CF9AE}" pid="53" name="MSIP_Label_4257e2ab-f512-40e2-9c9a-c64247360765_Tag">
    <vt:lpwstr>10, 0, 1, 1</vt:lpwstr>
  </property>
  <property fmtid="{D5CDD505-2E9C-101B-9397-08002B2CF9AE}" pid="54" name="Records Class Project">
    <vt:lpwstr>142;#Policies and Procedures|106771be-6573-4a30-b5c8-d3b1f646d5eb</vt:lpwstr>
  </property>
  <property fmtid="{D5CDD505-2E9C-101B-9397-08002B2CF9AE}" pid="55" name="Records_x0020_Class_x0020_Project">
    <vt:lpwstr>142;#Policies and Procedures|106771be-6573-4a30-b5c8-d3b1f646d5eb</vt:lpwstr>
  </property>
  <property fmtid="{D5CDD505-2E9C-101B-9397-08002B2CF9AE}" pid="56" name="Record_x0020_Purpose">
    <vt:lpwstr/>
  </property>
  <property fmtid="{D5CDD505-2E9C-101B-9397-08002B2CF9AE}" pid="57" name="Department_x0020_Document_x0020_Type">
    <vt:lpwstr/>
  </property>
  <property fmtid="{D5CDD505-2E9C-101B-9397-08002B2CF9AE}" pid="58" name="Record Purpose">
    <vt:lpwstr/>
  </property>
  <property fmtid="{D5CDD505-2E9C-101B-9397-08002B2CF9AE}" pid="59" name="Department Document Type">
    <vt:lpwstr/>
  </property>
  <property fmtid="{D5CDD505-2E9C-101B-9397-08002B2CF9AE}" pid="60" name="_docset_NoMedatataSyncRequired">
    <vt:lpwstr>False</vt:lpwstr>
  </property>
  <property fmtid="{D5CDD505-2E9C-101B-9397-08002B2CF9AE}" pid="61" name="docLang">
    <vt:lpwstr>en</vt:lpwstr>
  </property>
  <property fmtid="{D5CDD505-2E9C-101B-9397-08002B2CF9AE}" pid="62" name="ABCBriefingType">
    <vt:lpwstr/>
  </property>
  <property fmtid="{D5CDD505-2E9C-101B-9397-08002B2CF9AE}" pid="63" name="ABCTimingTimeframe_0">
    <vt:lpwstr/>
  </property>
  <property fmtid="{D5CDD505-2E9C-101B-9397-08002B2CF9AE}" pid="64" name="ABCDecisionCategory">
    <vt:lpwstr/>
  </property>
  <property fmtid="{D5CDD505-2E9C-101B-9397-08002B2CF9AE}" pid="65" name="ABCRequestFrom_0">
    <vt:lpwstr/>
  </property>
  <property fmtid="{D5CDD505-2E9C-101B-9397-08002B2CF9AE}" pid="66" name="ABCAccessCaveats_0">
    <vt:lpwstr/>
  </property>
  <property fmtid="{D5CDD505-2E9C-101B-9397-08002B2CF9AE}" pid="67" name="ABCSecurityClassification">
    <vt:lpwstr/>
  </property>
  <property fmtid="{D5CDD505-2E9C-101B-9397-08002B2CF9AE}" pid="68" name="ABCStage">
    <vt:lpwstr/>
  </property>
  <property fmtid="{D5CDD505-2E9C-101B-9397-08002B2CF9AE}" pid="69" name="ABCDecisionCategory_0">
    <vt:lpwstr/>
  </property>
  <property fmtid="{D5CDD505-2E9C-101B-9397-08002B2CF9AE}" pid="70" name="ABCRequestFrom">
    <vt:lpwstr/>
  </property>
  <property fmtid="{D5CDD505-2E9C-101B-9397-08002B2CF9AE}" pid="71" name="ABCTasks">
    <vt:lpwstr/>
  </property>
  <property fmtid="{D5CDD505-2E9C-101B-9397-08002B2CF9AE}" pid="72" name="ABCRecordFlags_0">
    <vt:lpwstr/>
  </property>
  <property fmtid="{D5CDD505-2E9C-101B-9397-08002B2CF9AE}" pid="73" name="ABCTimeframe">
    <vt:lpwstr/>
  </property>
  <property fmtid="{D5CDD505-2E9C-101B-9397-08002B2CF9AE}" pid="74" name="ABCAccessCaveats">
    <vt:lpwstr/>
  </property>
  <property fmtid="{D5CDD505-2E9C-101B-9397-08002B2CF9AE}" pid="75" name="ABCTasks_0">
    <vt:lpwstr/>
  </property>
  <property fmtid="{D5CDD505-2E9C-101B-9397-08002B2CF9AE}" pid="76" name="TaxCatchAll">
    <vt:lpwstr/>
  </property>
  <property fmtid="{D5CDD505-2E9C-101B-9397-08002B2CF9AE}" pid="77" name="ABCTimingTimeframe">
    <vt:lpwstr/>
  </property>
  <property fmtid="{D5CDD505-2E9C-101B-9397-08002B2CF9AE}" pid="78" name="ABCStage_0">
    <vt:lpwstr/>
  </property>
  <property fmtid="{D5CDD505-2E9C-101B-9397-08002B2CF9AE}" pid="79" name="ABCRecordFlags">
    <vt:lpwstr/>
  </property>
  <property fmtid="{D5CDD505-2E9C-101B-9397-08002B2CF9AE}" pid="80" name="ABCBriefingType_0">
    <vt:lpwstr/>
  </property>
  <property fmtid="{D5CDD505-2E9C-101B-9397-08002B2CF9AE}" pid="81" name="ABCTimeframe_0">
    <vt:lpwstr/>
  </property>
  <property fmtid="{D5CDD505-2E9C-101B-9397-08002B2CF9AE}" pid="82" name="ABCSecurityClassification_0">
    <vt:lpwstr/>
  </property>
</Properties>
</file>