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5670" w:rightFromText="5670" w:bottomFromText="284" w:vertAnchor="page" w:horzAnchor="page" w:tblpX="2892" w:tblpY="462"/>
        <w:tblOverlap w:val="never"/>
        <w:tblW w:w="0" w:type="auto"/>
        <w:tblLayout w:type="fixed"/>
        <w:tblCellMar>
          <w:left w:w="0" w:type="dxa"/>
          <w:right w:w="0" w:type="dxa"/>
        </w:tblCellMar>
        <w:tblLook w:val="04A0" w:firstRow="1" w:lastRow="0" w:firstColumn="1" w:lastColumn="0" w:noHBand="0" w:noVBand="1"/>
      </w:tblPr>
      <w:tblGrid>
        <w:gridCol w:w="8222"/>
      </w:tblGrid>
      <w:tr w:rsidR="00975ED3" w:rsidRPr="00975ED3" w:rsidTr="00A64D44">
        <w:trPr>
          <w:trHeight w:hRule="exact" w:val="1418"/>
        </w:trPr>
        <w:tc>
          <w:tcPr>
            <w:tcW w:w="8222" w:type="dxa"/>
            <w:vAlign w:val="center"/>
          </w:tcPr>
          <w:p w:rsidR="00975ED3" w:rsidRPr="00975ED3" w:rsidRDefault="00F2639A" w:rsidP="00A64D44">
            <w:pPr>
              <w:pStyle w:val="Title"/>
            </w:pPr>
            <w:r>
              <w:t>Changes to VEET compliance timings to benefit Energy Retailers and consumers</w:t>
            </w:r>
          </w:p>
        </w:tc>
      </w:tr>
      <w:tr w:rsidR="00975ED3" w:rsidTr="00A64D44">
        <w:trPr>
          <w:trHeight w:val="1247"/>
        </w:trPr>
        <w:tc>
          <w:tcPr>
            <w:tcW w:w="8222" w:type="dxa"/>
            <w:vAlign w:val="center"/>
          </w:tcPr>
          <w:p w:rsidR="00975ED3" w:rsidRDefault="00DB3145" w:rsidP="00DB3145">
            <w:pPr>
              <w:pStyle w:val="Subtitle"/>
            </w:pPr>
            <w:r>
              <w:t xml:space="preserve">Energy Retailers to get notification of their VEET scheme liability before the commencement of a compliance year  </w:t>
            </w:r>
            <w:r w:rsidR="007F7B34">
              <w:t xml:space="preserve"> </w:t>
            </w:r>
          </w:p>
        </w:tc>
      </w:tr>
    </w:tbl>
    <w:p w:rsidR="00806AB6" w:rsidRDefault="00806AB6" w:rsidP="00307C36"/>
    <w:p w:rsidR="00806AB6" w:rsidRDefault="00806AB6" w:rsidP="00806AB6">
      <w:pPr>
        <w:pStyle w:val="BodyText"/>
        <w:sectPr w:rsidR="00806AB6" w:rsidSect="00E97294">
          <w:headerReference w:type="even" r:id="rId9"/>
          <w:footerReference w:type="even" r:id="rId10"/>
          <w:footerReference w:type="default" r:id="rId11"/>
          <w:headerReference w:type="first" r:id="rId12"/>
          <w:footerReference w:type="first" r:id="rId13"/>
          <w:pgSz w:w="11907" w:h="16840" w:code="9"/>
          <w:pgMar w:top="2211" w:right="737" w:bottom="794" w:left="851" w:header="284" w:footer="284" w:gutter="0"/>
          <w:cols w:space="284"/>
          <w:titlePg/>
          <w:docGrid w:linePitch="360"/>
        </w:sectPr>
      </w:pPr>
    </w:p>
    <w:p w:rsidR="00762C23" w:rsidRPr="00123B89" w:rsidRDefault="00500AC7" w:rsidP="00C04605">
      <w:pPr>
        <w:pStyle w:val="IntroFeatureText"/>
      </w:pPr>
      <w:r w:rsidRPr="00123B89">
        <w:lastRenderedPageBreak/>
        <w:t>Changes to the way the rates are set will offer more certainty to energy retailers, and the opportunity to pass on associated savings to energy consumers.</w:t>
      </w:r>
      <w:r w:rsidR="001306D2" w:rsidRPr="00123B89">
        <w:t xml:space="preserve">  </w:t>
      </w:r>
    </w:p>
    <w:p w:rsidR="000205BD" w:rsidRPr="00123B89" w:rsidRDefault="000205BD" w:rsidP="001306D2">
      <w:pPr>
        <w:pStyle w:val="Heading1"/>
      </w:pPr>
      <w:r w:rsidRPr="00123B89">
        <w:t>The VEET Scheme</w:t>
      </w:r>
    </w:p>
    <w:p w:rsidR="003441F5" w:rsidRDefault="003441F5" w:rsidP="004751FF">
      <w:pPr>
        <w:pStyle w:val="bodycopy"/>
      </w:pPr>
      <w:r w:rsidRPr="00123B89">
        <w:t>The Victorian Energy Efficiency Target (VEET) scheme is a market-based scheme that incentivises energy efficiency upgrades, reduces greenhouse gas emissions, encourages investment and jobs and develops technology in Victoria.</w:t>
      </w:r>
    </w:p>
    <w:p w:rsidR="00942AE0" w:rsidRPr="00942AE0" w:rsidRDefault="00942AE0" w:rsidP="004751FF">
      <w:pPr>
        <w:pStyle w:val="bodycopy"/>
      </w:pPr>
      <w:r w:rsidRPr="00123B89">
        <w:t>The Victorian Government is strengthening the scheme. As part of this process, the administrative process for establishing the annual compliance requirement is being reviewed.</w:t>
      </w:r>
    </w:p>
    <w:p w:rsidR="000205BD" w:rsidRPr="00365521" w:rsidRDefault="00942AE0" w:rsidP="00D534E2">
      <w:pPr>
        <w:pStyle w:val="Heading2"/>
      </w:pPr>
      <w:r>
        <w:t>Greenhouse Gas Reduction Rates</w:t>
      </w:r>
    </w:p>
    <w:p w:rsidR="00F039C1" w:rsidRDefault="00F039C1" w:rsidP="004751FF">
      <w:pPr>
        <w:pStyle w:val="bodycopy"/>
        <w:rPr>
          <w:rFonts w:cs="Helv"/>
        </w:rPr>
      </w:pPr>
      <w:r>
        <w:t xml:space="preserve">Under the VEET scheme energy retailers are required to </w:t>
      </w:r>
      <w:r w:rsidR="004751FF">
        <w:t>surrender</w:t>
      </w:r>
      <w:r>
        <w:t xml:space="preserve"> a number of Victorian energy efficiency certificates in proportion to the amount of energy </w:t>
      </w:r>
      <w:r w:rsidR="00374DB4">
        <w:t xml:space="preserve">sold to </w:t>
      </w:r>
      <w:r>
        <w:t>thei</w:t>
      </w:r>
      <w:r w:rsidR="004751FF">
        <w:t xml:space="preserve">r customers </w:t>
      </w:r>
      <w:r w:rsidR="00374DB4">
        <w:t>in</w:t>
      </w:r>
      <w:r w:rsidR="004751FF">
        <w:t xml:space="preserve"> that year.</w:t>
      </w:r>
      <w:r>
        <w:t xml:space="preserve"> </w:t>
      </w:r>
      <w:r w:rsidR="00942AE0" w:rsidRPr="00942AE0">
        <w:rPr>
          <w:rFonts w:cs="Helv"/>
        </w:rPr>
        <w:t>The</w:t>
      </w:r>
      <w:r>
        <w:rPr>
          <w:rFonts w:cs="Helv"/>
        </w:rPr>
        <w:t>se</w:t>
      </w:r>
      <w:r w:rsidR="00942AE0" w:rsidRPr="00942AE0">
        <w:rPr>
          <w:rFonts w:cs="Helv"/>
        </w:rPr>
        <w:t xml:space="preserve"> liabilities are calculated each year using figures known as the Greenhouse Gas Reduction Rates (the Rates). </w:t>
      </w:r>
    </w:p>
    <w:p w:rsidR="00942AE0" w:rsidRPr="004751FF" w:rsidRDefault="00942AE0" w:rsidP="004751FF">
      <w:pPr>
        <w:pStyle w:val="bodycopy"/>
      </w:pPr>
      <w:r w:rsidRPr="00942AE0">
        <w:rPr>
          <w:rFonts w:cs="Helv"/>
        </w:rPr>
        <w:t xml:space="preserve">There are two such Rates: one for gas and one for electricity. </w:t>
      </w:r>
    </w:p>
    <w:p w:rsidR="00942AE0" w:rsidRPr="00942AE0" w:rsidRDefault="00942AE0" w:rsidP="004751FF">
      <w:pPr>
        <w:pStyle w:val="bodycopy"/>
        <w:rPr>
          <w:rFonts w:cs="Helv"/>
        </w:rPr>
      </w:pPr>
      <w:r w:rsidRPr="00942AE0">
        <w:rPr>
          <w:rFonts w:cs="Helv"/>
        </w:rPr>
        <w:t>The Rates are published in the Government Gazette in late May of the year to which they apply. As a result of this timing</w:t>
      </w:r>
      <w:r w:rsidR="00500AC7">
        <w:rPr>
          <w:rFonts w:cs="Helv"/>
        </w:rPr>
        <w:t>,</w:t>
      </w:r>
      <w:r w:rsidRPr="00942AE0">
        <w:rPr>
          <w:rFonts w:cs="Helv"/>
        </w:rPr>
        <w:t xml:space="preserve"> energy retailers do not know their liabilities for the first five months each year and therefore have to estimate </w:t>
      </w:r>
      <w:r w:rsidR="00500AC7">
        <w:rPr>
          <w:rFonts w:cs="Helv"/>
        </w:rPr>
        <w:t>liabilities</w:t>
      </w:r>
      <w:r w:rsidRPr="00942AE0">
        <w:rPr>
          <w:rFonts w:cs="Helv"/>
        </w:rPr>
        <w:t xml:space="preserve"> during that time. This uncertainty may raise the cost </w:t>
      </w:r>
      <w:r w:rsidR="00500AC7">
        <w:rPr>
          <w:rFonts w:cs="Helv"/>
        </w:rPr>
        <w:t xml:space="preserve">to energy retailers </w:t>
      </w:r>
      <w:r w:rsidRPr="00942AE0">
        <w:rPr>
          <w:rFonts w:cs="Helv"/>
        </w:rPr>
        <w:t xml:space="preserve">of </w:t>
      </w:r>
      <w:r w:rsidR="00500AC7">
        <w:rPr>
          <w:rFonts w:cs="Helv"/>
        </w:rPr>
        <w:t>complian</w:t>
      </w:r>
      <w:bookmarkStart w:id="1" w:name="_GoBack"/>
      <w:bookmarkEnd w:id="1"/>
      <w:r w:rsidR="00500AC7">
        <w:rPr>
          <w:rFonts w:cs="Helv"/>
        </w:rPr>
        <w:t xml:space="preserve">ce with </w:t>
      </w:r>
      <w:r w:rsidRPr="00942AE0">
        <w:rPr>
          <w:rFonts w:cs="Helv"/>
        </w:rPr>
        <w:t>the scheme, a cost which could ultimately be passed onto consumers.</w:t>
      </w:r>
    </w:p>
    <w:p w:rsidR="00F039C1" w:rsidRDefault="00942AE0" w:rsidP="004751FF">
      <w:pPr>
        <w:pStyle w:val="bodycopy"/>
        <w:rPr>
          <w:rFonts w:cs="Helv"/>
        </w:rPr>
      </w:pPr>
      <w:r w:rsidRPr="00942AE0">
        <w:rPr>
          <w:rFonts w:cs="Helv"/>
        </w:rPr>
        <w:t xml:space="preserve">At present, the data used to estimate these Rates are the </w:t>
      </w:r>
      <w:r w:rsidR="00374DB4">
        <w:rPr>
          <w:rFonts w:cs="Helv"/>
        </w:rPr>
        <w:t>information</w:t>
      </w:r>
      <w:r w:rsidRPr="00942AE0">
        <w:rPr>
          <w:rFonts w:cs="Helv"/>
        </w:rPr>
        <w:t xml:space="preserve"> shown in the Energy Acquisition Statements submitted by energy retailers by the end of April each year</w:t>
      </w:r>
      <w:r w:rsidR="00F039C1">
        <w:rPr>
          <w:rFonts w:cs="Helv"/>
        </w:rPr>
        <w:t xml:space="preserve"> </w:t>
      </w:r>
      <w:r w:rsidR="00374DB4">
        <w:rPr>
          <w:rFonts w:cs="Helv"/>
        </w:rPr>
        <w:t>with respect to their activity in</w:t>
      </w:r>
      <w:r w:rsidR="00F039C1">
        <w:rPr>
          <w:rFonts w:cs="Helv"/>
        </w:rPr>
        <w:t xml:space="preserve"> the pr</w:t>
      </w:r>
      <w:r w:rsidR="00374DB4">
        <w:rPr>
          <w:rFonts w:cs="Helv"/>
        </w:rPr>
        <w:t>ec</w:t>
      </w:r>
      <w:r w:rsidR="00F039C1">
        <w:rPr>
          <w:rFonts w:cs="Helv"/>
        </w:rPr>
        <w:t>eding year</w:t>
      </w:r>
      <w:r w:rsidRPr="00942AE0">
        <w:rPr>
          <w:rFonts w:cs="Helv"/>
        </w:rPr>
        <w:t>.</w:t>
      </w:r>
    </w:p>
    <w:p w:rsidR="00942AE0" w:rsidRPr="00942AE0" w:rsidRDefault="00F544A0" w:rsidP="004751FF">
      <w:pPr>
        <w:pStyle w:val="bodycopy"/>
        <w:rPr>
          <w:rFonts w:cs="Helv"/>
        </w:rPr>
      </w:pPr>
      <w:r>
        <w:rPr>
          <w:rFonts w:cs="Helv"/>
        </w:rPr>
        <w:lastRenderedPageBreak/>
        <w:t xml:space="preserve">For example, the rates for 2015 were set in May 2015, based on the energy acquisitions which occurred in 2014 as detailed in the Energy Acquisition Statement provided to the </w:t>
      </w:r>
      <w:r w:rsidR="00F039C1" w:rsidRPr="004C65F1">
        <w:rPr>
          <w:rFonts w:cs="Helv"/>
        </w:rPr>
        <w:t>Essential Services Commission</w:t>
      </w:r>
      <w:r>
        <w:rPr>
          <w:rFonts w:cs="Helv"/>
        </w:rPr>
        <w:t xml:space="preserve"> in April 2015. </w:t>
      </w:r>
    </w:p>
    <w:p w:rsidR="001306D2" w:rsidRPr="00365521" w:rsidRDefault="007F7B34" w:rsidP="001306D2">
      <w:pPr>
        <w:pStyle w:val="Heading1"/>
      </w:pPr>
      <w:r w:rsidRPr="00365521">
        <w:t>Our consultation</w:t>
      </w:r>
    </w:p>
    <w:p w:rsidR="001306D2" w:rsidRPr="00365521" w:rsidRDefault="00942AE0" w:rsidP="001306D2">
      <w:pPr>
        <w:pStyle w:val="Heading2"/>
      </w:pPr>
      <w:r>
        <w:t>Proposed changes to setting the Rates</w:t>
      </w:r>
    </w:p>
    <w:p w:rsidR="004C65F1" w:rsidRDefault="00D534E2" w:rsidP="004751FF">
      <w:pPr>
        <w:pStyle w:val="bodycopy"/>
      </w:pPr>
      <w:r>
        <w:t>In July and August 2016 t</w:t>
      </w:r>
      <w:r w:rsidR="007F7B34" w:rsidRPr="00AC4E11">
        <w:t xml:space="preserve">he Department of Environment, Land, Water &amp; Planning </w:t>
      </w:r>
      <w:r w:rsidR="007D6CA5" w:rsidRPr="00AC4E11">
        <w:t xml:space="preserve">(DELWP) </w:t>
      </w:r>
      <w:r w:rsidR="007F7B34" w:rsidRPr="00AC4E11">
        <w:t>consulted on</w:t>
      </w:r>
      <w:r w:rsidR="004C65F1">
        <w:t xml:space="preserve"> a</w:t>
      </w:r>
      <w:r w:rsidR="00446392" w:rsidRPr="004C65F1">
        <w:t xml:space="preserve"> proposal to publish the Rates applicable to any liability year in Quarter 4 of the preceding year.</w:t>
      </w:r>
    </w:p>
    <w:p w:rsidR="00500AC7" w:rsidRPr="004C65F1" w:rsidRDefault="00500AC7" w:rsidP="004751FF">
      <w:pPr>
        <w:pStyle w:val="bodycopy"/>
      </w:pPr>
      <w:r w:rsidRPr="004C65F1">
        <w:t xml:space="preserve">To make this possible, </w:t>
      </w:r>
      <w:r w:rsidR="004C65F1">
        <w:t>we proposed the use</w:t>
      </w:r>
      <w:r w:rsidR="00446392" w:rsidRPr="004C65F1">
        <w:t xml:space="preserve"> </w:t>
      </w:r>
      <w:r w:rsidR="004C65F1">
        <w:t xml:space="preserve">of </w:t>
      </w:r>
      <w:r w:rsidR="00446392" w:rsidRPr="004C65F1">
        <w:t xml:space="preserve">data to calculate the Rates </w:t>
      </w:r>
      <w:r w:rsidR="004C65F1">
        <w:t xml:space="preserve">that related to retailers scheme activity </w:t>
      </w:r>
      <w:r w:rsidR="00446392" w:rsidRPr="004C65F1">
        <w:t>two years before any liability year</w:t>
      </w:r>
      <w:r w:rsidR="004C65F1">
        <w:t xml:space="preserve">. This information is </w:t>
      </w:r>
      <w:r w:rsidR="00446392" w:rsidRPr="004C65F1">
        <w:t xml:space="preserve">reported by energy retailers to the Essential Services Commission in annual Energy Acquisition Statements. </w:t>
      </w:r>
    </w:p>
    <w:p w:rsidR="00446392" w:rsidRPr="004C65F1" w:rsidRDefault="00446392" w:rsidP="004751FF">
      <w:pPr>
        <w:pStyle w:val="bodycopy"/>
      </w:pPr>
      <w:r w:rsidRPr="004C65F1">
        <w:t>For example, for the 2018 compliance year, the Rates would be set by Quarter 4 of 2017 by using energy retailers’ Energy Acquisition Statements for 2016.</w:t>
      </w:r>
    </w:p>
    <w:p w:rsidR="00762C23" w:rsidRPr="00050253" w:rsidRDefault="00762C23" w:rsidP="00500AC7">
      <w:pPr>
        <w:pStyle w:val="Heading2"/>
      </w:pPr>
      <w:r>
        <w:t>What we heard from stakeholders</w:t>
      </w:r>
    </w:p>
    <w:p w:rsidR="00500AC7" w:rsidRDefault="00500AC7" w:rsidP="004751FF">
      <w:pPr>
        <w:pStyle w:val="bodycopy"/>
      </w:pPr>
      <w:r w:rsidRPr="00500AC7">
        <w:t xml:space="preserve">Responses to our </w:t>
      </w:r>
      <w:r w:rsidR="00FC3A7F" w:rsidRPr="00500AC7">
        <w:t>consultation</w:t>
      </w:r>
      <w:r w:rsidRPr="00500AC7">
        <w:t xml:space="preserve"> universally supported</w:t>
      </w:r>
      <w:r w:rsidR="00901B99" w:rsidRPr="00901B99">
        <w:t xml:space="preserve"> </w:t>
      </w:r>
      <w:r w:rsidR="00901B99" w:rsidRPr="00500AC7">
        <w:t>this</w:t>
      </w:r>
      <w:r w:rsidR="00901B99" w:rsidRPr="00901B99">
        <w:t xml:space="preserve"> </w:t>
      </w:r>
      <w:r w:rsidR="00901B99" w:rsidRPr="00500AC7">
        <w:t>proposed change</w:t>
      </w:r>
      <w:r w:rsidR="00901B99">
        <w:t>. That consultation included responses by</w:t>
      </w:r>
      <w:r w:rsidRPr="00500AC7">
        <w:t xml:space="preserve"> energy retailers, </w:t>
      </w:r>
      <w:r w:rsidR="00FC3A7F" w:rsidRPr="00500AC7">
        <w:t>community</w:t>
      </w:r>
      <w:r w:rsidRPr="00500AC7">
        <w:t xml:space="preserve"> groups, peak bodies and </w:t>
      </w:r>
      <w:r w:rsidR="00901B99">
        <w:t xml:space="preserve">other </w:t>
      </w:r>
      <w:r w:rsidRPr="00500AC7">
        <w:t>VEET stakeholders.</w:t>
      </w:r>
    </w:p>
    <w:p w:rsidR="00DA625E" w:rsidRDefault="00DA625E" w:rsidP="002F191C">
      <w:pPr>
        <w:pStyle w:val="Heading1"/>
      </w:pPr>
      <w:r>
        <w:t>Outcome</w:t>
      </w:r>
    </w:p>
    <w:tbl>
      <w:tblPr>
        <w:tblStyle w:val="HighlightTable"/>
        <w:tblW w:w="0" w:type="auto"/>
        <w:tblLook w:val="04A0" w:firstRow="1" w:lastRow="0" w:firstColumn="1" w:lastColumn="0" w:noHBand="0" w:noVBand="1"/>
      </w:tblPr>
      <w:tblGrid>
        <w:gridCol w:w="4893"/>
      </w:tblGrid>
      <w:tr w:rsidR="003C5569" w:rsidRPr="00050253" w:rsidTr="00AC7191">
        <w:tc>
          <w:tcPr>
            <w:tcW w:w="4893" w:type="dxa"/>
          </w:tcPr>
          <w:p w:rsidR="003C5569" w:rsidRPr="002A2E8B" w:rsidRDefault="00500AC7" w:rsidP="003B48DA">
            <w:pPr>
              <w:pStyle w:val="HighlightBoxText"/>
              <w:rPr>
                <w:szCs w:val="24"/>
              </w:rPr>
            </w:pPr>
            <w:r>
              <w:rPr>
                <w:szCs w:val="24"/>
              </w:rPr>
              <w:t>The rates energy retailers use to calculate their VEET scheme liability will be set in Q4 of the year preceding the compliance year to which the rates apply</w:t>
            </w:r>
            <w:r w:rsidR="008F5FDD">
              <w:rPr>
                <w:szCs w:val="24"/>
              </w:rPr>
              <w:t xml:space="preserve">. </w:t>
            </w:r>
          </w:p>
        </w:tc>
      </w:tr>
    </w:tbl>
    <w:p w:rsidR="00F039C1" w:rsidRDefault="00F039C1" w:rsidP="004751FF">
      <w:pPr>
        <w:pStyle w:val="bodycopy"/>
      </w:pPr>
    </w:p>
    <w:p w:rsidR="00F544A0" w:rsidRDefault="00F039C1" w:rsidP="004751FF">
      <w:pPr>
        <w:pStyle w:val="bodycopy"/>
      </w:pPr>
      <w:r w:rsidRPr="00374DB4">
        <w:lastRenderedPageBreak/>
        <w:t xml:space="preserve">The rates for 2017 will be set in </w:t>
      </w:r>
      <w:r w:rsidR="00374DB4" w:rsidRPr="00374DB4">
        <w:t>December</w:t>
      </w:r>
      <w:r w:rsidRPr="00374DB4">
        <w:t xml:space="preserve"> 2016. In future years the rate will be set in quarter 4 of the calendar year.</w:t>
      </w:r>
      <w:r>
        <w:t xml:space="preserve"> </w:t>
      </w:r>
    </w:p>
    <w:p w:rsidR="006E1C8D" w:rsidRDefault="003441F5" w:rsidP="002F191C">
      <w:pPr>
        <w:pStyle w:val="Heading2"/>
      </w:pPr>
      <w:r>
        <w:lastRenderedPageBreak/>
        <w:t xml:space="preserve">Further information </w:t>
      </w:r>
    </w:p>
    <w:p w:rsidR="00F039C1" w:rsidRDefault="003441F5" w:rsidP="00F12070">
      <w:pPr>
        <w:pStyle w:val="BodyText"/>
        <w:rPr>
          <w:rStyle w:val="Hyperlink"/>
          <w:rFonts w:cs="Helv"/>
        </w:rPr>
        <w:sectPr w:rsidR="00F039C1" w:rsidSect="006E1C8D">
          <w:type w:val="continuous"/>
          <w:pgSz w:w="11907" w:h="16840" w:code="9"/>
          <w:pgMar w:top="2211" w:right="851" w:bottom="794" w:left="851" w:header="284" w:footer="284" w:gutter="0"/>
          <w:cols w:num="2" w:space="284"/>
          <w:docGrid w:linePitch="360"/>
        </w:sectPr>
      </w:pPr>
      <w:r>
        <w:t xml:space="preserve">For further information contact </w:t>
      </w:r>
      <w:r w:rsidRPr="00365521">
        <w:rPr>
          <w:rFonts w:cs="Helv"/>
          <w:color w:val="000000"/>
        </w:rPr>
        <w:t>DELWP</w:t>
      </w:r>
      <w:r>
        <w:rPr>
          <w:rFonts w:cs="Helv"/>
          <w:color w:val="000000"/>
        </w:rPr>
        <w:t xml:space="preserve"> at </w:t>
      </w:r>
      <w:hyperlink r:id="rId14" w:history="1">
        <w:r w:rsidR="003B48DA" w:rsidRPr="006A6624">
          <w:rPr>
            <w:rStyle w:val="Hyperlink"/>
            <w:rFonts w:cs="Helv"/>
          </w:rPr>
          <w:t>EnergySaver.Incentive@delwp.vic.gov.au</w:t>
        </w:r>
      </w:hyperlink>
      <w:r w:rsidR="003B48DA">
        <w:rPr>
          <w:rFonts w:cs="Helv"/>
          <w:color w:val="000000"/>
        </w:rPr>
        <w:t xml:space="preserve"> or go to </w:t>
      </w:r>
      <w:hyperlink r:id="rId15" w:history="1">
        <w:r w:rsidR="003B48DA" w:rsidRPr="006A6624">
          <w:rPr>
            <w:rStyle w:val="Hyperlink"/>
            <w:rFonts w:cs="Helv"/>
          </w:rPr>
          <w:t>www.delwp.vic.gov.au/energy/legislation/energy-saver-incentive</w:t>
        </w:r>
      </w:hyperlink>
    </w:p>
    <w:p w:rsidR="003B48DA" w:rsidRDefault="003B48DA"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6600A">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62F5ECE6" wp14:editId="0F8E211A">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3" w:name="_Accessibility"/>
            <w:bookmarkEnd w:id="3"/>
            <w:r w:rsidRPr="00E97294">
              <w:t>Accessibility</w:t>
            </w:r>
          </w:p>
          <w:p w:rsidR="003B48DA" w:rsidRPr="003B48DA" w:rsidRDefault="00001E86" w:rsidP="00C255C2">
            <w:pPr>
              <w:pStyle w:val="xAccessibilityText"/>
            </w:pPr>
            <w:r>
              <w:t xml:space="preserve">If you would like to receive this publication </w:t>
            </w:r>
            <w:r w:rsidR="003B48DA">
              <w:t xml:space="preserve">    </w:t>
            </w:r>
            <w:r>
              <w:t xml:space="preserve">in an alternative format, please telephone </w:t>
            </w:r>
            <w:r w:rsidR="003B48DA">
              <w:t xml:space="preserve">    </w:t>
            </w:r>
            <w:r>
              <w:t>the DELWP Custo</w:t>
            </w:r>
            <w:r w:rsidRPr="003B48DA">
              <w:t>mer Service</w:t>
            </w:r>
            <w:r w:rsidR="003B48DA" w:rsidRPr="003B48DA">
              <w:t xml:space="preserve"> Centre            on 136186, </w:t>
            </w:r>
            <w:r w:rsidRPr="003B48DA">
              <w:t>email </w:t>
            </w:r>
          </w:p>
          <w:p w:rsidR="00001E86" w:rsidRDefault="0026600A" w:rsidP="00C255C2">
            <w:pPr>
              <w:pStyle w:val="xAccessibilityText"/>
            </w:pPr>
            <w:hyperlink r:id="rId17" w:history="1">
              <w:r w:rsidR="003B48DA" w:rsidRPr="003B48DA">
                <w:rPr>
                  <w:rStyle w:val="Hyperlink"/>
                  <w:u w:val="none"/>
                </w:rPr>
                <w:t>EnergySaver.Incentive@delwp.vic.gov.au</w:t>
              </w:r>
            </w:hyperlink>
            <w:r w:rsidR="00001E86" w:rsidRPr="003B48DA">
              <w:t xml:space="preserve">, </w:t>
            </w:r>
            <w:r w:rsidR="003B48DA" w:rsidRPr="003B48DA">
              <w:t xml:space="preserve">    </w:t>
            </w:r>
            <w:r w:rsidR="00001E86" w:rsidRPr="003B48DA">
              <w:t xml:space="preserve">or via the National Relay Service on 133 677 </w:t>
            </w:r>
            <w:hyperlink r:id="rId18" w:history="1">
              <w:r w:rsidR="00001E86" w:rsidRPr="00AE3298">
                <w:t>www.relayservice.com.au</w:t>
              </w:r>
            </w:hyperlink>
            <w:r w:rsidR="00001E86">
              <w:t xml:space="preserve">. This document is also available on the internet at </w:t>
            </w:r>
            <w:hyperlink r:id="rId19" w:history="1">
              <w:r w:rsidR="00001E86" w:rsidRPr="00AE3298">
                <w:t>www.delwp.vic.gov.au</w:t>
              </w:r>
            </w:hyperlink>
            <w:r w:rsidR="00001E86">
              <w:t xml:space="preserve">. </w:t>
            </w:r>
          </w:p>
          <w:p w:rsidR="00001E86" w:rsidRDefault="00001E86" w:rsidP="00C255C2">
            <w:pPr>
              <w:pStyle w:val="SmallBodyText"/>
            </w:pPr>
          </w:p>
        </w:tc>
      </w:tr>
    </w:tbl>
    <w:p w:rsidR="00001E86" w:rsidRPr="00806AB6" w:rsidRDefault="00001E86"/>
    <w:sectPr w:rsidR="00001E86" w:rsidRPr="00806AB6" w:rsidSect="006E1C8D">
      <w:type w:val="continuous"/>
      <w:pgSz w:w="11907" w:h="16840" w:code="9"/>
      <w:pgMar w:top="2211" w:right="851" w:bottom="794" w:left="851" w:header="284" w:footer="284"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F1C" w:rsidRDefault="00437F1C">
      <w:r>
        <w:separator/>
      </w:r>
    </w:p>
    <w:p w:rsidR="00437F1C" w:rsidRDefault="00437F1C"/>
    <w:p w:rsidR="00437F1C" w:rsidRDefault="00437F1C"/>
  </w:endnote>
  <w:endnote w:type="continuationSeparator" w:id="0">
    <w:p w:rsidR="00437F1C" w:rsidRDefault="00437F1C">
      <w:r>
        <w:continuationSeparator/>
      </w:r>
    </w:p>
    <w:p w:rsidR="00437F1C" w:rsidRDefault="00437F1C"/>
    <w:p w:rsidR="00437F1C" w:rsidRDefault="00437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06DDC276" wp14:editId="0479D4DB">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50E77A93" wp14:editId="5B5628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114FF059" wp14:editId="42C42E6B">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7B359F86" wp14:editId="5335E405">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F1C" w:rsidRPr="008F5280" w:rsidRDefault="00437F1C" w:rsidP="008F5280">
      <w:pPr>
        <w:pStyle w:val="FootnoteSeparator"/>
      </w:pPr>
    </w:p>
    <w:p w:rsidR="00437F1C" w:rsidRDefault="00437F1C"/>
  </w:footnote>
  <w:footnote w:type="continuationSeparator" w:id="0">
    <w:p w:rsidR="00437F1C" w:rsidRDefault="00437F1C" w:rsidP="008F5280">
      <w:pPr>
        <w:pStyle w:val="FootnoteSeparator"/>
      </w:pPr>
    </w:p>
    <w:p w:rsidR="00437F1C" w:rsidRDefault="00437F1C"/>
    <w:p w:rsidR="00437F1C" w:rsidRDefault="00437F1C"/>
  </w:footnote>
  <w:footnote w:type="continuationNotice" w:id="1">
    <w:p w:rsidR="00437F1C" w:rsidRDefault="00437F1C" w:rsidP="00D55628"/>
    <w:p w:rsidR="00437F1C" w:rsidRDefault="00437F1C"/>
    <w:p w:rsidR="00437F1C" w:rsidRDefault="00437F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26600A" w:rsidP="00920652">
          <w:pPr>
            <w:pStyle w:val="Header"/>
          </w:pPr>
          <w:r>
            <w:fldChar w:fldCharType="begin"/>
          </w:r>
          <w:r>
            <w:instrText xml:space="preserve"> STYLEREF  Title  \* MERGEFORMAT </w:instrText>
          </w:r>
          <w:r>
            <w:fldChar w:fldCharType="separate"/>
          </w:r>
          <w:r>
            <w:rPr>
              <w:noProof/>
            </w:rPr>
            <w:t>Changes to VEET compliance timings to benefit Energy Retailers and consumers</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6952BAFD" wp14:editId="25DC6004">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125C46B5" wp14:editId="79114BA4">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278FD422" wp14:editId="53C9D21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136BF50C" wp14:editId="2FA479A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3DB6FD4" wp14:editId="245DFD65">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99c7eb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4CEDC50" wp14:editId="4EE6D3F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085F4C1B" wp14:editId="4AF76E5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nsid w:val="249342C7"/>
    <w:multiLevelType w:val="hybridMultilevel"/>
    <w:tmpl w:val="7A28E55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B9F62DF"/>
    <w:multiLevelType w:val="hybridMultilevel"/>
    <w:tmpl w:val="C0982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D545EC4"/>
    <w:multiLevelType w:val="multilevel"/>
    <w:tmpl w:val="CEC88AA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nsid w:val="561A716D"/>
    <w:multiLevelType w:val="hybridMultilevel"/>
    <w:tmpl w:val="B7CEEC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8"/>
  </w:num>
  <w:num w:numId="3">
    <w:abstractNumId w:val="16"/>
  </w:num>
  <w:num w:numId="4">
    <w:abstractNumId w:val="20"/>
  </w:num>
  <w:num w:numId="5">
    <w:abstractNumId w:val="6"/>
  </w:num>
  <w:num w:numId="6">
    <w:abstractNumId w:val="2"/>
  </w:num>
  <w:num w:numId="7">
    <w:abstractNumId w:val="1"/>
  </w:num>
  <w:num w:numId="8">
    <w:abstractNumId w:val="0"/>
  </w:num>
  <w:num w:numId="9">
    <w:abstractNumId w:val="19"/>
  </w:num>
  <w:num w:numId="10">
    <w:abstractNumId w:val="3"/>
  </w:num>
  <w:num w:numId="11">
    <w:abstractNumId w:val="7"/>
  </w:num>
  <w:num w:numId="12">
    <w:abstractNumId w:val="4"/>
  </w:num>
  <w:num w:numId="13">
    <w:abstractNumId w:val="10"/>
  </w:num>
  <w:num w:numId="14">
    <w:abstractNumId w:val="12"/>
  </w:num>
  <w:num w:numId="15">
    <w:abstractNumId w:val="15"/>
  </w:num>
  <w:num w:numId="16">
    <w:abstractNumId w:val="5"/>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en-US" w:vendorID="64" w:dllVersion="131078" w:nlCheck="1" w:checkStyle="1"/>
  <w:activeWritingStyle w:appName="MSWord" w:lang="en-AU"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5448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5BD"/>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B5F"/>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C70"/>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4FD"/>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C7E"/>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B89"/>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176"/>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167"/>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34C"/>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2A5"/>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1B3"/>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9ED"/>
    <w:rsid w:val="00264A62"/>
    <w:rsid w:val="00265045"/>
    <w:rsid w:val="00265096"/>
    <w:rsid w:val="0026589E"/>
    <w:rsid w:val="002659C1"/>
    <w:rsid w:val="0026600A"/>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2E8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91C"/>
    <w:rsid w:val="002F1D03"/>
    <w:rsid w:val="002F1ECC"/>
    <w:rsid w:val="002F23B6"/>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AAA"/>
    <w:rsid w:val="00301B40"/>
    <w:rsid w:val="00301C03"/>
    <w:rsid w:val="00301EAE"/>
    <w:rsid w:val="003021F5"/>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1F5"/>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5521"/>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4DB4"/>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799"/>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A1"/>
    <w:rsid w:val="003B12B7"/>
    <w:rsid w:val="003B148C"/>
    <w:rsid w:val="003B1774"/>
    <w:rsid w:val="003B2E3A"/>
    <w:rsid w:val="003B32F7"/>
    <w:rsid w:val="003B3E59"/>
    <w:rsid w:val="003B430A"/>
    <w:rsid w:val="003B4465"/>
    <w:rsid w:val="003B47B2"/>
    <w:rsid w:val="003B482F"/>
    <w:rsid w:val="003B48DA"/>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569"/>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37F1C"/>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392"/>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1FF"/>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8A7"/>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6DFE"/>
    <w:rsid w:val="0049713E"/>
    <w:rsid w:val="00497A05"/>
    <w:rsid w:val="00497CBE"/>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65F1"/>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44D"/>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AC7"/>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2F8F"/>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1A0"/>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129"/>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3F"/>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D78D5"/>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24E"/>
    <w:rsid w:val="005E43AE"/>
    <w:rsid w:val="005E462C"/>
    <w:rsid w:val="005E47CE"/>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115"/>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478"/>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59E1"/>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88C"/>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82"/>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3E03"/>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E87"/>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C23"/>
    <w:rsid w:val="00762D06"/>
    <w:rsid w:val="00762D0E"/>
    <w:rsid w:val="0076407E"/>
    <w:rsid w:val="00764110"/>
    <w:rsid w:val="00764456"/>
    <w:rsid w:val="00764E15"/>
    <w:rsid w:val="00765855"/>
    <w:rsid w:val="00765947"/>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04"/>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CA5"/>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B34"/>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5CDD"/>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0"/>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5FDD"/>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B99"/>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AE0"/>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5F1D"/>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439"/>
    <w:rsid w:val="00A275DF"/>
    <w:rsid w:val="00A278A4"/>
    <w:rsid w:val="00A27A41"/>
    <w:rsid w:val="00A3009A"/>
    <w:rsid w:val="00A3084E"/>
    <w:rsid w:val="00A30995"/>
    <w:rsid w:val="00A30ABB"/>
    <w:rsid w:val="00A311E7"/>
    <w:rsid w:val="00A3137B"/>
    <w:rsid w:val="00A31534"/>
    <w:rsid w:val="00A31BA7"/>
    <w:rsid w:val="00A31F40"/>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D44"/>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ABB"/>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5E16"/>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4E1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120"/>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09E"/>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605"/>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4E68"/>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2E85"/>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2FB"/>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DA9"/>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2DF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D2A"/>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4E2"/>
    <w:rsid w:val="00D53636"/>
    <w:rsid w:val="00D536EF"/>
    <w:rsid w:val="00D538D4"/>
    <w:rsid w:val="00D538D8"/>
    <w:rsid w:val="00D54485"/>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DD"/>
    <w:rsid w:val="00D72A3E"/>
    <w:rsid w:val="00D72BC8"/>
    <w:rsid w:val="00D72D57"/>
    <w:rsid w:val="00D7305D"/>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2D71"/>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25E"/>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CC5"/>
    <w:rsid w:val="00DB2F5C"/>
    <w:rsid w:val="00DB3145"/>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6EBB"/>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96A"/>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0F70"/>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28"/>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9C1"/>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39A"/>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47D"/>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4A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58D"/>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845"/>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7F"/>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3C556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72CE"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72CE"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72CE"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2CE"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2CE"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72CE" w:themeColor="text2"/>
      <w:kern w:val="32"/>
      <w:sz w:val="40"/>
      <w:szCs w:val="32"/>
    </w:rPr>
  </w:style>
  <w:style w:type="character" w:customStyle="1" w:styleId="Heading2Char">
    <w:name w:val="Heading 2 Char"/>
    <w:basedOn w:val="DefaultParagraphFont"/>
    <w:link w:val="Heading2"/>
    <w:rsid w:val="001306D2"/>
    <w:rPr>
      <w:b/>
      <w:bCs/>
      <w:iCs/>
      <w:color w:val="0072CE"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raftSub-sectionNote">
    <w:name w:val="Draft Sub-section Note"/>
    <w:next w:val="Normal"/>
    <w:rsid w:val="00365521"/>
    <w:pPr>
      <w:spacing w:before="120" w:line="240" w:lineRule="auto"/>
    </w:pPr>
    <w:rPr>
      <w:rFonts w:ascii="Times New Roman" w:hAnsi="Times New Roman" w:cs="Times New Roman"/>
      <w:color w:val="auto"/>
      <w:lang w:eastAsia="en-US"/>
    </w:rPr>
  </w:style>
  <w:style w:type="paragraph" w:customStyle="1" w:styleId="bodycopy">
    <w:name w:val="# body copy"/>
    <w:basedOn w:val="Normal"/>
    <w:qFormat/>
    <w:rsid w:val="003441F5"/>
    <w:pPr>
      <w:spacing w:after="120" w:line="240" w:lineRule="auto"/>
    </w:pPr>
    <w:rPr>
      <w:rFonts w:ascii="Arial" w:hAnsi="Arial"/>
      <w:color w:val="5356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3C556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72CE"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72CE"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72CE"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2CE"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2CE"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72CE" w:themeColor="text2"/>
      <w:kern w:val="32"/>
      <w:sz w:val="40"/>
      <w:szCs w:val="32"/>
    </w:rPr>
  </w:style>
  <w:style w:type="character" w:customStyle="1" w:styleId="Heading2Char">
    <w:name w:val="Heading 2 Char"/>
    <w:basedOn w:val="DefaultParagraphFont"/>
    <w:link w:val="Heading2"/>
    <w:rsid w:val="001306D2"/>
    <w:rPr>
      <w:b/>
      <w:bCs/>
      <w:iCs/>
      <w:color w:val="0072CE"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raftSub-sectionNote">
    <w:name w:val="Draft Sub-section Note"/>
    <w:next w:val="Normal"/>
    <w:rsid w:val="00365521"/>
    <w:pPr>
      <w:spacing w:before="120" w:line="240" w:lineRule="auto"/>
    </w:pPr>
    <w:rPr>
      <w:rFonts w:ascii="Times New Roman" w:hAnsi="Times New Roman" w:cs="Times New Roman"/>
      <w:color w:val="auto"/>
      <w:lang w:eastAsia="en-US"/>
    </w:rPr>
  </w:style>
  <w:style w:type="paragraph" w:customStyle="1" w:styleId="bodycopy">
    <w:name w:val="# body copy"/>
    <w:basedOn w:val="Normal"/>
    <w:qFormat/>
    <w:rsid w:val="003441F5"/>
    <w:pPr>
      <w:spacing w:after="120" w:line="240" w:lineRule="auto"/>
    </w:pPr>
    <w:rPr>
      <w:rFonts w:ascii="Arial" w:hAnsi="Arial"/>
      <w:color w:val="5356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54843001">
      <w:bodyDiv w:val="1"/>
      <w:marLeft w:val="0"/>
      <w:marRight w:val="0"/>
      <w:marTop w:val="0"/>
      <w:marBottom w:val="0"/>
      <w:divBdr>
        <w:top w:val="none" w:sz="0" w:space="0" w:color="auto"/>
        <w:left w:val="none" w:sz="0" w:space="0" w:color="auto"/>
        <w:bottom w:val="none" w:sz="0" w:space="0" w:color="auto"/>
        <w:right w:val="none" w:sz="0" w:space="0" w:color="auto"/>
      </w:divBdr>
      <w:divsChild>
        <w:div w:id="1210722067">
          <w:marLeft w:val="0"/>
          <w:marRight w:val="0"/>
          <w:marTop w:val="0"/>
          <w:marBottom w:val="0"/>
          <w:divBdr>
            <w:top w:val="none" w:sz="0" w:space="0" w:color="auto"/>
            <w:left w:val="none" w:sz="0" w:space="0" w:color="auto"/>
            <w:bottom w:val="none" w:sz="0" w:space="0" w:color="auto"/>
            <w:right w:val="none" w:sz="0" w:space="0" w:color="auto"/>
          </w:divBdr>
        </w:div>
        <w:div w:id="418598528">
          <w:marLeft w:val="0"/>
          <w:marRight w:val="0"/>
          <w:marTop w:val="0"/>
          <w:marBottom w:val="0"/>
          <w:divBdr>
            <w:top w:val="none" w:sz="0" w:space="0" w:color="auto"/>
            <w:left w:val="none" w:sz="0" w:space="0" w:color="auto"/>
            <w:bottom w:val="none" w:sz="0" w:space="0" w:color="auto"/>
            <w:right w:val="none" w:sz="0" w:space="0" w:color="auto"/>
          </w:divBdr>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EnergySaver.Incentive@delwp.vic.gov.au"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delwp.vic.gov.au/energy/legislation/energy-saver-incentive" TargetMode="External"/><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EnergySaver.Incentive@delwp.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pJ\AppData\Local\Temp\Temp1_DELWP-Templates%5b1%5d.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84217-EA69-4A04-83F3-C5E257C8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2</Pages>
  <Words>718</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John Phillips</dc:creator>
  <cp:lastModifiedBy>Chris Moloney</cp:lastModifiedBy>
  <cp:revision>2</cp:revision>
  <cp:lastPrinted>2016-11-10T02:45:00Z</cp:lastPrinted>
  <dcterms:created xsi:type="dcterms:W3CDTF">2017-03-24T04:56:00Z</dcterms:created>
  <dcterms:modified xsi:type="dcterms:W3CDTF">2017-03-24T04:56:00Z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