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20E4E" w14:textId="77777777" w:rsidR="00B217D7" w:rsidRPr="001441FE" w:rsidRDefault="00B217D7" w:rsidP="00B217D7">
      <w:pPr>
        <w:pStyle w:val="Title"/>
        <w:rPr>
          <w:rFonts w:ascii="Arial" w:hAnsi="Arial" w:cs="Arial"/>
          <w:spacing w:val="0"/>
        </w:rPr>
      </w:pPr>
      <w:r w:rsidRPr="001441FE">
        <w:rPr>
          <w:rFonts w:ascii="Arial" w:hAnsi="Arial" w:cs="Arial"/>
          <w:spacing w:val="0"/>
        </w:rPr>
        <w:t xml:space="preserve">Offshore Wind Energy Transmission Gippsland Options Assessment </w:t>
      </w:r>
    </w:p>
    <w:p w14:paraId="36ABBE9B" w14:textId="2845CFB4" w:rsidR="0070580E" w:rsidRPr="001441FE" w:rsidRDefault="00B217D7" w:rsidP="0070580E">
      <w:pPr>
        <w:pStyle w:val="Subtitle"/>
        <w:rPr>
          <w:rFonts w:ascii="Arial" w:hAnsi="Arial" w:cs="Arial"/>
          <w:color w:val="0F4761" w:themeColor="accent1" w:themeShade="BF"/>
        </w:rPr>
      </w:pPr>
      <w:r w:rsidRPr="001441FE">
        <w:rPr>
          <w:rFonts w:ascii="Arial" w:hAnsi="Arial" w:cs="Arial"/>
          <w:color w:val="0F4761" w:themeColor="accent1" w:themeShade="BF"/>
        </w:rPr>
        <w:t xml:space="preserve">VicGrid Community Summary March 2024 </w:t>
      </w:r>
    </w:p>
    <w:sdt>
      <w:sdtPr>
        <w:rPr>
          <w:rFonts w:ascii="Arial" w:eastAsiaTheme="minorHAnsi" w:hAnsi="Arial" w:cs="Arial"/>
          <w:b w:val="0"/>
          <w:bCs w:val="0"/>
          <w:color w:val="auto"/>
          <w:kern w:val="2"/>
          <w:sz w:val="24"/>
          <w:szCs w:val="24"/>
          <w:lang w:val="en-AU"/>
          <w14:ligatures w14:val="standardContextual"/>
        </w:rPr>
        <w:id w:val="-1193600960"/>
        <w:docPartObj>
          <w:docPartGallery w:val="Table of Contents"/>
          <w:docPartUnique/>
        </w:docPartObj>
      </w:sdtPr>
      <w:sdtEndPr>
        <w:rPr>
          <w:noProof/>
        </w:rPr>
      </w:sdtEndPr>
      <w:sdtContent>
        <w:p w14:paraId="03CD891F" w14:textId="261239CA" w:rsidR="0070580E" w:rsidRPr="002E0727" w:rsidRDefault="0070580E">
          <w:pPr>
            <w:pStyle w:val="TOCHeading"/>
            <w:rPr>
              <w:rFonts w:ascii="Arial" w:hAnsi="Arial" w:cs="Arial"/>
              <w:b w:val="0"/>
              <w:bCs w:val="0"/>
              <w:sz w:val="24"/>
              <w:szCs w:val="24"/>
            </w:rPr>
          </w:pPr>
          <w:r w:rsidRPr="002E0727">
            <w:rPr>
              <w:rFonts w:ascii="Arial" w:hAnsi="Arial" w:cs="Arial"/>
              <w:b w:val="0"/>
              <w:bCs w:val="0"/>
              <w:sz w:val="24"/>
              <w:szCs w:val="24"/>
            </w:rPr>
            <w:t>Table of Contents</w:t>
          </w:r>
        </w:p>
        <w:p w14:paraId="6933D4A4" w14:textId="20954647" w:rsidR="002E0727" w:rsidRPr="002E0727" w:rsidRDefault="0070580E">
          <w:pPr>
            <w:pStyle w:val="TOC1"/>
            <w:tabs>
              <w:tab w:val="right" w:leader="dot" w:pos="9016"/>
            </w:tabs>
            <w:rPr>
              <w:rFonts w:ascii="Arial" w:eastAsiaTheme="minorEastAsia" w:hAnsi="Arial" w:cs="Arial"/>
              <w:b w:val="0"/>
              <w:bCs w:val="0"/>
              <w:i w:val="0"/>
              <w:iCs w:val="0"/>
              <w:noProof/>
              <w:lang w:eastAsia="en-GB"/>
            </w:rPr>
          </w:pPr>
          <w:r w:rsidRPr="002E0727">
            <w:rPr>
              <w:rFonts w:ascii="Arial" w:hAnsi="Arial" w:cs="Arial"/>
              <w:b w:val="0"/>
              <w:bCs w:val="0"/>
              <w:i w:val="0"/>
              <w:iCs w:val="0"/>
            </w:rPr>
            <w:fldChar w:fldCharType="begin"/>
          </w:r>
          <w:r w:rsidRPr="002E0727">
            <w:rPr>
              <w:rFonts w:ascii="Arial" w:hAnsi="Arial" w:cs="Arial"/>
              <w:b w:val="0"/>
              <w:bCs w:val="0"/>
              <w:i w:val="0"/>
              <w:iCs w:val="0"/>
            </w:rPr>
            <w:instrText xml:space="preserve"> TOC \o "1-2" \h \z \u </w:instrText>
          </w:r>
          <w:r w:rsidRPr="002E0727">
            <w:rPr>
              <w:rFonts w:ascii="Arial" w:hAnsi="Arial" w:cs="Arial"/>
              <w:b w:val="0"/>
              <w:bCs w:val="0"/>
              <w:i w:val="0"/>
              <w:iCs w:val="0"/>
            </w:rPr>
            <w:fldChar w:fldCharType="separate"/>
          </w:r>
          <w:hyperlink w:anchor="_Toc161738520" w:history="1">
            <w:r w:rsidR="002E0727" w:rsidRPr="002E0727">
              <w:rPr>
                <w:rStyle w:val="Hyperlink"/>
                <w:rFonts w:ascii="Arial" w:hAnsi="Arial" w:cs="Arial"/>
                <w:b w:val="0"/>
                <w:bCs w:val="0"/>
                <w:i w:val="0"/>
                <w:iCs w:val="0"/>
                <w:noProof/>
              </w:rPr>
              <w:t>Transmission Study Area for further development</w:t>
            </w:r>
            <w:r w:rsidR="002E0727" w:rsidRPr="002E0727">
              <w:rPr>
                <w:rFonts w:ascii="Arial" w:hAnsi="Arial" w:cs="Arial"/>
                <w:b w:val="0"/>
                <w:bCs w:val="0"/>
                <w:i w:val="0"/>
                <w:iCs w:val="0"/>
                <w:noProof/>
                <w:webHidden/>
              </w:rPr>
              <w:tab/>
            </w:r>
            <w:r w:rsidR="002E0727" w:rsidRPr="002E0727">
              <w:rPr>
                <w:rFonts w:ascii="Arial" w:hAnsi="Arial" w:cs="Arial"/>
                <w:b w:val="0"/>
                <w:bCs w:val="0"/>
                <w:i w:val="0"/>
                <w:iCs w:val="0"/>
                <w:noProof/>
                <w:webHidden/>
              </w:rPr>
              <w:fldChar w:fldCharType="begin"/>
            </w:r>
            <w:r w:rsidR="002E0727" w:rsidRPr="002E0727">
              <w:rPr>
                <w:rFonts w:ascii="Arial" w:hAnsi="Arial" w:cs="Arial"/>
                <w:b w:val="0"/>
                <w:bCs w:val="0"/>
                <w:i w:val="0"/>
                <w:iCs w:val="0"/>
                <w:noProof/>
                <w:webHidden/>
              </w:rPr>
              <w:instrText xml:space="preserve"> PAGEREF _Toc161738520 \h </w:instrText>
            </w:r>
            <w:r w:rsidR="002E0727" w:rsidRPr="002E0727">
              <w:rPr>
                <w:rFonts w:ascii="Arial" w:hAnsi="Arial" w:cs="Arial"/>
                <w:b w:val="0"/>
                <w:bCs w:val="0"/>
                <w:i w:val="0"/>
                <w:iCs w:val="0"/>
                <w:noProof/>
                <w:webHidden/>
              </w:rPr>
            </w:r>
            <w:r w:rsidR="002E0727" w:rsidRPr="002E0727">
              <w:rPr>
                <w:rFonts w:ascii="Arial" w:hAnsi="Arial" w:cs="Arial"/>
                <w:b w:val="0"/>
                <w:bCs w:val="0"/>
                <w:i w:val="0"/>
                <w:iCs w:val="0"/>
                <w:noProof/>
                <w:webHidden/>
              </w:rPr>
              <w:fldChar w:fldCharType="separate"/>
            </w:r>
            <w:r w:rsidR="002E0727" w:rsidRPr="002E0727">
              <w:rPr>
                <w:rFonts w:ascii="Arial" w:hAnsi="Arial" w:cs="Arial"/>
                <w:b w:val="0"/>
                <w:bCs w:val="0"/>
                <w:i w:val="0"/>
                <w:iCs w:val="0"/>
                <w:noProof/>
                <w:webHidden/>
              </w:rPr>
              <w:t>2</w:t>
            </w:r>
            <w:r w:rsidR="002E0727" w:rsidRPr="002E0727">
              <w:rPr>
                <w:rFonts w:ascii="Arial" w:hAnsi="Arial" w:cs="Arial"/>
                <w:b w:val="0"/>
                <w:bCs w:val="0"/>
                <w:i w:val="0"/>
                <w:iCs w:val="0"/>
                <w:noProof/>
                <w:webHidden/>
              </w:rPr>
              <w:fldChar w:fldCharType="end"/>
            </w:r>
          </w:hyperlink>
        </w:p>
        <w:p w14:paraId="04719024" w14:textId="47852B85" w:rsidR="002E0727" w:rsidRPr="002E0727" w:rsidRDefault="00000000">
          <w:pPr>
            <w:pStyle w:val="TOC2"/>
            <w:tabs>
              <w:tab w:val="right" w:leader="dot" w:pos="9016"/>
            </w:tabs>
            <w:rPr>
              <w:rFonts w:ascii="Arial" w:eastAsiaTheme="minorEastAsia" w:hAnsi="Arial" w:cs="Arial"/>
              <w:b w:val="0"/>
              <w:bCs w:val="0"/>
              <w:noProof/>
              <w:sz w:val="24"/>
              <w:szCs w:val="24"/>
              <w:lang w:eastAsia="en-GB"/>
            </w:rPr>
          </w:pPr>
          <w:hyperlink w:anchor="_Toc161738521" w:history="1">
            <w:r w:rsidR="002E0727" w:rsidRPr="002E0727">
              <w:rPr>
                <w:rStyle w:val="Hyperlink"/>
                <w:rFonts w:ascii="Arial" w:hAnsi="Arial" w:cs="Arial"/>
                <w:b w:val="0"/>
                <w:bCs w:val="0"/>
                <w:noProof/>
                <w:sz w:val="24"/>
                <w:szCs w:val="24"/>
              </w:rPr>
              <w:t>Study Area and indicative connection hub</w:t>
            </w:r>
            <w:r w:rsidR="002E0727" w:rsidRPr="002E0727">
              <w:rPr>
                <w:rFonts w:ascii="Arial" w:hAnsi="Arial" w:cs="Arial"/>
                <w:b w:val="0"/>
                <w:bCs w:val="0"/>
                <w:noProof/>
                <w:webHidden/>
                <w:sz w:val="24"/>
                <w:szCs w:val="24"/>
              </w:rPr>
              <w:tab/>
            </w:r>
            <w:r w:rsidR="002E0727" w:rsidRPr="002E0727">
              <w:rPr>
                <w:rFonts w:ascii="Arial" w:hAnsi="Arial" w:cs="Arial"/>
                <w:b w:val="0"/>
                <w:bCs w:val="0"/>
                <w:noProof/>
                <w:webHidden/>
                <w:sz w:val="24"/>
                <w:szCs w:val="24"/>
              </w:rPr>
              <w:fldChar w:fldCharType="begin"/>
            </w:r>
            <w:r w:rsidR="002E0727" w:rsidRPr="002E0727">
              <w:rPr>
                <w:rFonts w:ascii="Arial" w:hAnsi="Arial" w:cs="Arial"/>
                <w:b w:val="0"/>
                <w:bCs w:val="0"/>
                <w:noProof/>
                <w:webHidden/>
                <w:sz w:val="24"/>
                <w:szCs w:val="24"/>
              </w:rPr>
              <w:instrText xml:space="preserve"> PAGEREF _Toc161738521 \h </w:instrText>
            </w:r>
            <w:r w:rsidR="002E0727" w:rsidRPr="002E0727">
              <w:rPr>
                <w:rFonts w:ascii="Arial" w:hAnsi="Arial" w:cs="Arial"/>
                <w:b w:val="0"/>
                <w:bCs w:val="0"/>
                <w:noProof/>
                <w:webHidden/>
                <w:sz w:val="24"/>
                <w:szCs w:val="24"/>
              </w:rPr>
            </w:r>
            <w:r w:rsidR="002E0727" w:rsidRPr="002E0727">
              <w:rPr>
                <w:rFonts w:ascii="Arial" w:hAnsi="Arial" w:cs="Arial"/>
                <w:b w:val="0"/>
                <w:bCs w:val="0"/>
                <w:noProof/>
                <w:webHidden/>
                <w:sz w:val="24"/>
                <w:szCs w:val="24"/>
              </w:rPr>
              <w:fldChar w:fldCharType="separate"/>
            </w:r>
            <w:r w:rsidR="002E0727" w:rsidRPr="002E0727">
              <w:rPr>
                <w:rFonts w:ascii="Arial" w:hAnsi="Arial" w:cs="Arial"/>
                <w:b w:val="0"/>
                <w:bCs w:val="0"/>
                <w:noProof/>
                <w:webHidden/>
                <w:sz w:val="24"/>
                <w:szCs w:val="24"/>
              </w:rPr>
              <w:t>2</w:t>
            </w:r>
            <w:r w:rsidR="002E0727" w:rsidRPr="002E0727">
              <w:rPr>
                <w:rFonts w:ascii="Arial" w:hAnsi="Arial" w:cs="Arial"/>
                <w:b w:val="0"/>
                <w:bCs w:val="0"/>
                <w:noProof/>
                <w:webHidden/>
                <w:sz w:val="24"/>
                <w:szCs w:val="24"/>
              </w:rPr>
              <w:fldChar w:fldCharType="end"/>
            </w:r>
          </w:hyperlink>
        </w:p>
        <w:p w14:paraId="13B37286" w14:textId="25465477" w:rsidR="002E0727" w:rsidRPr="002E0727" w:rsidRDefault="00000000">
          <w:pPr>
            <w:pStyle w:val="TOC2"/>
            <w:tabs>
              <w:tab w:val="right" w:leader="dot" w:pos="9016"/>
            </w:tabs>
            <w:rPr>
              <w:rFonts w:ascii="Arial" w:eastAsiaTheme="minorEastAsia" w:hAnsi="Arial" w:cs="Arial"/>
              <w:b w:val="0"/>
              <w:bCs w:val="0"/>
              <w:noProof/>
              <w:sz w:val="24"/>
              <w:szCs w:val="24"/>
              <w:lang w:eastAsia="en-GB"/>
            </w:rPr>
          </w:pPr>
          <w:hyperlink w:anchor="_Toc161738522" w:history="1">
            <w:r w:rsidR="002E0727" w:rsidRPr="002E0727">
              <w:rPr>
                <w:rStyle w:val="Hyperlink"/>
                <w:rFonts w:ascii="Arial" w:hAnsi="Arial" w:cs="Arial"/>
                <w:b w:val="0"/>
                <w:bCs w:val="0"/>
                <w:noProof/>
                <w:sz w:val="24"/>
                <w:szCs w:val="24"/>
              </w:rPr>
              <w:t>Features of the Study Area and technology</w:t>
            </w:r>
            <w:r w:rsidR="002E0727" w:rsidRPr="002E0727">
              <w:rPr>
                <w:rFonts w:ascii="Arial" w:hAnsi="Arial" w:cs="Arial"/>
                <w:b w:val="0"/>
                <w:bCs w:val="0"/>
                <w:noProof/>
                <w:webHidden/>
                <w:sz w:val="24"/>
                <w:szCs w:val="24"/>
              </w:rPr>
              <w:tab/>
            </w:r>
            <w:r w:rsidR="002E0727" w:rsidRPr="002E0727">
              <w:rPr>
                <w:rFonts w:ascii="Arial" w:hAnsi="Arial" w:cs="Arial"/>
                <w:b w:val="0"/>
                <w:bCs w:val="0"/>
                <w:noProof/>
                <w:webHidden/>
                <w:sz w:val="24"/>
                <w:szCs w:val="24"/>
              </w:rPr>
              <w:fldChar w:fldCharType="begin"/>
            </w:r>
            <w:r w:rsidR="002E0727" w:rsidRPr="002E0727">
              <w:rPr>
                <w:rFonts w:ascii="Arial" w:hAnsi="Arial" w:cs="Arial"/>
                <w:b w:val="0"/>
                <w:bCs w:val="0"/>
                <w:noProof/>
                <w:webHidden/>
                <w:sz w:val="24"/>
                <w:szCs w:val="24"/>
              </w:rPr>
              <w:instrText xml:space="preserve"> PAGEREF _Toc161738522 \h </w:instrText>
            </w:r>
            <w:r w:rsidR="002E0727" w:rsidRPr="002E0727">
              <w:rPr>
                <w:rFonts w:ascii="Arial" w:hAnsi="Arial" w:cs="Arial"/>
                <w:b w:val="0"/>
                <w:bCs w:val="0"/>
                <w:noProof/>
                <w:webHidden/>
                <w:sz w:val="24"/>
                <w:szCs w:val="24"/>
              </w:rPr>
            </w:r>
            <w:r w:rsidR="002E0727" w:rsidRPr="002E0727">
              <w:rPr>
                <w:rFonts w:ascii="Arial" w:hAnsi="Arial" w:cs="Arial"/>
                <w:b w:val="0"/>
                <w:bCs w:val="0"/>
                <w:noProof/>
                <w:webHidden/>
                <w:sz w:val="24"/>
                <w:szCs w:val="24"/>
              </w:rPr>
              <w:fldChar w:fldCharType="separate"/>
            </w:r>
            <w:r w:rsidR="002E0727" w:rsidRPr="002E0727">
              <w:rPr>
                <w:rFonts w:ascii="Arial" w:hAnsi="Arial" w:cs="Arial"/>
                <w:b w:val="0"/>
                <w:bCs w:val="0"/>
                <w:noProof/>
                <w:webHidden/>
                <w:sz w:val="24"/>
                <w:szCs w:val="24"/>
              </w:rPr>
              <w:t>2</w:t>
            </w:r>
            <w:r w:rsidR="002E0727" w:rsidRPr="002E0727">
              <w:rPr>
                <w:rFonts w:ascii="Arial" w:hAnsi="Arial" w:cs="Arial"/>
                <w:b w:val="0"/>
                <w:bCs w:val="0"/>
                <w:noProof/>
                <w:webHidden/>
                <w:sz w:val="24"/>
                <w:szCs w:val="24"/>
              </w:rPr>
              <w:fldChar w:fldCharType="end"/>
            </w:r>
          </w:hyperlink>
        </w:p>
        <w:p w14:paraId="663D300E" w14:textId="0545E0E6" w:rsidR="002E0727" w:rsidRPr="002E0727" w:rsidRDefault="00000000">
          <w:pPr>
            <w:pStyle w:val="TOC2"/>
            <w:tabs>
              <w:tab w:val="right" w:leader="dot" w:pos="9016"/>
            </w:tabs>
            <w:rPr>
              <w:rFonts w:ascii="Arial" w:eastAsiaTheme="minorEastAsia" w:hAnsi="Arial" w:cs="Arial"/>
              <w:b w:val="0"/>
              <w:bCs w:val="0"/>
              <w:noProof/>
              <w:sz w:val="24"/>
              <w:szCs w:val="24"/>
              <w:lang w:eastAsia="en-GB"/>
            </w:rPr>
          </w:pPr>
          <w:hyperlink w:anchor="_Toc161738523" w:history="1">
            <w:r w:rsidR="002E0727" w:rsidRPr="002E0727">
              <w:rPr>
                <w:rStyle w:val="Hyperlink"/>
                <w:rFonts w:ascii="Arial" w:hAnsi="Arial" w:cs="Arial"/>
                <w:b w:val="0"/>
                <w:bCs w:val="0"/>
                <w:noProof/>
                <w:sz w:val="24"/>
                <w:szCs w:val="24"/>
              </w:rPr>
              <w:t>Why overhead lines are preferred</w:t>
            </w:r>
            <w:r w:rsidR="002E0727" w:rsidRPr="002E0727">
              <w:rPr>
                <w:rFonts w:ascii="Arial" w:hAnsi="Arial" w:cs="Arial"/>
                <w:b w:val="0"/>
                <w:bCs w:val="0"/>
                <w:noProof/>
                <w:webHidden/>
                <w:sz w:val="24"/>
                <w:szCs w:val="24"/>
              </w:rPr>
              <w:tab/>
            </w:r>
            <w:r w:rsidR="002E0727" w:rsidRPr="002E0727">
              <w:rPr>
                <w:rFonts w:ascii="Arial" w:hAnsi="Arial" w:cs="Arial"/>
                <w:b w:val="0"/>
                <w:bCs w:val="0"/>
                <w:noProof/>
                <w:webHidden/>
                <w:sz w:val="24"/>
                <w:szCs w:val="24"/>
              </w:rPr>
              <w:fldChar w:fldCharType="begin"/>
            </w:r>
            <w:r w:rsidR="002E0727" w:rsidRPr="002E0727">
              <w:rPr>
                <w:rFonts w:ascii="Arial" w:hAnsi="Arial" w:cs="Arial"/>
                <w:b w:val="0"/>
                <w:bCs w:val="0"/>
                <w:noProof/>
                <w:webHidden/>
                <w:sz w:val="24"/>
                <w:szCs w:val="24"/>
              </w:rPr>
              <w:instrText xml:space="preserve"> PAGEREF _Toc161738523 \h </w:instrText>
            </w:r>
            <w:r w:rsidR="002E0727" w:rsidRPr="002E0727">
              <w:rPr>
                <w:rFonts w:ascii="Arial" w:hAnsi="Arial" w:cs="Arial"/>
                <w:b w:val="0"/>
                <w:bCs w:val="0"/>
                <w:noProof/>
                <w:webHidden/>
                <w:sz w:val="24"/>
                <w:szCs w:val="24"/>
              </w:rPr>
            </w:r>
            <w:r w:rsidR="002E0727" w:rsidRPr="002E0727">
              <w:rPr>
                <w:rFonts w:ascii="Arial" w:hAnsi="Arial" w:cs="Arial"/>
                <w:b w:val="0"/>
                <w:bCs w:val="0"/>
                <w:noProof/>
                <w:webHidden/>
                <w:sz w:val="24"/>
                <w:szCs w:val="24"/>
              </w:rPr>
              <w:fldChar w:fldCharType="separate"/>
            </w:r>
            <w:r w:rsidR="002E0727" w:rsidRPr="002E0727">
              <w:rPr>
                <w:rFonts w:ascii="Arial" w:hAnsi="Arial" w:cs="Arial"/>
                <w:b w:val="0"/>
                <w:bCs w:val="0"/>
                <w:noProof/>
                <w:webHidden/>
                <w:sz w:val="24"/>
                <w:szCs w:val="24"/>
              </w:rPr>
              <w:t>3</w:t>
            </w:r>
            <w:r w:rsidR="002E0727" w:rsidRPr="002E0727">
              <w:rPr>
                <w:rFonts w:ascii="Arial" w:hAnsi="Arial" w:cs="Arial"/>
                <w:b w:val="0"/>
                <w:bCs w:val="0"/>
                <w:noProof/>
                <w:webHidden/>
                <w:sz w:val="24"/>
                <w:szCs w:val="24"/>
              </w:rPr>
              <w:fldChar w:fldCharType="end"/>
            </w:r>
          </w:hyperlink>
        </w:p>
        <w:p w14:paraId="54697DD3" w14:textId="2C84FD90" w:rsidR="002E0727" w:rsidRPr="002E0727" w:rsidRDefault="00000000">
          <w:pPr>
            <w:pStyle w:val="TOC2"/>
            <w:tabs>
              <w:tab w:val="right" w:leader="dot" w:pos="9016"/>
            </w:tabs>
            <w:rPr>
              <w:rFonts w:ascii="Arial" w:eastAsiaTheme="minorEastAsia" w:hAnsi="Arial" w:cs="Arial"/>
              <w:b w:val="0"/>
              <w:bCs w:val="0"/>
              <w:noProof/>
              <w:sz w:val="24"/>
              <w:szCs w:val="24"/>
              <w:lang w:eastAsia="en-GB"/>
            </w:rPr>
          </w:pPr>
          <w:hyperlink w:anchor="_Toc161738524" w:history="1">
            <w:r w:rsidR="002E0727" w:rsidRPr="002E0727">
              <w:rPr>
                <w:rStyle w:val="Hyperlink"/>
                <w:rFonts w:ascii="Arial" w:hAnsi="Arial" w:cs="Arial"/>
                <w:b w:val="0"/>
                <w:bCs w:val="0"/>
                <w:noProof/>
                <w:sz w:val="24"/>
                <w:szCs w:val="24"/>
              </w:rPr>
              <w:t>Working with communities to refine the transmission option</w:t>
            </w:r>
            <w:r w:rsidR="002E0727" w:rsidRPr="002E0727">
              <w:rPr>
                <w:rFonts w:ascii="Arial" w:hAnsi="Arial" w:cs="Arial"/>
                <w:b w:val="0"/>
                <w:bCs w:val="0"/>
                <w:noProof/>
                <w:webHidden/>
                <w:sz w:val="24"/>
                <w:szCs w:val="24"/>
              </w:rPr>
              <w:tab/>
            </w:r>
            <w:r w:rsidR="002E0727" w:rsidRPr="002E0727">
              <w:rPr>
                <w:rFonts w:ascii="Arial" w:hAnsi="Arial" w:cs="Arial"/>
                <w:b w:val="0"/>
                <w:bCs w:val="0"/>
                <w:noProof/>
                <w:webHidden/>
                <w:sz w:val="24"/>
                <w:szCs w:val="24"/>
              </w:rPr>
              <w:fldChar w:fldCharType="begin"/>
            </w:r>
            <w:r w:rsidR="002E0727" w:rsidRPr="002E0727">
              <w:rPr>
                <w:rFonts w:ascii="Arial" w:hAnsi="Arial" w:cs="Arial"/>
                <w:b w:val="0"/>
                <w:bCs w:val="0"/>
                <w:noProof/>
                <w:webHidden/>
                <w:sz w:val="24"/>
                <w:szCs w:val="24"/>
              </w:rPr>
              <w:instrText xml:space="preserve"> PAGEREF _Toc161738524 \h </w:instrText>
            </w:r>
            <w:r w:rsidR="002E0727" w:rsidRPr="002E0727">
              <w:rPr>
                <w:rFonts w:ascii="Arial" w:hAnsi="Arial" w:cs="Arial"/>
                <w:b w:val="0"/>
                <w:bCs w:val="0"/>
                <w:noProof/>
                <w:webHidden/>
                <w:sz w:val="24"/>
                <w:szCs w:val="24"/>
              </w:rPr>
            </w:r>
            <w:r w:rsidR="002E0727" w:rsidRPr="002E0727">
              <w:rPr>
                <w:rFonts w:ascii="Arial" w:hAnsi="Arial" w:cs="Arial"/>
                <w:b w:val="0"/>
                <w:bCs w:val="0"/>
                <w:noProof/>
                <w:webHidden/>
                <w:sz w:val="24"/>
                <w:szCs w:val="24"/>
              </w:rPr>
              <w:fldChar w:fldCharType="separate"/>
            </w:r>
            <w:r w:rsidR="002E0727" w:rsidRPr="002E0727">
              <w:rPr>
                <w:rFonts w:ascii="Arial" w:hAnsi="Arial" w:cs="Arial"/>
                <w:b w:val="0"/>
                <w:bCs w:val="0"/>
                <w:noProof/>
                <w:webHidden/>
                <w:sz w:val="24"/>
                <w:szCs w:val="24"/>
              </w:rPr>
              <w:t>3</w:t>
            </w:r>
            <w:r w:rsidR="002E0727" w:rsidRPr="002E0727">
              <w:rPr>
                <w:rFonts w:ascii="Arial" w:hAnsi="Arial" w:cs="Arial"/>
                <w:b w:val="0"/>
                <w:bCs w:val="0"/>
                <w:noProof/>
                <w:webHidden/>
                <w:sz w:val="24"/>
                <w:szCs w:val="24"/>
              </w:rPr>
              <w:fldChar w:fldCharType="end"/>
            </w:r>
          </w:hyperlink>
        </w:p>
        <w:p w14:paraId="6E0CE157" w14:textId="7DAA857A" w:rsidR="002E0727" w:rsidRPr="002E0727" w:rsidRDefault="00000000">
          <w:pPr>
            <w:pStyle w:val="TOC2"/>
            <w:tabs>
              <w:tab w:val="right" w:leader="dot" w:pos="9016"/>
            </w:tabs>
            <w:rPr>
              <w:rFonts w:ascii="Arial" w:eastAsiaTheme="minorEastAsia" w:hAnsi="Arial" w:cs="Arial"/>
              <w:b w:val="0"/>
              <w:bCs w:val="0"/>
              <w:noProof/>
              <w:sz w:val="24"/>
              <w:szCs w:val="24"/>
              <w:lang w:eastAsia="en-GB"/>
            </w:rPr>
          </w:pPr>
          <w:hyperlink w:anchor="_Toc161738525" w:history="1">
            <w:r w:rsidR="002E0727" w:rsidRPr="002E0727">
              <w:rPr>
                <w:rStyle w:val="Hyperlink"/>
                <w:rFonts w:ascii="Arial" w:eastAsia="Times New Roman" w:hAnsi="Arial" w:cs="Arial"/>
                <w:b w:val="0"/>
                <w:bCs w:val="0"/>
                <w:noProof/>
                <w:sz w:val="24"/>
                <w:szCs w:val="24"/>
                <w:lang w:eastAsia="en-GB"/>
              </w:rPr>
              <w:t>Next steps for working with communities to refine the Study Area and confirm the transmission location</w:t>
            </w:r>
            <w:r w:rsidR="002E0727" w:rsidRPr="002E0727">
              <w:rPr>
                <w:rFonts w:ascii="Arial" w:hAnsi="Arial" w:cs="Arial"/>
                <w:b w:val="0"/>
                <w:bCs w:val="0"/>
                <w:noProof/>
                <w:webHidden/>
                <w:sz w:val="24"/>
                <w:szCs w:val="24"/>
              </w:rPr>
              <w:tab/>
            </w:r>
            <w:r w:rsidR="002E0727" w:rsidRPr="002E0727">
              <w:rPr>
                <w:rFonts w:ascii="Arial" w:hAnsi="Arial" w:cs="Arial"/>
                <w:b w:val="0"/>
                <w:bCs w:val="0"/>
                <w:noProof/>
                <w:webHidden/>
                <w:sz w:val="24"/>
                <w:szCs w:val="24"/>
              </w:rPr>
              <w:fldChar w:fldCharType="begin"/>
            </w:r>
            <w:r w:rsidR="002E0727" w:rsidRPr="002E0727">
              <w:rPr>
                <w:rFonts w:ascii="Arial" w:hAnsi="Arial" w:cs="Arial"/>
                <w:b w:val="0"/>
                <w:bCs w:val="0"/>
                <w:noProof/>
                <w:webHidden/>
                <w:sz w:val="24"/>
                <w:szCs w:val="24"/>
              </w:rPr>
              <w:instrText xml:space="preserve"> PAGEREF _Toc161738525 \h </w:instrText>
            </w:r>
            <w:r w:rsidR="002E0727" w:rsidRPr="002E0727">
              <w:rPr>
                <w:rFonts w:ascii="Arial" w:hAnsi="Arial" w:cs="Arial"/>
                <w:b w:val="0"/>
                <w:bCs w:val="0"/>
                <w:noProof/>
                <w:webHidden/>
                <w:sz w:val="24"/>
                <w:szCs w:val="24"/>
              </w:rPr>
            </w:r>
            <w:r w:rsidR="002E0727" w:rsidRPr="002E0727">
              <w:rPr>
                <w:rFonts w:ascii="Arial" w:hAnsi="Arial" w:cs="Arial"/>
                <w:b w:val="0"/>
                <w:bCs w:val="0"/>
                <w:noProof/>
                <w:webHidden/>
                <w:sz w:val="24"/>
                <w:szCs w:val="24"/>
              </w:rPr>
              <w:fldChar w:fldCharType="separate"/>
            </w:r>
            <w:r w:rsidR="002E0727" w:rsidRPr="002E0727">
              <w:rPr>
                <w:rFonts w:ascii="Arial" w:hAnsi="Arial" w:cs="Arial"/>
                <w:b w:val="0"/>
                <w:bCs w:val="0"/>
                <w:noProof/>
                <w:webHidden/>
                <w:sz w:val="24"/>
                <w:szCs w:val="24"/>
              </w:rPr>
              <w:t>3</w:t>
            </w:r>
            <w:r w:rsidR="002E0727" w:rsidRPr="002E0727">
              <w:rPr>
                <w:rFonts w:ascii="Arial" w:hAnsi="Arial" w:cs="Arial"/>
                <w:b w:val="0"/>
                <w:bCs w:val="0"/>
                <w:noProof/>
                <w:webHidden/>
                <w:sz w:val="24"/>
                <w:szCs w:val="24"/>
              </w:rPr>
              <w:fldChar w:fldCharType="end"/>
            </w:r>
          </w:hyperlink>
        </w:p>
        <w:p w14:paraId="7F2DB0B3" w14:textId="702A87D5" w:rsidR="002E0727" w:rsidRPr="002E0727" w:rsidRDefault="00000000">
          <w:pPr>
            <w:pStyle w:val="TOC1"/>
            <w:tabs>
              <w:tab w:val="right" w:leader="dot" w:pos="9016"/>
            </w:tabs>
            <w:rPr>
              <w:rFonts w:ascii="Arial" w:eastAsiaTheme="minorEastAsia" w:hAnsi="Arial" w:cs="Arial"/>
              <w:b w:val="0"/>
              <w:bCs w:val="0"/>
              <w:i w:val="0"/>
              <w:iCs w:val="0"/>
              <w:noProof/>
              <w:lang w:eastAsia="en-GB"/>
            </w:rPr>
          </w:pPr>
          <w:hyperlink w:anchor="_Toc161738526" w:history="1">
            <w:r w:rsidR="002E0727" w:rsidRPr="002E0727">
              <w:rPr>
                <w:rStyle w:val="Hyperlink"/>
                <w:rFonts w:ascii="Arial" w:hAnsi="Arial" w:cs="Arial"/>
                <w:b w:val="0"/>
                <w:bCs w:val="0"/>
                <w:i w:val="0"/>
                <w:iCs w:val="0"/>
                <w:noProof/>
              </w:rPr>
              <w:t>Contact us</w:t>
            </w:r>
            <w:r w:rsidR="002E0727" w:rsidRPr="002E0727">
              <w:rPr>
                <w:rFonts w:ascii="Arial" w:hAnsi="Arial" w:cs="Arial"/>
                <w:b w:val="0"/>
                <w:bCs w:val="0"/>
                <w:i w:val="0"/>
                <w:iCs w:val="0"/>
                <w:noProof/>
                <w:webHidden/>
              </w:rPr>
              <w:tab/>
            </w:r>
            <w:r w:rsidR="002E0727" w:rsidRPr="002E0727">
              <w:rPr>
                <w:rFonts w:ascii="Arial" w:hAnsi="Arial" w:cs="Arial"/>
                <w:b w:val="0"/>
                <w:bCs w:val="0"/>
                <w:i w:val="0"/>
                <w:iCs w:val="0"/>
                <w:noProof/>
                <w:webHidden/>
              </w:rPr>
              <w:fldChar w:fldCharType="begin"/>
            </w:r>
            <w:r w:rsidR="002E0727" w:rsidRPr="002E0727">
              <w:rPr>
                <w:rFonts w:ascii="Arial" w:hAnsi="Arial" w:cs="Arial"/>
                <w:b w:val="0"/>
                <w:bCs w:val="0"/>
                <w:i w:val="0"/>
                <w:iCs w:val="0"/>
                <w:noProof/>
                <w:webHidden/>
              </w:rPr>
              <w:instrText xml:space="preserve"> PAGEREF _Toc161738526 \h </w:instrText>
            </w:r>
            <w:r w:rsidR="002E0727" w:rsidRPr="002E0727">
              <w:rPr>
                <w:rFonts w:ascii="Arial" w:hAnsi="Arial" w:cs="Arial"/>
                <w:b w:val="0"/>
                <w:bCs w:val="0"/>
                <w:i w:val="0"/>
                <w:iCs w:val="0"/>
                <w:noProof/>
                <w:webHidden/>
              </w:rPr>
            </w:r>
            <w:r w:rsidR="002E0727" w:rsidRPr="002E0727">
              <w:rPr>
                <w:rFonts w:ascii="Arial" w:hAnsi="Arial" w:cs="Arial"/>
                <w:b w:val="0"/>
                <w:bCs w:val="0"/>
                <w:i w:val="0"/>
                <w:iCs w:val="0"/>
                <w:noProof/>
                <w:webHidden/>
              </w:rPr>
              <w:fldChar w:fldCharType="separate"/>
            </w:r>
            <w:r w:rsidR="002E0727" w:rsidRPr="002E0727">
              <w:rPr>
                <w:rFonts w:ascii="Arial" w:hAnsi="Arial" w:cs="Arial"/>
                <w:b w:val="0"/>
                <w:bCs w:val="0"/>
                <w:i w:val="0"/>
                <w:iCs w:val="0"/>
                <w:noProof/>
                <w:webHidden/>
              </w:rPr>
              <w:t>4</w:t>
            </w:r>
            <w:r w:rsidR="002E0727" w:rsidRPr="002E0727">
              <w:rPr>
                <w:rFonts w:ascii="Arial" w:hAnsi="Arial" w:cs="Arial"/>
                <w:b w:val="0"/>
                <w:bCs w:val="0"/>
                <w:i w:val="0"/>
                <w:iCs w:val="0"/>
                <w:noProof/>
                <w:webHidden/>
              </w:rPr>
              <w:fldChar w:fldCharType="end"/>
            </w:r>
          </w:hyperlink>
        </w:p>
        <w:p w14:paraId="7F1224C7" w14:textId="16E0CB06" w:rsidR="0070580E" w:rsidRPr="001441FE" w:rsidRDefault="0070580E">
          <w:pPr>
            <w:rPr>
              <w:rFonts w:ascii="Arial" w:hAnsi="Arial" w:cs="Arial"/>
            </w:rPr>
          </w:pPr>
          <w:r w:rsidRPr="002E0727">
            <w:rPr>
              <w:rFonts w:ascii="Arial" w:hAnsi="Arial" w:cs="Arial"/>
            </w:rPr>
            <w:fldChar w:fldCharType="end"/>
          </w:r>
        </w:p>
      </w:sdtContent>
    </w:sdt>
    <w:p w14:paraId="7013D714" w14:textId="77777777" w:rsidR="0070580E" w:rsidRPr="001441FE" w:rsidRDefault="0070580E" w:rsidP="0070580E">
      <w:pPr>
        <w:rPr>
          <w:rFonts w:ascii="Arial" w:hAnsi="Arial" w:cs="Arial"/>
        </w:rPr>
      </w:pPr>
    </w:p>
    <w:p w14:paraId="350325C1" w14:textId="35701797" w:rsidR="00B217D7" w:rsidRPr="001441FE" w:rsidRDefault="00B217D7" w:rsidP="00B217D7">
      <w:pPr>
        <w:pStyle w:val="Subtitle"/>
        <w:rPr>
          <w:rFonts w:ascii="Arial" w:hAnsi="Arial" w:cs="Arial"/>
        </w:rPr>
      </w:pPr>
      <w:r w:rsidRPr="001441FE">
        <w:rPr>
          <w:rFonts w:ascii="Arial" w:hAnsi="Arial" w:cs="Arial"/>
        </w:rPr>
        <w:t xml:space="preserve">This fact sheet describes the proposed new transmission infrastructure in Gippsland to connect offshore wind energy to the existing power grid. It sets out next steps to work with landholders, communities, stakeholders and First Peoples to inform the decision about the new transmission. </w:t>
      </w:r>
    </w:p>
    <w:p w14:paraId="773AA860" w14:textId="77777777" w:rsidR="0070580E" w:rsidRPr="001441FE" w:rsidRDefault="0070580E" w:rsidP="00B217D7">
      <w:pPr>
        <w:rPr>
          <w:rFonts w:ascii="Arial" w:hAnsi="Arial" w:cs="Arial"/>
        </w:rPr>
      </w:pPr>
    </w:p>
    <w:p w14:paraId="54CC3707" w14:textId="193DE9AF" w:rsidR="00B217D7" w:rsidRPr="001441FE" w:rsidRDefault="00B217D7" w:rsidP="00B217D7">
      <w:pPr>
        <w:rPr>
          <w:rFonts w:ascii="Arial" w:hAnsi="Arial" w:cs="Arial"/>
        </w:rPr>
      </w:pPr>
      <w:r w:rsidRPr="001441FE">
        <w:rPr>
          <w:rFonts w:ascii="Arial" w:hAnsi="Arial" w:cs="Arial"/>
        </w:rPr>
        <w:t xml:space="preserve">Offshore wind is a key pillar in the renewable energy transition and Victoria has some of the best offshore wind resources in the world. That is why the Victorian Government has set targets to generate at least 2 gigawatt (GW) of offshore wind energy by 2032, 4 GW by 2035, and 9 GW by 2040. </w:t>
      </w:r>
    </w:p>
    <w:p w14:paraId="5DA1DC4E" w14:textId="77777777" w:rsidR="00B217D7" w:rsidRPr="001441FE" w:rsidRDefault="00B217D7" w:rsidP="00B217D7">
      <w:pPr>
        <w:rPr>
          <w:rFonts w:ascii="Arial" w:hAnsi="Arial" w:cs="Arial"/>
        </w:rPr>
      </w:pPr>
    </w:p>
    <w:p w14:paraId="3967E02F" w14:textId="08F94392" w:rsidR="00B217D7" w:rsidRPr="001441FE" w:rsidRDefault="00B217D7" w:rsidP="00B217D7">
      <w:pPr>
        <w:rPr>
          <w:rFonts w:ascii="Arial" w:hAnsi="Arial" w:cs="Arial"/>
        </w:rPr>
      </w:pPr>
      <w:r w:rsidRPr="001441FE">
        <w:rPr>
          <w:rFonts w:ascii="Arial" w:hAnsi="Arial" w:cs="Arial"/>
        </w:rPr>
        <w:t xml:space="preserve">New transmission infrastructure is needed to extend the existing network from the Latrobe Valley to a connection hub near the Gippsland coast, which offshore wind generators will connect to. </w:t>
      </w:r>
    </w:p>
    <w:p w14:paraId="3E7CF3B6" w14:textId="77777777" w:rsidR="00B217D7" w:rsidRPr="001441FE" w:rsidRDefault="00B217D7" w:rsidP="00B217D7">
      <w:pPr>
        <w:rPr>
          <w:rFonts w:ascii="Arial" w:hAnsi="Arial" w:cs="Arial"/>
        </w:rPr>
      </w:pPr>
    </w:p>
    <w:p w14:paraId="5F52D376" w14:textId="57697232" w:rsidR="00B217D7" w:rsidRPr="001441FE" w:rsidRDefault="00B217D7" w:rsidP="0070580E">
      <w:pPr>
        <w:rPr>
          <w:rFonts w:ascii="Arial" w:hAnsi="Arial" w:cs="Arial"/>
        </w:rPr>
      </w:pPr>
      <w:r w:rsidRPr="001441FE">
        <w:rPr>
          <w:rFonts w:ascii="Arial" w:hAnsi="Arial" w:cs="Arial"/>
        </w:rPr>
        <w:t xml:space="preserve">VicGrid is the Victorian Government agency leading this transmission development to avoid multiple developers building individual transmission lines that could create a ‘spaghetti effect’ of powerlines criss-crossing the landscape. </w:t>
      </w:r>
    </w:p>
    <w:p w14:paraId="1BC640C5" w14:textId="5B261725" w:rsidR="00B217D7" w:rsidRPr="001441FE" w:rsidRDefault="00B217D7" w:rsidP="00B217D7">
      <w:pPr>
        <w:pStyle w:val="Heading3"/>
        <w:rPr>
          <w:rFonts w:ascii="Arial" w:hAnsi="Arial" w:cs="Arial"/>
        </w:rPr>
      </w:pPr>
      <w:r w:rsidRPr="001441FE">
        <w:rPr>
          <w:rFonts w:ascii="Arial" w:hAnsi="Arial" w:cs="Arial"/>
        </w:rPr>
        <w:t xml:space="preserve">Why Gippsland? </w:t>
      </w:r>
    </w:p>
    <w:p w14:paraId="2A02A9D3" w14:textId="23D8E034" w:rsidR="00B217D7" w:rsidRPr="001441FE" w:rsidRDefault="00B217D7" w:rsidP="00B217D7">
      <w:pPr>
        <w:rPr>
          <w:rFonts w:ascii="Arial" w:hAnsi="Arial" w:cs="Arial"/>
        </w:rPr>
      </w:pPr>
      <w:r w:rsidRPr="001441FE">
        <w:rPr>
          <w:rFonts w:ascii="Arial" w:hAnsi="Arial" w:cs="Arial"/>
        </w:rPr>
        <w:t xml:space="preserve">Offshore wind farms can only be built in areas approved by the Australian Government, which declared an area in Bass Strait as Australia’s first offshore wind zone in December 2022. This area spans approximately 15,000 square kilometres (km) in Commonwealth waters off the Gippsland coast. </w:t>
      </w:r>
    </w:p>
    <w:p w14:paraId="39AD1670" w14:textId="77777777" w:rsidR="00B217D7" w:rsidRPr="001441FE" w:rsidRDefault="00B217D7" w:rsidP="00B217D7">
      <w:pPr>
        <w:pStyle w:val="Heading1"/>
        <w:rPr>
          <w:rFonts w:ascii="Arial" w:hAnsi="Arial" w:cs="Arial"/>
        </w:rPr>
      </w:pPr>
      <w:bookmarkStart w:id="0" w:name="_Toc161738520"/>
      <w:r w:rsidRPr="001441FE">
        <w:rPr>
          <w:rFonts w:ascii="Arial" w:hAnsi="Arial" w:cs="Arial"/>
        </w:rPr>
        <w:lastRenderedPageBreak/>
        <w:t>Transmission Study Area for further development</w:t>
      </w:r>
      <w:bookmarkEnd w:id="0"/>
      <w:r w:rsidRPr="001441FE">
        <w:rPr>
          <w:rFonts w:ascii="Arial" w:hAnsi="Arial" w:cs="Arial"/>
        </w:rPr>
        <w:t xml:space="preserve"> </w:t>
      </w:r>
    </w:p>
    <w:p w14:paraId="4042937D" w14:textId="77777777" w:rsidR="00B217D7" w:rsidRPr="001441FE" w:rsidRDefault="00B217D7" w:rsidP="00B217D7">
      <w:pPr>
        <w:rPr>
          <w:rFonts w:ascii="Arial" w:hAnsi="Arial" w:cs="Arial"/>
        </w:rPr>
      </w:pPr>
      <w:r w:rsidRPr="001441FE">
        <w:rPr>
          <w:rFonts w:ascii="Arial" w:hAnsi="Arial" w:cs="Arial"/>
        </w:rPr>
        <w:t xml:space="preserve">VicGrid has identified a Study Area for the new transmission infrastructure through an assessment of a wide range of potential corridor and technical options. VicGrid used the Options Assessment Method which was developed in 2023 with community and stakeholder feedback to help assess and balance a range of competing factors. </w:t>
      </w:r>
    </w:p>
    <w:p w14:paraId="60781BD8" w14:textId="77777777" w:rsidR="00B217D7" w:rsidRPr="001441FE" w:rsidRDefault="00B217D7" w:rsidP="00B217D7">
      <w:pPr>
        <w:rPr>
          <w:rFonts w:ascii="Arial" w:hAnsi="Arial" w:cs="Arial"/>
        </w:rPr>
      </w:pPr>
    </w:p>
    <w:p w14:paraId="06040191" w14:textId="77777777" w:rsidR="00B217D7" w:rsidRPr="001441FE" w:rsidRDefault="00B217D7" w:rsidP="00B217D7">
      <w:pPr>
        <w:rPr>
          <w:rFonts w:ascii="Arial" w:hAnsi="Arial" w:cs="Arial"/>
        </w:rPr>
      </w:pPr>
      <w:r w:rsidRPr="001441FE">
        <w:rPr>
          <w:rFonts w:ascii="Arial" w:hAnsi="Arial" w:cs="Arial"/>
        </w:rPr>
        <w:t xml:space="preserve">The proposed new transmission in Gippsland is a new set of overhead alternating current (AC) 330 kilovolt (kV) or 500 kV transmission lines from a new connection hub near Giffard to a grid connection point near Loy Yang Power Station.  </w:t>
      </w:r>
    </w:p>
    <w:p w14:paraId="0020A4F7" w14:textId="77777777" w:rsidR="00B217D7" w:rsidRPr="001441FE" w:rsidRDefault="00B217D7" w:rsidP="00B217D7">
      <w:pPr>
        <w:rPr>
          <w:rFonts w:ascii="Arial" w:hAnsi="Arial" w:cs="Arial"/>
        </w:rPr>
      </w:pPr>
    </w:p>
    <w:p w14:paraId="6E8548E4" w14:textId="00AB70EB" w:rsidR="00B217D7" w:rsidRPr="001441FE" w:rsidRDefault="00B217D7" w:rsidP="00B217D7">
      <w:pPr>
        <w:rPr>
          <w:rFonts w:ascii="Arial" w:hAnsi="Arial" w:cs="Arial"/>
        </w:rPr>
      </w:pPr>
      <w:r w:rsidRPr="001441FE">
        <w:rPr>
          <w:rFonts w:ascii="Arial" w:hAnsi="Arial" w:cs="Arial"/>
        </w:rPr>
        <w:t xml:space="preserve">VicGrid has created a broad Study Area between 3 km and 12 km wide that provides opportunities to reduce impacts by exploring alignment with other infrastructure. </w:t>
      </w:r>
    </w:p>
    <w:p w14:paraId="0A4A52F6" w14:textId="77777777" w:rsidR="00B217D7" w:rsidRPr="001441FE" w:rsidRDefault="00B217D7" w:rsidP="00B217D7">
      <w:pPr>
        <w:rPr>
          <w:rFonts w:ascii="Arial" w:hAnsi="Arial" w:cs="Arial"/>
        </w:rPr>
      </w:pPr>
      <w:r w:rsidRPr="001441FE">
        <w:rPr>
          <w:rFonts w:ascii="Arial" w:hAnsi="Arial" w:cs="Arial"/>
        </w:rPr>
        <w:t xml:space="preserve">The Study Area will be refined through further engagement and detailed investigations to select a corridor, a route and ultimately an easement. </w:t>
      </w:r>
    </w:p>
    <w:p w14:paraId="6AAA1172" w14:textId="77777777" w:rsidR="00B217D7" w:rsidRPr="001441FE" w:rsidRDefault="00B217D7" w:rsidP="00B217D7">
      <w:pPr>
        <w:rPr>
          <w:rFonts w:ascii="Arial" w:hAnsi="Arial" w:cs="Arial"/>
        </w:rPr>
      </w:pPr>
    </w:p>
    <w:p w14:paraId="53C5EF66" w14:textId="78F96C6C" w:rsidR="0070580E" w:rsidRPr="001441FE" w:rsidRDefault="00B217D7" w:rsidP="00B217D7">
      <w:pPr>
        <w:rPr>
          <w:rFonts w:ascii="Arial" w:hAnsi="Arial" w:cs="Arial"/>
        </w:rPr>
      </w:pPr>
      <w:r w:rsidRPr="001441FE">
        <w:rPr>
          <w:rFonts w:ascii="Arial" w:hAnsi="Arial" w:cs="Arial"/>
        </w:rPr>
        <w:t xml:space="preserve">Assessment of environmental, visual, heritage, cost and technical factors found that new overhead transmission lines along an area away from major towns provided the best way of balancing the need to keep household energy bills down while minimising impacts for Gippsland communities. </w:t>
      </w:r>
    </w:p>
    <w:p w14:paraId="52C74FA9" w14:textId="77777777" w:rsidR="00B217D7" w:rsidRPr="001441FE" w:rsidRDefault="00B217D7" w:rsidP="00B217D7">
      <w:pPr>
        <w:rPr>
          <w:rFonts w:ascii="Arial" w:hAnsi="Arial" w:cs="Arial"/>
          <w:b/>
          <w:bCs/>
        </w:rPr>
      </w:pPr>
    </w:p>
    <w:p w14:paraId="3A93C6BA" w14:textId="13E4FCEA" w:rsidR="00B217D7" w:rsidRPr="001441FE" w:rsidRDefault="00B217D7" w:rsidP="00B217D7">
      <w:pPr>
        <w:rPr>
          <w:rFonts w:ascii="Arial" w:hAnsi="Arial" w:cs="Arial"/>
        </w:rPr>
      </w:pPr>
      <w:r w:rsidRPr="001441FE">
        <w:rPr>
          <w:rFonts w:ascii="Arial" w:hAnsi="Arial" w:cs="Arial"/>
          <w:b/>
          <w:bCs/>
        </w:rPr>
        <w:t xml:space="preserve">Study Area </w:t>
      </w:r>
      <w:r w:rsidRPr="001441FE">
        <w:rPr>
          <w:rFonts w:ascii="Arial" w:hAnsi="Arial" w:cs="Arial"/>
        </w:rPr>
        <w:t xml:space="preserve">– A broad geographic area that we will progressively narrow over time as we undertake detailed studies and consultation with landholders, First Peoples, community and stakeholders. </w:t>
      </w:r>
    </w:p>
    <w:p w14:paraId="523BA263" w14:textId="77777777" w:rsidR="00B217D7" w:rsidRPr="001441FE" w:rsidRDefault="00B217D7" w:rsidP="00B217D7">
      <w:pPr>
        <w:rPr>
          <w:rFonts w:ascii="Arial" w:hAnsi="Arial" w:cs="Arial"/>
        </w:rPr>
      </w:pPr>
      <w:r w:rsidRPr="001441FE">
        <w:rPr>
          <w:rFonts w:ascii="Arial" w:hAnsi="Arial" w:cs="Arial"/>
          <w:b/>
          <w:bCs/>
        </w:rPr>
        <w:t xml:space="preserve">Corridor </w:t>
      </w:r>
      <w:r w:rsidRPr="001441FE">
        <w:rPr>
          <w:rFonts w:ascii="Arial" w:hAnsi="Arial" w:cs="Arial"/>
        </w:rPr>
        <w:t>– One or more geographic areas narrowed down from the Study Area</w:t>
      </w:r>
      <w:r w:rsidRPr="001441FE">
        <w:rPr>
          <w:rFonts w:ascii="Arial" w:hAnsi="Arial" w:cs="Arial"/>
        </w:rPr>
        <w:br/>
        <w:t xml:space="preserve">that are considered suitable for transmission infrastructure. There is flexibility within </w:t>
      </w:r>
    </w:p>
    <w:p w14:paraId="54D1A17B" w14:textId="77777777" w:rsidR="00B217D7" w:rsidRPr="001441FE" w:rsidRDefault="00B217D7" w:rsidP="00B217D7">
      <w:pPr>
        <w:rPr>
          <w:rFonts w:ascii="Arial" w:hAnsi="Arial" w:cs="Arial"/>
        </w:rPr>
      </w:pPr>
      <w:r w:rsidRPr="001441FE">
        <w:rPr>
          <w:rFonts w:ascii="Arial" w:hAnsi="Arial" w:cs="Arial"/>
        </w:rPr>
        <w:t xml:space="preserve">a corridor to undertake site-specific consultation with landholders to identify suitable routes. </w:t>
      </w:r>
    </w:p>
    <w:p w14:paraId="092CCCA5" w14:textId="77777777" w:rsidR="00B217D7" w:rsidRPr="001441FE" w:rsidRDefault="00B217D7" w:rsidP="00B217D7">
      <w:pPr>
        <w:rPr>
          <w:rFonts w:ascii="Arial" w:hAnsi="Arial" w:cs="Arial"/>
        </w:rPr>
      </w:pPr>
      <w:r w:rsidRPr="001441FE">
        <w:rPr>
          <w:rFonts w:ascii="Arial" w:hAnsi="Arial" w:cs="Arial"/>
          <w:b/>
          <w:bCs/>
        </w:rPr>
        <w:t xml:space="preserve">Route </w:t>
      </w:r>
      <w:r w:rsidRPr="001441FE">
        <w:rPr>
          <w:rFonts w:ascii="Arial" w:hAnsi="Arial" w:cs="Arial"/>
        </w:rPr>
        <w:t xml:space="preserve">– A route is narrower again and is the final stage before an easement is selected. This still allows flexibility for locating </w:t>
      </w:r>
    </w:p>
    <w:p w14:paraId="16B38B12" w14:textId="77777777" w:rsidR="00B217D7" w:rsidRPr="001441FE" w:rsidRDefault="00B217D7" w:rsidP="00B217D7">
      <w:pPr>
        <w:rPr>
          <w:rFonts w:ascii="Arial" w:hAnsi="Arial" w:cs="Arial"/>
        </w:rPr>
      </w:pPr>
      <w:r w:rsidRPr="001441FE">
        <w:rPr>
          <w:rFonts w:ascii="Arial" w:hAnsi="Arial" w:cs="Arial"/>
        </w:rPr>
        <w:t xml:space="preserve">(or micro-siting) of towers to minimise impacts on landholders and landholder operations. </w:t>
      </w:r>
    </w:p>
    <w:p w14:paraId="00EADCB4" w14:textId="77777777" w:rsidR="00B217D7" w:rsidRPr="001441FE" w:rsidRDefault="00B217D7" w:rsidP="00B217D7">
      <w:pPr>
        <w:rPr>
          <w:rFonts w:ascii="Arial" w:hAnsi="Arial" w:cs="Arial"/>
        </w:rPr>
      </w:pPr>
      <w:r w:rsidRPr="001441FE">
        <w:rPr>
          <w:rFonts w:ascii="Arial" w:hAnsi="Arial" w:cs="Arial"/>
          <w:b/>
          <w:bCs/>
        </w:rPr>
        <w:t xml:space="preserve">Easement </w:t>
      </w:r>
      <w:r w:rsidRPr="001441FE">
        <w:rPr>
          <w:rFonts w:ascii="Arial" w:hAnsi="Arial" w:cs="Arial"/>
        </w:rPr>
        <w:t xml:space="preserve">– An easement is a legally secured right-of-way for the transmission infrastructure to be built and maintained. </w:t>
      </w:r>
    </w:p>
    <w:p w14:paraId="5C9F4938" w14:textId="77777777" w:rsidR="0070580E" w:rsidRDefault="0070580E" w:rsidP="00B217D7">
      <w:pPr>
        <w:rPr>
          <w:rFonts w:ascii="Arial" w:hAnsi="Arial" w:cs="Arial"/>
        </w:rPr>
      </w:pPr>
    </w:p>
    <w:p w14:paraId="422160AF" w14:textId="77777777" w:rsidR="002E0727" w:rsidRDefault="001441FE" w:rsidP="002E0727">
      <w:pPr>
        <w:pStyle w:val="Heading2"/>
      </w:pPr>
      <w:bookmarkStart w:id="1" w:name="_Toc161738521"/>
      <w:r w:rsidRPr="00587460">
        <w:t>Study Area and indicative connection hub</w:t>
      </w:r>
      <w:bookmarkEnd w:id="1"/>
      <w:r>
        <w:t xml:space="preserve"> </w:t>
      </w:r>
    </w:p>
    <w:p w14:paraId="724374A9" w14:textId="77777777" w:rsidR="007D0006" w:rsidRDefault="007D0006" w:rsidP="007D0006">
      <w:pPr>
        <w:pStyle w:val="paragraph"/>
        <w:spacing w:before="0" w:beforeAutospacing="0" w:after="0" w:afterAutospacing="0"/>
        <w:textAlignment w:val="baseline"/>
        <w:rPr>
          <w:rFonts w:ascii="Segoe UI" w:hAnsi="Segoe UI" w:cs="Segoe UI"/>
          <w:sz w:val="18"/>
          <w:szCs w:val="18"/>
        </w:rPr>
      </w:pPr>
      <w:r>
        <w:rPr>
          <w:rStyle w:val="normaltextrun"/>
          <w:rFonts w:ascii="Aptos" w:eastAsiaTheme="majorEastAsia" w:hAnsi="Aptos" w:cs="Segoe UI"/>
        </w:rPr>
        <w:t>A map of Gippsland shows the Study Area and indicative connection hub area. The Study Area starts approximately 6km from the coast near Giffard and travels northwest past Stradbroke West to Willung, across to Flynns Creek and then to the Loy Yang Power Station. </w:t>
      </w:r>
      <w:r>
        <w:rPr>
          <w:rStyle w:val="eop"/>
          <w:rFonts w:ascii="Aptos" w:eastAsiaTheme="majorEastAsia" w:hAnsi="Aptos" w:cs="Segoe UI"/>
        </w:rPr>
        <w:t> </w:t>
      </w:r>
    </w:p>
    <w:p w14:paraId="20DF719B" w14:textId="6DF7671E" w:rsidR="007D0006" w:rsidRDefault="007D0006" w:rsidP="007D0006">
      <w:pPr>
        <w:pStyle w:val="paragraph"/>
        <w:spacing w:before="0" w:beforeAutospacing="0" w:after="0" w:afterAutospacing="0"/>
        <w:textAlignment w:val="baseline"/>
        <w:rPr>
          <w:rStyle w:val="normaltextrun"/>
          <w:rFonts w:ascii="Aptos" w:eastAsiaTheme="majorEastAsia" w:hAnsi="Aptos"/>
          <w:color w:val="000000"/>
          <w:bdr w:val="none" w:sz="0" w:space="0" w:color="auto" w:frame="1"/>
        </w:rPr>
      </w:pPr>
      <w:r>
        <w:rPr>
          <w:rStyle w:val="normaltextrun"/>
          <w:rFonts w:ascii="Aptos" w:eastAsiaTheme="majorEastAsia" w:hAnsi="Aptos" w:cs="Segoe UI"/>
        </w:rPr>
        <w:t>The map also shows a cross-hatched area along the coast, running approximately from Seaspray to Reeves beach. The legend for this area reads: Offshore wind energy connections to the VicGrid connection hub are sub</w:t>
      </w:r>
      <w:r>
        <w:rPr>
          <w:rStyle w:val="normaltextrun"/>
          <w:rFonts w:ascii="Aptos" w:eastAsiaTheme="majorEastAsia" w:hAnsi="Aptos"/>
          <w:color w:val="000000"/>
          <w:bdr w:val="none" w:sz="0" w:space="0" w:color="auto" w:frame="1"/>
        </w:rPr>
        <w:t>ject to the outcome of the feasibility licence process which is pending.</w:t>
      </w:r>
    </w:p>
    <w:p w14:paraId="113A9A0E" w14:textId="77777777" w:rsidR="007D0006" w:rsidRDefault="007D0006" w:rsidP="007D0006">
      <w:pPr>
        <w:pStyle w:val="paragraph"/>
        <w:spacing w:before="0" w:beforeAutospacing="0" w:after="0" w:afterAutospacing="0"/>
        <w:textAlignment w:val="baseline"/>
        <w:rPr>
          <w:rStyle w:val="normaltextrun"/>
          <w:rFonts w:ascii="Aptos" w:eastAsiaTheme="majorEastAsia" w:hAnsi="Aptos"/>
          <w:color w:val="000000"/>
          <w:bdr w:val="none" w:sz="0" w:space="0" w:color="auto" w:frame="1"/>
        </w:rPr>
      </w:pPr>
    </w:p>
    <w:p w14:paraId="5625A1F4" w14:textId="10577651" w:rsidR="007D0006" w:rsidRDefault="007D0006" w:rsidP="007D0006">
      <w:pPr>
        <w:pStyle w:val="paragraph"/>
        <w:spacing w:before="0" w:beforeAutospacing="0" w:after="0" w:afterAutospacing="0"/>
        <w:textAlignment w:val="baseline"/>
        <w:rPr>
          <w:rFonts w:ascii="Segoe UI" w:hAnsi="Segoe UI" w:cs="Segoe UI"/>
          <w:sz w:val="18"/>
          <w:szCs w:val="18"/>
        </w:rPr>
      </w:pPr>
      <w:r>
        <w:rPr>
          <w:noProof/>
        </w:rPr>
        <w:lastRenderedPageBreak/>
        <w:drawing>
          <wp:inline distT="0" distB="0" distL="0" distR="0" wp14:anchorId="63A5BA67" wp14:editId="1F4F0C21">
            <wp:extent cx="3152775" cy="3304371"/>
            <wp:effectExtent l="0" t="0" r="0" b="0"/>
            <wp:docPr id="2126585750" name="Picture 1" descr="A map of a power st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ap of a power stati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7795" cy="3309633"/>
                    </a:xfrm>
                    <a:prstGeom prst="rect">
                      <a:avLst/>
                    </a:prstGeom>
                    <a:noFill/>
                    <a:ln>
                      <a:noFill/>
                    </a:ln>
                  </pic:spPr>
                </pic:pic>
              </a:graphicData>
            </a:graphic>
          </wp:inline>
        </w:drawing>
      </w:r>
    </w:p>
    <w:p w14:paraId="08FEF72C" w14:textId="77777777" w:rsidR="001441FE" w:rsidRPr="001441FE" w:rsidRDefault="001441FE" w:rsidP="00B217D7">
      <w:pPr>
        <w:rPr>
          <w:color w:val="FF0000"/>
        </w:rPr>
      </w:pPr>
    </w:p>
    <w:p w14:paraId="43581089" w14:textId="77777777" w:rsidR="00B217D7" w:rsidRDefault="00B217D7" w:rsidP="00B217D7">
      <w:pPr>
        <w:pStyle w:val="Heading2"/>
        <w:rPr>
          <w:rFonts w:ascii="Arial" w:hAnsi="Arial" w:cs="Arial"/>
        </w:rPr>
      </w:pPr>
      <w:bookmarkStart w:id="2" w:name="_Toc161738522"/>
      <w:r w:rsidRPr="001441FE">
        <w:rPr>
          <w:rFonts w:ascii="Arial" w:hAnsi="Arial" w:cs="Arial"/>
        </w:rPr>
        <w:t>Features of the Study Area and technology</w:t>
      </w:r>
      <w:bookmarkEnd w:id="2"/>
      <w:r w:rsidRPr="001441FE">
        <w:rPr>
          <w:rFonts w:ascii="Arial" w:hAnsi="Arial" w:cs="Arial"/>
        </w:rPr>
        <w:t xml:space="preserve"> </w:t>
      </w:r>
    </w:p>
    <w:p w14:paraId="2C3499B5" w14:textId="77777777" w:rsidR="001441FE" w:rsidRPr="001441FE" w:rsidRDefault="001441FE" w:rsidP="001441FE"/>
    <w:p w14:paraId="247F3FFF" w14:textId="77777777" w:rsidR="00B217D7" w:rsidRPr="001441FE" w:rsidRDefault="00B217D7" w:rsidP="00B217D7">
      <w:pPr>
        <w:pStyle w:val="ListParagraph"/>
        <w:numPr>
          <w:ilvl w:val="0"/>
          <w:numId w:val="2"/>
        </w:numPr>
        <w:rPr>
          <w:rFonts w:ascii="Arial" w:hAnsi="Arial" w:cs="Arial"/>
        </w:rPr>
      </w:pPr>
      <w:r w:rsidRPr="001441FE">
        <w:rPr>
          <w:rFonts w:ascii="Arial" w:hAnsi="Arial" w:cs="Arial"/>
        </w:rPr>
        <w:t xml:space="preserve">Lower proportion of agricultural land than almost all other options </w:t>
      </w:r>
    </w:p>
    <w:p w14:paraId="40C6E683" w14:textId="77777777" w:rsidR="00B217D7" w:rsidRPr="001441FE" w:rsidRDefault="00B217D7" w:rsidP="00B217D7">
      <w:pPr>
        <w:pStyle w:val="ListParagraph"/>
        <w:numPr>
          <w:ilvl w:val="0"/>
          <w:numId w:val="2"/>
        </w:numPr>
        <w:rPr>
          <w:rFonts w:ascii="Arial" w:hAnsi="Arial" w:cs="Arial"/>
        </w:rPr>
      </w:pPr>
      <w:r w:rsidRPr="001441FE">
        <w:rPr>
          <w:rFonts w:ascii="Arial" w:hAnsi="Arial" w:cs="Arial"/>
        </w:rPr>
        <w:t xml:space="preserve">Away from major residential areas </w:t>
      </w:r>
    </w:p>
    <w:p w14:paraId="2986175E" w14:textId="77777777" w:rsidR="00B217D7" w:rsidRPr="001441FE" w:rsidRDefault="00B217D7" w:rsidP="00B217D7">
      <w:pPr>
        <w:pStyle w:val="ListParagraph"/>
        <w:numPr>
          <w:ilvl w:val="0"/>
          <w:numId w:val="2"/>
        </w:numPr>
        <w:rPr>
          <w:rFonts w:ascii="Arial" w:hAnsi="Arial" w:cs="Arial"/>
        </w:rPr>
      </w:pPr>
      <w:r w:rsidRPr="001441FE">
        <w:rPr>
          <w:rFonts w:ascii="Arial" w:hAnsi="Arial" w:cs="Arial"/>
        </w:rPr>
        <w:t xml:space="preserve">Higher proportion of public and </w:t>
      </w:r>
    </w:p>
    <w:p w14:paraId="183B3A95" w14:textId="77777777" w:rsidR="00B217D7" w:rsidRPr="001441FE" w:rsidRDefault="00B217D7" w:rsidP="00B217D7">
      <w:pPr>
        <w:pStyle w:val="ListParagraph"/>
        <w:numPr>
          <w:ilvl w:val="0"/>
          <w:numId w:val="2"/>
        </w:numPr>
        <w:rPr>
          <w:rFonts w:ascii="Arial" w:hAnsi="Arial" w:cs="Arial"/>
        </w:rPr>
      </w:pPr>
      <w:r w:rsidRPr="001441FE">
        <w:rPr>
          <w:rFonts w:ascii="Arial" w:hAnsi="Arial" w:cs="Arial"/>
        </w:rPr>
        <w:t xml:space="preserve">plantation land than other options </w:t>
      </w:r>
    </w:p>
    <w:p w14:paraId="334319E8" w14:textId="77777777" w:rsidR="00B217D7" w:rsidRPr="001441FE" w:rsidRDefault="00B217D7" w:rsidP="00B217D7">
      <w:pPr>
        <w:pStyle w:val="ListParagraph"/>
        <w:numPr>
          <w:ilvl w:val="0"/>
          <w:numId w:val="2"/>
        </w:numPr>
        <w:rPr>
          <w:rFonts w:ascii="Arial" w:hAnsi="Arial" w:cs="Arial"/>
        </w:rPr>
      </w:pPr>
      <w:r w:rsidRPr="001441FE">
        <w:rPr>
          <w:rFonts w:ascii="Arial" w:hAnsi="Arial" w:cs="Arial"/>
        </w:rPr>
        <w:t xml:space="preserve">Overhead technology proven to minimise energy costs paid by households and businesses </w:t>
      </w:r>
    </w:p>
    <w:p w14:paraId="3045A077" w14:textId="77777777" w:rsidR="00B217D7" w:rsidRPr="001441FE" w:rsidRDefault="00B217D7" w:rsidP="00B217D7">
      <w:pPr>
        <w:pStyle w:val="ListParagraph"/>
        <w:numPr>
          <w:ilvl w:val="0"/>
          <w:numId w:val="2"/>
        </w:numPr>
        <w:rPr>
          <w:rFonts w:ascii="Arial" w:hAnsi="Arial" w:cs="Arial"/>
        </w:rPr>
      </w:pPr>
      <w:r w:rsidRPr="001441FE">
        <w:rPr>
          <w:rFonts w:ascii="Arial" w:hAnsi="Arial" w:cs="Arial"/>
        </w:rPr>
        <w:t xml:space="preserve">Provide opportunities to explore alignment with other infrastructure such as roads and Basslink </w:t>
      </w:r>
    </w:p>
    <w:p w14:paraId="7A29BE22" w14:textId="77777777" w:rsidR="00B217D7" w:rsidRPr="001441FE" w:rsidRDefault="00B217D7" w:rsidP="00B217D7">
      <w:pPr>
        <w:pStyle w:val="ListParagraph"/>
        <w:numPr>
          <w:ilvl w:val="0"/>
          <w:numId w:val="2"/>
        </w:numPr>
        <w:rPr>
          <w:rFonts w:ascii="Arial" w:hAnsi="Arial" w:cs="Arial"/>
        </w:rPr>
      </w:pPr>
      <w:r w:rsidRPr="001441FE">
        <w:rPr>
          <w:rFonts w:ascii="Arial" w:hAnsi="Arial" w:cs="Arial"/>
        </w:rPr>
        <w:t xml:space="preserve">Allow for potential connection with existing assets at Loy Yang Power Station </w:t>
      </w:r>
    </w:p>
    <w:p w14:paraId="2E701471" w14:textId="77777777" w:rsidR="00B217D7" w:rsidRPr="001441FE" w:rsidRDefault="00B217D7" w:rsidP="00B217D7">
      <w:pPr>
        <w:pStyle w:val="ListParagraph"/>
        <w:numPr>
          <w:ilvl w:val="0"/>
          <w:numId w:val="2"/>
        </w:numPr>
        <w:rPr>
          <w:rFonts w:ascii="Arial" w:hAnsi="Arial" w:cs="Arial"/>
        </w:rPr>
      </w:pPr>
      <w:r w:rsidRPr="001441FE">
        <w:rPr>
          <w:rFonts w:ascii="Arial" w:hAnsi="Arial" w:cs="Arial"/>
        </w:rPr>
        <w:t xml:space="preserve">Shorter length than most other options </w:t>
      </w:r>
    </w:p>
    <w:p w14:paraId="1CCCF0B8" w14:textId="77777777" w:rsidR="00B217D7" w:rsidRDefault="00B217D7" w:rsidP="00B217D7">
      <w:pPr>
        <w:pStyle w:val="ListParagraph"/>
        <w:numPr>
          <w:ilvl w:val="0"/>
          <w:numId w:val="2"/>
        </w:numPr>
        <w:rPr>
          <w:rFonts w:ascii="Arial" w:hAnsi="Arial" w:cs="Arial"/>
        </w:rPr>
      </w:pPr>
      <w:r w:rsidRPr="001441FE">
        <w:rPr>
          <w:rFonts w:ascii="Arial" w:hAnsi="Arial" w:cs="Arial"/>
        </w:rPr>
        <w:t xml:space="preserve">Connect Victorian households and businesses to affordable renewable energy. </w:t>
      </w:r>
    </w:p>
    <w:p w14:paraId="47FE1FD4" w14:textId="77777777" w:rsidR="001441FE" w:rsidRPr="001441FE" w:rsidRDefault="001441FE" w:rsidP="001441FE">
      <w:pPr>
        <w:rPr>
          <w:rFonts w:ascii="Arial" w:hAnsi="Arial" w:cs="Arial"/>
        </w:rPr>
      </w:pPr>
    </w:p>
    <w:p w14:paraId="7D3B8920" w14:textId="77777777" w:rsidR="00B217D7" w:rsidRPr="001441FE" w:rsidRDefault="00B217D7" w:rsidP="00B217D7">
      <w:pPr>
        <w:pStyle w:val="Heading2"/>
        <w:rPr>
          <w:rFonts w:ascii="Arial" w:hAnsi="Arial" w:cs="Arial"/>
          <w:color w:val="auto"/>
          <w:sz w:val="24"/>
          <w:szCs w:val="24"/>
        </w:rPr>
      </w:pPr>
      <w:bookmarkStart w:id="3" w:name="_Toc161738523"/>
      <w:r w:rsidRPr="001441FE">
        <w:rPr>
          <w:rFonts w:ascii="Arial" w:hAnsi="Arial" w:cs="Arial"/>
        </w:rPr>
        <w:t>Why overhead lines are preferred</w:t>
      </w:r>
      <w:bookmarkEnd w:id="3"/>
      <w:r w:rsidRPr="001441FE">
        <w:rPr>
          <w:rFonts w:ascii="Arial" w:hAnsi="Arial" w:cs="Arial"/>
        </w:rPr>
        <w:t xml:space="preserve"> </w:t>
      </w:r>
    </w:p>
    <w:p w14:paraId="71BB07F2" w14:textId="77777777" w:rsidR="001441FE" w:rsidRDefault="00B217D7" w:rsidP="00B217D7">
      <w:pPr>
        <w:rPr>
          <w:rFonts w:ascii="Arial" w:hAnsi="Arial" w:cs="Arial"/>
        </w:rPr>
      </w:pPr>
      <w:r w:rsidRPr="001441FE">
        <w:rPr>
          <w:rFonts w:ascii="Arial" w:hAnsi="Arial" w:cs="Arial"/>
        </w:rPr>
        <w:t xml:space="preserve">VicGrid’s assessment of technical options considered multiple overhead and underground technical options and balanced complex and competing technical, social, environmental and heritage factors. </w:t>
      </w:r>
    </w:p>
    <w:p w14:paraId="122E412F" w14:textId="77777777" w:rsidR="001441FE" w:rsidRDefault="001441FE" w:rsidP="00B217D7">
      <w:pPr>
        <w:rPr>
          <w:rFonts w:ascii="Arial" w:hAnsi="Arial" w:cs="Arial"/>
        </w:rPr>
      </w:pPr>
    </w:p>
    <w:p w14:paraId="56321E0A" w14:textId="4DF02E55" w:rsidR="00B217D7" w:rsidRPr="001441FE" w:rsidRDefault="00B217D7" w:rsidP="00B217D7">
      <w:pPr>
        <w:rPr>
          <w:rFonts w:ascii="Arial" w:hAnsi="Arial" w:cs="Arial"/>
        </w:rPr>
      </w:pPr>
      <w:r w:rsidRPr="001441FE">
        <w:rPr>
          <w:rFonts w:ascii="Arial" w:hAnsi="Arial" w:cs="Arial"/>
        </w:rPr>
        <w:t>The assessment showed that</w:t>
      </w:r>
      <w:r w:rsidR="001441FE">
        <w:rPr>
          <w:rFonts w:ascii="Arial" w:hAnsi="Arial" w:cs="Arial"/>
        </w:rPr>
        <w:t xml:space="preserve"> </w:t>
      </w:r>
      <w:r w:rsidRPr="001441FE">
        <w:rPr>
          <w:rFonts w:ascii="Arial" w:hAnsi="Arial" w:cs="Arial"/>
        </w:rPr>
        <w:t xml:space="preserve">AC 330 kV and 500 kV overhead options scored the highest overall, due to lower cost impacts to energy consumers, lower engineering complexities and proven performance for long-distance large-scale energy transport. </w:t>
      </w:r>
    </w:p>
    <w:p w14:paraId="49BEEE2E" w14:textId="77777777" w:rsidR="001441FE" w:rsidRDefault="001441FE" w:rsidP="00B217D7">
      <w:pPr>
        <w:rPr>
          <w:rFonts w:ascii="Arial" w:hAnsi="Arial" w:cs="Arial"/>
        </w:rPr>
      </w:pPr>
    </w:p>
    <w:p w14:paraId="23DF0A88" w14:textId="1387546F" w:rsidR="00B217D7" w:rsidRDefault="00B217D7" w:rsidP="00B217D7">
      <w:pPr>
        <w:rPr>
          <w:rFonts w:ascii="Arial" w:hAnsi="Arial" w:cs="Arial"/>
        </w:rPr>
      </w:pPr>
      <w:r w:rsidRPr="001441FE">
        <w:rPr>
          <w:rFonts w:ascii="Arial" w:hAnsi="Arial" w:cs="Arial"/>
        </w:rPr>
        <w:t>For the first 2 GW offshore wind energy target, the preferred HVAC overhead options are estimated</w:t>
      </w:r>
      <w:r w:rsidR="001441FE">
        <w:rPr>
          <w:rFonts w:ascii="Arial" w:hAnsi="Arial" w:cs="Arial"/>
        </w:rPr>
        <w:t xml:space="preserve"> </w:t>
      </w:r>
      <w:r w:rsidRPr="001441FE">
        <w:rPr>
          <w:rFonts w:ascii="Arial" w:hAnsi="Arial" w:cs="Arial"/>
        </w:rPr>
        <w:t>to cost between approximately</w:t>
      </w:r>
      <w:r w:rsidR="001441FE">
        <w:rPr>
          <w:rFonts w:ascii="Arial" w:hAnsi="Arial" w:cs="Arial"/>
        </w:rPr>
        <w:t xml:space="preserve"> </w:t>
      </w:r>
      <w:r w:rsidRPr="001441FE">
        <w:rPr>
          <w:rFonts w:ascii="Arial" w:hAnsi="Arial" w:cs="Arial"/>
        </w:rPr>
        <w:t xml:space="preserve">$700 million and $1.5 billion, compared </w:t>
      </w:r>
      <w:r w:rsidRPr="001441FE">
        <w:rPr>
          <w:rFonts w:ascii="Arial" w:hAnsi="Arial" w:cs="Arial"/>
        </w:rPr>
        <w:lastRenderedPageBreak/>
        <w:t xml:space="preserve">with between approximately $2 billion and $4.5 billion for the HVDC underground option. </w:t>
      </w:r>
    </w:p>
    <w:p w14:paraId="6CF0B7DD" w14:textId="77777777" w:rsidR="001441FE" w:rsidRPr="001441FE" w:rsidRDefault="001441FE" w:rsidP="00B217D7">
      <w:pPr>
        <w:rPr>
          <w:rFonts w:ascii="Arial" w:hAnsi="Arial" w:cs="Arial"/>
        </w:rPr>
      </w:pPr>
    </w:p>
    <w:p w14:paraId="75744C5D" w14:textId="77777777" w:rsidR="00B217D7" w:rsidRPr="001441FE" w:rsidRDefault="00B217D7" w:rsidP="00B217D7">
      <w:pPr>
        <w:pStyle w:val="Heading2"/>
        <w:rPr>
          <w:rFonts w:ascii="Arial" w:hAnsi="Arial" w:cs="Arial"/>
        </w:rPr>
      </w:pPr>
      <w:bookmarkStart w:id="4" w:name="_Toc161738524"/>
      <w:r w:rsidRPr="001441FE">
        <w:rPr>
          <w:rFonts w:ascii="Arial" w:hAnsi="Arial" w:cs="Arial"/>
        </w:rPr>
        <w:t>Working with communities to refine the transmission option</w:t>
      </w:r>
      <w:bookmarkEnd w:id="4"/>
      <w:r w:rsidRPr="001441FE">
        <w:rPr>
          <w:rFonts w:ascii="Arial" w:hAnsi="Arial" w:cs="Arial"/>
        </w:rPr>
        <w:t xml:space="preserve"> </w:t>
      </w:r>
    </w:p>
    <w:p w14:paraId="09A28672" w14:textId="77777777" w:rsidR="00B217D7" w:rsidRPr="001441FE" w:rsidRDefault="00B217D7" w:rsidP="00B217D7">
      <w:pPr>
        <w:rPr>
          <w:rFonts w:ascii="Arial" w:hAnsi="Arial" w:cs="Arial"/>
        </w:rPr>
      </w:pPr>
      <w:r w:rsidRPr="001441FE">
        <w:rPr>
          <w:rFonts w:ascii="Arial" w:hAnsi="Arial" w:cs="Arial"/>
        </w:rPr>
        <w:t xml:space="preserve">Further engagement and in-depth investigations are now needed to inform the decision about where the new transmission should go. </w:t>
      </w:r>
    </w:p>
    <w:p w14:paraId="3305D420" w14:textId="77777777" w:rsidR="00B217D7" w:rsidRPr="001441FE" w:rsidRDefault="00B217D7" w:rsidP="00B217D7">
      <w:pPr>
        <w:rPr>
          <w:rFonts w:ascii="Arial" w:hAnsi="Arial" w:cs="Arial"/>
        </w:rPr>
      </w:pPr>
    </w:p>
    <w:p w14:paraId="6A39837A" w14:textId="2B75A4D9" w:rsidR="00B217D7" w:rsidRPr="001441FE" w:rsidRDefault="00B217D7" w:rsidP="00B217D7">
      <w:pPr>
        <w:rPr>
          <w:rFonts w:ascii="Arial" w:hAnsi="Arial" w:cs="Arial"/>
        </w:rPr>
      </w:pPr>
      <w:r w:rsidRPr="001441FE">
        <w:rPr>
          <w:rFonts w:ascii="Arial" w:hAnsi="Arial" w:cs="Arial"/>
        </w:rPr>
        <w:t xml:space="preserve">VicGrid will talk with landholders, farmers and residents of nearby townships to better understand their needs, their properties and activities like agricultural practices with the aim of improving the project and minimising impacts as much as possible. </w:t>
      </w:r>
    </w:p>
    <w:p w14:paraId="4CB20605" w14:textId="77777777" w:rsidR="00B217D7" w:rsidRPr="001441FE" w:rsidRDefault="00B217D7" w:rsidP="00B217D7">
      <w:pPr>
        <w:rPr>
          <w:rFonts w:ascii="Arial" w:hAnsi="Arial" w:cs="Arial"/>
        </w:rPr>
      </w:pPr>
    </w:p>
    <w:p w14:paraId="3B75DA6E" w14:textId="77777777" w:rsidR="00B217D7" w:rsidRDefault="00B217D7" w:rsidP="00B217D7">
      <w:pPr>
        <w:rPr>
          <w:rFonts w:ascii="Arial" w:hAnsi="Arial" w:cs="Arial"/>
        </w:rPr>
      </w:pPr>
      <w:r w:rsidRPr="001441FE">
        <w:rPr>
          <w:rFonts w:ascii="Arial" w:hAnsi="Arial" w:cs="Arial"/>
        </w:rPr>
        <w:t xml:space="preserve">The Study Area needs further discussion with the Traditional Owner Corporation, Gunaikurnai Land and Waters Aboriginal Corporation (GLaWAC) on ways to avoid and minimise potential impacts to cultural heritage and values. VicGrid will continue working to build a partnership with GLaWAC. </w:t>
      </w:r>
    </w:p>
    <w:p w14:paraId="1853117E" w14:textId="77777777" w:rsidR="001441FE" w:rsidRPr="001441FE" w:rsidRDefault="001441FE" w:rsidP="00B217D7">
      <w:pPr>
        <w:rPr>
          <w:rFonts w:ascii="Arial" w:hAnsi="Arial" w:cs="Arial"/>
        </w:rPr>
      </w:pPr>
    </w:p>
    <w:p w14:paraId="4F2062EE" w14:textId="77777777" w:rsidR="0070580E" w:rsidRPr="001441FE" w:rsidRDefault="00B217D7" w:rsidP="0070580E">
      <w:pPr>
        <w:pStyle w:val="Heading2"/>
        <w:rPr>
          <w:rFonts w:ascii="Arial" w:hAnsi="Arial" w:cs="Arial"/>
        </w:rPr>
      </w:pPr>
      <w:bookmarkStart w:id="5" w:name="_Toc161738525"/>
      <w:r w:rsidRPr="001441FE">
        <w:rPr>
          <w:rFonts w:ascii="Arial" w:eastAsia="Times New Roman" w:hAnsi="Arial" w:cs="Arial"/>
          <w:lang w:eastAsia="en-GB"/>
        </w:rPr>
        <w:t>Next steps for working with communities to refine</w:t>
      </w:r>
      <w:r w:rsidRPr="001441FE">
        <w:rPr>
          <w:rFonts w:ascii="Arial" w:eastAsia="Times New Roman" w:hAnsi="Arial" w:cs="Arial"/>
          <w:lang w:eastAsia="en-GB"/>
        </w:rPr>
        <w:br/>
        <w:t>the Study Area and confirm the transmission location</w:t>
      </w:r>
      <w:bookmarkEnd w:id="5"/>
      <w:r w:rsidRPr="001441FE">
        <w:rPr>
          <w:rFonts w:ascii="Arial" w:eastAsia="Times New Roman" w:hAnsi="Arial" w:cs="Arial"/>
          <w:lang w:eastAsia="en-GB"/>
        </w:rPr>
        <w:t xml:space="preserve"> </w:t>
      </w:r>
    </w:p>
    <w:p w14:paraId="417A640F" w14:textId="4021443C" w:rsidR="001441FE" w:rsidRPr="001441FE" w:rsidRDefault="001441FE" w:rsidP="001441FE">
      <w:pPr>
        <w:rPr>
          <w:rFonts w:ascii="Arial" w:hAnsi="Arial" w:cs="Arial"/>
          <w:color w:val="212121"/>
        </w:rPr>
      </w:pPr>
      <w:r w:rsidRPr="001441FE">
        <w:rPr>
          <w:rFonts w:ascii="Arial" w:hAnsi="Arial" w:cs="Arial"/>
        </w:rPr>
        <w:t>2024 - 2027: In depth engagement and environment assessments and approvals.</w:t>
      </w:r>
    </w:p>
    <w:p w14:paraId="0F5D6D11" w14:textId="2B757092" w:rsidR="001441FE" w:rsidRPr="001441FE" w:rsidRDefault="001441FE" w:rsidP="001441FE">
      <w:pPr>
        <w:rPr>
          <w:rFonts w:ascii="Arial" w:hAnsi="Arial" w:cs="Arial"/>
          <w:color w:val="212121"/>
        </w:rPr>
      </w:pPr>
      <w:r w:rsidRPr="001441FE">
        <w:rPr>
          <w:rFonts w:ascii="Arial" w:hAnsi="Arial" w:cs="Arial"/>
        </w:rPr>
        <w:t>2027 - 2030: Delivery and commissioning.</w:t>
      </w:r>
    </w:p>
    <w:p w14:paraId="0E2DE1F2" w14:textId="536C487C" w:rsidR="001441FE" w:rsidRPr="001441FE" w:rsidRDefault="001441FE" w:rsidP="001441FE">
      <w:pPr>
        <w:rPr>
          <w:rFonts w:ascii="Arial" w:hAnsi="Arial" w:cs="Arial"/>
          <w:color w:val="212121"/>
        </w:rPr>
      </w:pPr>
      <w:r w:rsidRPr="001441FE">
        <w:rPr>
          <w:rFonts w:ascii="Arial" w:hAnsi="Arial" w:cs="Arial"/>
        </w:rPr>
        <w:t>2024: Refine Study Area to identify preferred corridor.</w:t>
      </w:r>
    </w:p>
    <w:p w14:paraId="1141C04E" w14:textId="7C25A6C4" w:rsidR="001441FE" w:rsidRPr="001441FE" w:rsidRDefault="001441FE" w:rsidP="001441FE">
      <w:pPr>
        <w:rPr>
          <w:rFonts w:ascii="Arial" w:hAnsi="Arial" w:cs="Arial"/>
          <w:color w:val="212121"/>
        </w:rPr>
      </w:pPr>
      <w:r w:rsidRPr="001441FE">
        <w:rPr>
          <w:rFonts w:ascii="Arial" w:hAnsi="Arial" w:cs="Arial"/>
        </w:rPr>
        <w:t>2025: Refine corridor to identify preferred route.</w:t>
      </w:r>
    </w:p>
    <w:p w14:paraId="227B3D70" w14:textId="4B7BB8B8" w:rsidR="001441FE" w:rsidRPr="001441FE" w:rsidRDefault="001441FE" w:rsidP="001441FE">
      <w:pPr>
        <w:rPr>
          <w:rFonts w:ascii="Arial" w:hAnsi="Arial" w:cs="Arial"/>
          <w:color w:val="212121"/>
        </w:rPr>
      </w:pPr>
      <w:r w:rsidRPr="001441FE">
        <w:rPr>
          <w:rFonts w:ascii="Arial" w:hAnsi="Arial" w:cs="Arial"/>
        </w:rPr>
        <w:t>2026 - 2027: Refine route to confirm transmission easement.</w:t>
      </w:r>
    </w:p>
    <w:p w14:paraId="6CF0C801" w14:textId="646A4D13" w:rsidR="001441FE" w:rsidRPr="001441FE" w:rsidRDefault="001441FE" w:rsidP="001441FE">
      <w:pPr>
        <w:rPr>
          <w:rFonts w:ascii="Arial" w:hAnsi="Arial" w:cs="Arial"/>
        </w:rPr>
      </w:pPr>
      <w:r w:rsidRPr="001441FE">
        <w:rPr>
          <w:rFonts w:ascii="Arial" w:hAnsi="Arial" w:cs="Arial"/>
        </w:rPr>
        <w:t>2027 - 2030: Construction of new transmission ready for at least 2 GW by 2032 offshore wind target.</w:t>
      </w:r>
    </w:p>
    <w:p w14:paraId="2983D6F7" w14:textId="10BA0B61" w:rsidR="001441FE" w:rsidRPr="001441FE" w:rsidRDefault="001441FE" w:rsidP="001441FE">
      <w:pPr>
        <w:rPr>
          <w:rFonts w:ascii="Arial" w:hAnsi="Arial" w:cs="Arial"/>
        </w:rPr>
      </w:pPr>
      <w:r w:rsidRPr="001441FE">
        <w:rPr>
          <w:rFonts w:ascii="Arial" w:hAnsi="Arial" w:cs="Arial"/>
        </w:rPr>
        <w:t>2024 - 2027: Direct discussions with landholders. On-the-ground environment and heritage studies. Major planning and environment assessments and community submissions to independent panel.</w:t>
      </w:r>
    </w:p>
    <w:p w14:paraId="2031E714" w14:textId="5D1BB0C3" w:rsidR="001441FE" w:rsidRPr="001441FE" w:rsidRDefault="001441FE" w:rsidP="001441FE">
      <w:pPr>
        <w:rPr>
          <w:rFonts w:ascii="Arial" w:hAnsi="Arial" w:cs="Arial"/>
        </w:rPr>
      </w:pPr>
      <w:r w:rsidRPr="001441FE">
        <w:rPr>
          <w:rFonts w:ascii="Arial" w:hAnsi="Arial" w:cs="Arial"/>
        </w:rPr>
        <w:t>2027 - 2030: Finalise delivery plan in accordance with planning and environment approvals.</w:t>
      </w:r>
    </w:p>
    <w:p w14:paraId="3D9B04D7" w14:textId="79D05EBA" w:rsidR="001441FE" w:rsidRPr="001441FE" w:rsidRDefault="001441FE" w:rsidP="001441FE">
      <w:pPr>
        <w:rPr>
          <w:rFonts w:ascii="Arial" w:hAnsi="Arial" w:cs="Arial"/>
        </w:rPr>
      </w:pPr>
      <w:r w:rsidRPr="001441FE">
        <w:rPr>
          <w:rFonts w:ascii="Arial" w:hAnsi="Arial" w:cs="Arial"/>
        </w:rPr>
        <w:t>2024 - 2027: Understanding land use, agriculture and business operations. Engagement with public land managers and businesses. Coordination with offshore wind developers. Design of transmission infrastructure and connection hubs.</w:t>
      </w:r>
    </w:p>
    <w:p w14:paraId="255F9737" w14:textId="00AC6C56" w:rsidR="001441FE" w:rsidRPr="001441FE" w:rsidRDefault="001441FE" w:rsidP="001441FE">
      <w:pPr>
        <w:rPr>
          <w:rFonts w:ascii="Arial" w:hAnsi="Arial" w:cs="Arial"/>
        </w:rPr>
      </w:pPr>
      <w:r w:rsidRPr="001441FE">
        <w:rPr>
          <w:rFonts w:ascii="Arial" w:hAnsi="Arial" w:cs="Arial"/>
        </w:rPr>
        <w:t>2027 - 2030: Mobilise construction partner. Construction supported by ongoing engagement. Ready to connect offshore wind projects.</w:t>
      </w:r>
    </w:p>
    <w:p w14:paraId="247BE98C" w14:textId="24BBB42D" w:rsidR="001441FE" w:rsidRPr="001441FE" w:rsidRDefault="001441FE" w:rsidP="001441FE">
      <w:pPr>
        <w:rPr>
          <w:rFonts w:ascii="Arial" w:hAnsi="Arial" w:cs="Arial"/>
        </w:rPr>
      </w:pPr>
      <w:r w:rsidRPr="001441FE">
        <w:rPr>
          <w:rFonts w:ascii="Arial" w:hAnsi="Arial" w:cs="Arial"/>
        </w:rPr>
        <w:t>2024 - 2027: Community and landholder engagement. Traditional Owner/First Peoples engagement and partnership approach</w:t>
      </w:r>
    </w:p>
    <w:p w14:paraId="2415ACCA" w14:textId="357AB93E" w:rsidR="001441FE" w:rsidRPr="001441FE" w:rsidRDefault="001441FE" w:rsidP="001441FE">
      <w:pPr>
        <w:pStyle w:val="elementtoproof"/>
        <w:spacing w:before="0" w:beforeAutospacing="0" w:after="0" w:afterAutospacing="0"/>
        <w:rPr>
          <w:rFonts w:ascii="Arial" w:hAnsi="Arial" w:cs="Arial"/>
          <w:color w:val="212121"/>
        </w:rPr>
      </w:pPr>
    </w:p>
    <w:p w14:paraId="16727F67" w14:textId="6D5FDF28" w:rsidR="00B217D7" w:rsidRPr="001441FE" w:rsidRDefault="00B217D7" w:rsidP="002E0727">
      <w:pPr>
        <w:pStyle w:val="Heading1"/>
      </w:pPr>
      <w:bookmarkStart w:id="6" w:name="_Toc161738526"/>
      <w:r w:rsidRPr="001441FE">
        <w:t>Contact us</w:t>
      </w:r>
      <w:bookmarkEnd w:id="6"/>
      <w:r w:rsidRPr="001441FE">
        <w:t xml:space="preserve"> </w:t>
      </w:r>
    </w:p>
    <w:p w14:paraId="418E62BE" w14:textId="77777777" w:rsidR="00B217D7" w:rsidRPr="001441FE" w:rsidRDefault="00B217D7" w:rsidP="00B217D7">
      <w:pPr>
        <w:rPr>
          <w:rFonts w:ascii="Arial" w:hAnsi="Arial" w:cs="Arial"/>
        </w:rPr>
      </w:pPr>
      <w:r w:rsidRPr="001441FE">
        <w:rPr>
          <w:rFonts w:ascii="Arial" w:hAnsi="Arial" w:cs="Arial"/>
        </w:rPr>
        <w:t>Phone: 1800 418 341</w:t>
      </w:r>
      <w:r w:rsidRPr="001441FE">
        <w:rPr>
          <w:rFonts w:ascii="Arial" w:hAnsi="Arial" w:cs="Arial"/>
        </w:rPr>
        <w:br/>
        <w:t xml:space="preserve">Email: vicgrid@deeca.vic.gov.au </w:t>
      </w:r>
    </w:p>
    <w:p w14:paraId="0E6EE213" w14:textId="77777777" w:rsidR="00B217D7" w:rsidRPr="001441FE" w:rsidRDefault="00B217D7" w:rsidP="00B217D7">
      <w:pPr>
        <w:rPr>
          <w:rFonts w:ascii="Arial" w:hAnsi="Arial" w:cs="Arial"/>
        </w:rPr>
      </w:pPr>
      <w:r w:rsidRPr="001441FE">
        <w:rPr>
          <w:rFonts w:ascii="Arial" w:hAnsi="Arial" w:cs="Arial"/>
        </w:rPr>
        <w:t xml:space="preserve">Deaf, hearing or speech impaired? Please contact the National Relay Service on 133 677 or communications.gov.au/accesshub/nrs </w:t>
      </w:r>
    </w:p>
    <w:p w14:paraId="4EE3BE94" w14:textId="77777777" w:rsidR="00B217D7" w:rsidRPr="001441FE" w:rsidRDefault="00B217D7" w:rsidP="00B217D7">
      <w:pPr>
        <w:rPr>
          <w:rFonts w:ascii="Arial" w:hAnsi="Arial" w:cs="Arial"/>
        </w:rPr>
      </w:pPr>
      <w:r w:rsidRPr="001441FE">
        <w:rPr>
          <w:rFonts w:ascii="Arial" w:hAnsi="Arial" w:cs="Arial"/>
        </w:rPr>
        <w:t xml:space="preserve">Need an interpreter? Contact Translating and Interpreting Service (TIS) on 131 450 (within Australia) or visit www.tisnational.gov.au </w:t>
      </w:r>
    </w:p>
    <w:p w14:paraId="12131F24" w14:textId="77777777" w:rsidR="00B217D7" w:rsidRPr="001441FE" w:rsidRDefault="00B217D7" w:rsidP="00B217D7">
      <w:pPr>
        <w:rPr>
          <w:rFonts w:ascii="Arial" w:hAnsi="Arial" w:cs="Arial"/>
        </w:rPr>
      </w:pPr>
      <w:r w:rsidRPr="001441FE">
        <w:rPr>
          <w:rFonts w:ascii="Arial" w:hAnsi="Arial" w:cs="Arial"/>
        </w:rPr>
        <w:lastRenderedPageBreak/>
        <w:t>ISBN 978-1-76136-626-0 (Print)</w:t>
      </w:r>
      <w:r w:rsidRPr="001441FE">
        <w:rPr>
          <w:rFonts w:ascii="Arial" w:hAnsi="Arial" w:cs="Arial"/>
        </w:rPr>
        <w:br/>
        <w:t xml:space="preserve">ISBN 978-1-76136-627-7 (pdf/online/MS word) </w:t>
      </w:r>
    </w:p>
    <w:p w14:paraId="029E66B9" w14:textId="77777777" w:rsidR="00B217D7" w:rsidRPr="001441FE" w:rsidRDefault="00B217D7" w:rsidP="00B217D7">
      <w:pPr>
        <w:rPr>
          <w:rFonts w:ascii="Arial" w:hAnsi="Arial" w:cs="Arial"/>
        </w:rPr>
      </w:pPr>
      <w:r w:rsidRPr="001441FE">
        <w:rPr>
          <w:rFonts w:ascii="Arial" w:hAnsi="Arial" w:cs="Arial"/>
        </w:rPr>
        <w:t>Disclaimer: It should be noted that this information</w:t>
      </w:r>
      <w:r w:rsidRPr="001441FE">
        <w:rPr>
          <w:rFonts w:ascii="Arial" w:hAnsi="Arial" w:cs="Arial"/>
        </w:rPr>
        <w:br/>
        <w:t>is current at the time of printing. However due to unforeseen circumstances changes may occur.</w:t>
      </w:r>
      <w:r w:rsidRPr="001441FE">
        <w:rPr>
          <w:rFonts w:ascii="Arial" w:hAnsi="Arial" w:cs="Arial"/>
        </w:rPr>
        <w:br/>
        <w:t xml:space="preserve">Please visit vicgrid.vic.gov.au for the latest updates. </w:t>
      </w:r>
    </w:p>
    <w:p w14:paraId="3614C5CB" w14:textId="77777777" w:rsidR="00F13B66" w:rsidRPr="00B217D7" w:rsidRDefault="00F13B66">
      <w:pPr>
        <w:rPr>
          <w:rFonts w:ascii="Arial" w:hAnsi="Arial" w:cs="Arial"/>
        </w:rPr>
      </w:pPr>
    </w:p>
    <w:sectPr w:rsidR="00F13B66" w:rsidRPr="00B21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97A06"/>
    <w:multiLevelType w:val="hybridMultilevel"/>
    <w:tmpl w:val="25B2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9D176B"/>
    <w:multiLevelType w:val="multilevel"/>
    <w:tmpl w:val="25EE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0469188">
    <w:abstractNumId w:val="1"/>
  </w:num>
  <w:num w:numId="2" w16cid:durableId="1250238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D7"/>
    <w:rsid w:val="001441FE"/>
    <w:rsid w:val="001D65CC"/>
    <w:rsid w:val="002E0727"/>
    <w:rsid w:val="005A3B31"/>
    <w:rsid w:val="006B6D24"/>
    <w:rsid w:val="0070580E"/>
    <w:rsid w:val="007D0006"/>
    <w:rsid w:val="00836538"/>
    <w:rsid w:val="00B217D7"/>
    <w:rsid w:val="00F13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B405"/>
  <w15:chartTrackingRefBased/>
  <w15:docId w15:val="{1316C28B-A2CC-C645-9B41-8F3C2666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17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217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217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17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17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17D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17D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17D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17D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7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217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B217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17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17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17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17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17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17D7"/>
    <w:rPr>
      <w:rFonts w:eastAsiaTheme="majorEastAsia" w:cstheme="majorBidi"/>
      <w:color w:val="272727" w:themeColor="text1" w:themeTint="D8"/>
    </w:rPr>
  </w:style>
  <w:style w:type="paragraph" w:styleId="Title">
    <w:name w:val="Title"/>
    <w:basedOn w:val="Normal"/>
    <w:next w:val="Normal"/>
    <w:link w:val="TitleChar"/>
    <w:uiPriority w:val="10"/>
    <w:qFormat/>
    <w:rsid w:val="00B217D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17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17D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17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17D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217D7"/>
    <w:rPr>
      <w:i/>
      <w:iCs/>
      <w:color w:val="404040" w:themeColor="text1" w:themeTint="BF"/>
    </w:rPr>
  </w:style>
  <w:style w:type="paragraph" w:styleId="ListParagraph">
    <w:name w:val="List Paragraph"/>
    <w:basedOn w:val="Normal"/>
    <w:uiPriority w:val="34"/>
    <w:qFormat/>
    <w:rsid w:val="00B217D7"/>
    <w:pPr>
      <w:ind w:left="720"/>
      <w:contextualSpacing/>
    </w:pPr>
  </w:style>
  <w:style w:type="character" w:styleId="IntenseEmphasis">
    <w:name w:val="Intense Emphasis"/>
    <w:basedOn w:val="DefaultParagraphFont"/>
    <w:uiPriority w:val="21"/>
    <w:qFormat/>
    <w:rsid w:val="00B217D7"/>
    <w:rPr>
      <w:i/>
      <w:iCs/>
      <w:color w:val="0F4761" w:themeColor="accent1" w:themeShade="BF"/>
    </w:rPr>
  </w:style>
  <w:style w:type="paragraph" w:styleId="IntenseQuote">
    <w:name w:val="Intense Quote"/>
    <w:basedOn w:val="Normal"/>
    <w:next w:val="Normal"/>
    <w:link w:val="IntenseQuoteChar"/>
    <w:uiPriority w:val="30"/>
    <w:qFormat/>
    <w:rsid w:val="00B217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17D7"/>
    <w:rPr>
      <w:i/>
      <w:iCs/>
      <w:color w:val="0F4761" w:themeColor="accent1" w:themeShade="BF"/>
    </w:rPr>
  </w:style>
  <w:style w:type="character" w:styleId="IntenseReference">
    <w:name w:val="Intense Reference"/>
    <w:basedOn w:val="DefaultParagraphFont"/>
    <w:uiPriority w:val="32"/>
    <w:qFormat/>
    <w:rsid w:val="00B217D7"/>
    <w:rPr>
      <w:b/>
      <w:bCs/>
      <w:smallCaps/>
      <w:color w:val="0F4761" w:themeColor="accent1" w:themeShade="BF"/>
      <w:spacing w:val="5"/>
    </w:rPr>
  </w:style>
  <w:style w:type="paragraph" w:styleId="NormalWeb">
    <w:name w:val="Normal (Web)"/>
    <w:basedOn w:val="Normal"/>
    <w:uiPriority w:val="99"/>
    <w:semiHidden/>
    <w:unhideWhenUsed/>
    <w:rsid w:val="00B217D7"/>
    <w:pPr>
      <w:spacing w:before="100" w:beforeAutospacing="1" w:after="100" w:afterAutospacing="1"/>
    </w:pPr>
    <w:rPr>
      <w:rFonts w:ascii="Times New Roman" w:eastAsia="Times New Roman" w:hAnsi="Times New Roman" w:cs="Times New Roman"/>
      <w:kern w:val="0"/>
      <w:lang w:eastAsia="en-GB"/>
      <w14:ligatures w14:val="none"/>
    </w:rPr>
  </w:style>
  <w:style w:type="paragraph" w:styleId="TOCHeading">
    <w:name w:val="TOC Heading"/>
    <w:basedOn w:val="Heading1"/>
    <w:next w:val="Normal"/>
    <w:uiPriority w:val="39"/>
    <w:unhideWhenUsed/>
    <w:qFormat/>
    <w:rsid w:val="0070580E"/>
    <w:pPr>
      <w:spacing w:before="480" w:after="0" w:line="276" w:lineRule="auto"/>
      <w:outlineLvl w:val="9"/>
    </w:pPr>
    <w:rPr>
      <w:b/>
      <w:bCs/>
      <w:kern w:val="0"/>
      <w:sz w:val="28"/>
      <w:szCs w:val="28"/>
      <w:lang w:val="en-US"/>
      <w14:ligatures w14:val="none"/>
    </w:rPr>
  </w:style>
  <w:style w:type="paragraph" w:styleId="TOC3">
    <w:name w:val="toc 3"/>
    <w:basedOn w:val="Normal"/>
    <w:next w:val="Normal"/>
    <w:autoRedefine/>
    <w:uiPriority w:val="39"/>
    <w:unhideWhenUsed/>
    <w:rsid w:val="0070580E"/>
    <w:pPr>
      <w:ind w:left="480"/>
    </w:pPr>
    <w:rPr>
      <w:sz w:val="20"/>
      <w:szCs w:val="20"/>
    </w:rPr>
  </w:style>
  <w:style w:type="paragraph" w:styleId="TOC1">
    <w:name w:val="toc 1"/>
    <w:basedOn w:val="Normal"/>
    <w:next w:val="Normal"/>
    <w:autoRedefine/>
    <w:uiPriority w:val="39"/>
    <w:unhideWhenUsed/>
    <w:rsid w:val="0070580E"/>
    <w:pPr>
      <w:spacing w:before="120"/>
    </w:pPr>
    <w:rPr>
      <w:b/>
      <w:bCs/>
      <w:i/>
      <w:iCs/>
    </w:rPr>
  </w:style>
  <w:style w:type="paragraph" w:styleId="TOC2">
    <w:name w:val="toc 2"/>
    <w:basedOn w:val="Normal"/>
    <w:next w:val="Normal"/>
    <w:autoRedefine/>
    <w:uiPriority w:val="39"/>
    <w:unhideWhenUsed/>
    <w:rsid w:val="0070580E"/>
    <w:pPr>
      <w:spacing w:before="120"/>
      <w:ind w:left="240"/>
    </w:pPr>
    <w:rPr>
      <w:b/>
      <w:bCs/>
      <w:sz w:val="22"/>
      <w:szCs w:val="22"/>
    </w:rPr>
  </w:style>
  <w:style w:type="character" w:styleId="Hyperlink">
    <w:name w:val="Hyperlink"/>
    <w:basedOn w:val="DefaultParagraphFont"/>
    <w:uiPriority w:val="99"/>
    <w:unhideWhenUsed/>
    <w:rsid w:val="0070580E"/>
    <w:rPr>
      <w:color w:val="467886" w:themeColor="hyperlink"/>
      <w:u w:val="single"/>
    </w:rPr>
  </w:style>
  <w:style w:type="paragraph" w:styleId="TOC4">
    <w:name w:val="toc 4"/>
    <w:basedOn w:val="Normal"/>
    <w:next w:val="Normal"/>
    <w:autoRedefine/>
    <w:uiPriority w:val="39"/>
    <w:semiHidden/>
    <w:unhideWhenUsed/>
    <w:rsid w:val="0070580E"/>
    <w:pPr>
      <w:ind w:left="720"/>
    </w:pPr>
    <w:rPr>
      <w:sz w:val="20"/>
      <w:szCs w:val="20"/>
    </w:rPr>
  </w:style>
  <w:style w:type="paragraph" w:styleId="TOC5">
    <w:name w:val="toc 5"/>
    <w:basedOn w:val="Normal"/>
    <w:next w:val="Normal"/>
    <w:autoRedefine/>
    <w:uiPriority w:val="39"/>
    <w:semiHidden/>
    <w:unhideWhenUsed/>
    <w:rsid w:val="0070580E"/>
    <w:pPr>
      <w:ind w:left="960"/>
    </w:pPr>
    <w:rPr>
      <w:sz w:val="20"/>
      <w:szCs w:val="20"/>
    </w:rPr>
  </w:style>
  <w:style w:type="paragraph" w:styleId="TOC6">
    <w:name w:val="toc 6"/>
    <w:basedOn w:val="Normal"/>
    <w:next w:val="Normal"/>
    <w:autoRedefine/>
    <w:uiPriority w:val="39"/>
    <w:semiHidden/>
    <w:unhideWhenUsed/>
    <w:rsid w:val="0070580E"/>
    <w:pPr>
      <w:ind w:left="1200"/>
    </w:pPr>
    <w:rPr>
      <w:sz w:val="20"/>
      <w:szCs w:val="20"/>
    </w:rPr>
  </w:style>
  <w:style w:type="paragraph" w:styleId="TOC7">
    <w:name w:val="toc 7"/>
    <w:basedOn w:val="Normal"/>
    <w:next w:val="Normal"/>
    <w:autoRedefine/>
    <w:uiPriority w:val="39"/>
    <w:semiHidden/>
    <w:unhideWhenUsed/>
    <w:rsid w:val="0070580E"/>
    <w:pPr>
      <w:ind w:left="1440"/>
    </w:pPr>
    <w:rPr>
      <w:sz w:val="20"/>
      <w:szCs w:val="20"/>
    </w:rPr>
  </w:style>
  <w:style w:type="paragraph" w:styleId="TOC8">
    <w:name w:val="toc 8"/>
    <w:basedOn w:val="Normal"/>
    <w:next w:val="Normal"/>
    <w:autoRedefine/>
    <w:uiPriority w:val="39"/>
    <w:semiHidden/>
    <w:unhideWhenUsed/>
    <w:rsid w:val="0070580E"/>
    <w:pPr>
      <w:ind w:left="1680"/>
    </w:pPr>
    <w:rPr>
      <w:sz w:val="20"/>
      <w:szCs w:val="20"/>
    </w:rPr>
  </w:style>
  <w:style w:type="paragraph" w:styleId="TOC9">
    <w:name w:val="toc 9"/>
    <w:basedOn w:val="Normal"/>
    <w:next w:val="Normal"/>
    <w:autoRedefine/>
    <w:uiPriority w:val="39"/>
    <w:semiHidden/>
    <w:unhideWhenUsed/>
    <w:rsid w:val="0070580E"/>
    <w:pPr>
      <w:ind w:left="1920"/>
    </w:pPr>
    <w:rPr>
      <w:sz w:val="20"/>
      <w:szCs w:val="20"/>
    </w:rPr>
  </w:style>
  <w:style w:type="table" w:styleId="TableGrid">
    <w:name w:val="Table Grid"/>
    <w:basedOn w:val="TableNormal"/>
    <w:uiPriority w:val="39"/>
    <w:rsid w:val="00705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toproof">
    <w:name w:val="elementtoproof"/>
    <w:basedOn w:val="Normal"/>
    <w:rsid w:val="001441FE"/>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aragraph">
    <w:name w:val="paragraph"/>
    <w:basedOn w:val="Normal"/>
    <w:rsid w:val="007D0006"/>
    <w:pPr>
      <w:spacing w:before="100" w:beforeAutospacing="1" w:after="100" w:afterAutospacing="1"/>
    </w:pPr>
    <w:rPr>
      <w:rFonts w:ascii="Times New Roman" w:eastAsia="Times New Roman" w:hAnsi="Times New Roman" w:cs="Times New Roman"/>
      <w:kern w:val="0"/>
      <w:lang w:eastAsia="en-AU"/>
      <w14:ligatures w14:val="none"/>
    </w:rPr>
  </w:style>
  <w:style w:type="character" w:customStyle="1" w:styleId="normaltextrun">
    <w:name w:val="normaltextrun"/>
    <w:basedOn w:val="DefaultParagraphFont"/>
    <w:rsid w:val="007D0006"/>
  </w:style>
  <w:style w:type="character" w:customStyle="1" w:styleId="eop">
    <w:name w:val="eop"/>
    <w:basedOn w:val="DefaultParagraphFont"/>
    <w:rsid w:val="007D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482">
      <w:bodyDiv w:val="1"/>
      <w:marLeft w:val="0"/>
      <w:marRight w:val="0"/>
      <w:marTop w:val="0"/>
      <w:marBottom w:val="0"/>
      <w:divBdr>
        <w:top w:val="none" w:sz="0" w:space="0" w:color="auto"/>
        <w:left w:val="none" w:sz="0" w:space="0" w:color="auto"/>
        <w:bottom w:val="none" w:sz="0" w:space="0" w:color="auto"/>
        <w:right w:val="none" w:sz="0" w:space="0" w:color="auto"/>
      </w:divBdr>
      <w:divsChild>
        <w:div w:id="335235587">
          <w:marLeft w:val="0"/>
          <w:marRight w:val="0"/>
          <w:marTop w:val="0"/>
          <w:marBottom w:val="0"/>
          <w:divBdr>
            <w:top w:val="none" w:sz="0" w:space="0" w:color="auto"/>
            <w:left w:val="none" w:sz="0" w:space="0" w:color="auto"/>
            <w:bottom w:val="none" w:sz="0" w:space="0" w:color="auto"/>
            <w:right w:val="none" w:sz="0" w:space="0" w:color="auto"/>
          </w:divBdr>
          <w:divsChild>
            <w:div w:id="1503155597">
              <w:marLeft w:val="0"/>
              <w:marRight w:val="0"/>
              <w:marTop w:val="0"/>
              <w:marBottom w:val="0"/>
              <w:divBdr>
                <w:top w:val="none" w:sz="0" w:space="0" w:color="auto"/>
                <w:left w:val="none" w:sz="0" w:space="0" w:color="auto"/>
                <w:bottom w:val="none" w:sz="0" w:space="0" w:color="auto"/>
                <w:right w:val="none" w:sz="0" w:space="0" w:color="auto"/>
              </w:divBdr>
              <w:divsChild>
                <w:div w:id="1831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6617">
      <w:bodyDiv w:val="1"/>
      <w:marLeft w:val="0"/>
      <w:marRight w:val="0"/>
      <w:marTop w:val="0"/>
      <w:marBottom w:val="0"/>
      <w:divBdr>
        <w:top w:val="none" w:sz="0" w:space="0" w:color="auto"/>
        <w:left w:val="none" w:sz="0" w:space="0" w:color="auto"/>
        <w:bottom w:val="none" w:sz="0" w:space="0" w:color="auto"/>
        <w:right w:val="none" w:sz="0" w:space="0" w:color="auto"/>
      </w:divBdr>
      <w:divsChild>
        <w:div w:id="1720978730">
          <w:marLeft w:val="0"/>
          <w:marRight w:val="0"/>
          <w:marTop w:val="0"/>
          <w:marBottom w:val="0"/>
          <w:divBdr>
            <w:top w:val="none" w:sz="0" w:space="0" w:color="auto"/>
            <w:left w:val="none" w:sz="0" w:space="0" w:color="auto"/>
            <w:bottom w:val="none" w:sz="0" w:space="0" w:color="auto"/>
            <w:right w:val="none" w:sz="0" w:space="0" w:color="auto"/>
          </w:divBdr>
          <w:divsChild>
            <w:div w:id="1249653479">
              <w:marLeft w:val="0"/>
              <w:marRight w:val="0"/>
              <w:marTop w:val="0"/>
              <w:marBottom w:val="0"/>
              <w:divBdr>
                <w:top w:val="none" w:sz="0" w:space="0" w:color="auto"/>
                <w:left w:val="none" w:sz="0" w:space="0" w:color="auto"/>
                <w:bottom w:val="none" w:sz="0" w:space="0" w:color="auto"/>
                <w:right w:val="none" w:sz="0" w:space="0" w:color="auto"/>
              </w:divBdr>
              <w:divsChild>
                <w:div w:id="1112015707">
                  <w:marLeft w:val="0"/>
                  <w:marRight w:val="0"/>
                  <w:marTop w:val="0"/>
                  <w:marBottom w:val="0"/>
                  <w:divBdr>
                    <w:top w:val="none" w:sz="0" w:space="0" w:color="auto"/>
                    <w:left w:val="none" w:sz="0" w:space="0" w:color="auto"/>
                    <w:bottom w:val="none" w:sz="0" w:space="0" w:color="auto"/>
                    <w:right w:val="none" w:sz="0" w:space="0" w:color="auto"/>
                  </w:divBdr>
                  <w:divsChild>
                    <w:div w:id="19966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645">
      <w:bodyDiv w:val="1"/>
      <w:marLeft w:val="0"/>
      <w:marRight w:val="0"/>
      <w:marTop w:val="0"/>
      <w:marBottom w:val="0"/>
      <w:divBdr>
        <w:top w:val="none" w:sz="0" w:space="0" w:color="auto"/>
        <w:left w:val="none" w:sz="0" w:space="0" w:color="auto"/>
        <w:bottom w:val="none" w:sz="0" w:space="0" w:color="auto"/>
        <w:right w:val="none" w:sz="0" w:space="0" w:color="auto"/>
      </w:divBdr>
      <w:divsChild>
        <w:div w:id="1570340606">
          <w:marLeft w:val="0"/>
          <w:marRight w:val="0"/>
          <w:marTop w:val="0"/>
          <w:marBottom w:val="0"/>
          <w:divBdr>
            <w:top w:val="none" w:sz="0" w:space="0" w:color="auto"/>
            <w:left w:val="none" w:sz="0" w:space="0" w:color="auto"/>
            <w:bottom w:val="none" w:sz="0" w:space="0" w:color="auto"/>
            <w:right w:val="none" w:sz="0" w:space="0" w:color="auto"/>
          </w:divBdr>
          <w:divsChild>
            <w:div w:id="769932925">
              <w:marLeft w:val="0"/>
              <w:marRight w:val="0"/>
              <w:marTop w:val="0"/>
              <w:marBottom w:val="0"/>
              <w:divBdr>
                <w:top w:val="none" w:sz="0" w:space="0" w:color="auto"/>
                <w:left w:val="none" w:sz="0" w:space="0" w:color="auto"/>
                <w:bottom w:val="none" w:sz="0" w:space="0" w:color="auto"/>
                <w:right w:val="none" w:sz="0" w:space="0" w:color="auto"/>
              </w:divBdr>
              <w:divsChild>
                <w:div w:id="1058092461">
                  <w:marLeft w:val="0"/>
                  <w:marRight w:val="0"/>
                  <w:marTop w:val="0"/>
                  <w:marBottom w:val="0"/>
                  <w:divBdr>
                    <w:top w:val="none" w:sz="0" w:space="0" w:color="auto"/>
                    <w:left w:val="none" w:sz="0" w:space="0" w:color="auto"/>
                    <w:bottom w:val="none" w:sz="0" w:space="0" w:color="auto"/>
                    <w:right w:val="none" w:sz="0" w:space="0" w:color="auto"/>
                  </w:divBdr>
                </w:div>
                <w:div w:id="11653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32029">
      <w:bodyDiv w:val="1"/>
      <w:marLeft w:val="0"/>
      <w:marRight w:val="0"/>
      <w:marTop w:val="0"/>
      <w:marBottom w:val="0"/>
      <w:divBdr>
        <w:top w:val="none" w:sz="0" w:space="0" w:color="auto"/>
        <w:left w:val="none" w:sz="0" w:space="0" w:color="auto"/>
        <w:bottom w:val="none" w:sz="0" w:space="0" w:color="auto"/>
        <w:right w:val="none" w:sz="0" w:space="0" w:color="auto"/>
      </w:divBdr>
      <w:divsChild>
        <w:div w:id="755126795">
          <w:marLeft w:val="0"/>
          <w:marRight w:val="0"/>
          <w:marTop w:val="0"/>
          <w:marBottom w:val="0"/>
          <w:divBdr>
            <w:top w:val="none" w:sz="0" w:space="0" w:color="auto"/>
            <w:left w:val="none" w:sz="0" w:space="0" w:color="auto"/>
            <w:bottom w:val="none" w:sz="0" w:space="0" w:color="auto"/>
            <w:right w:val="none" w:sz="0" w:space="0" w:color="auto"/>
          </w:divBdr>
          <w:divsChild>
            <w:div w:id="938875750">
              <w:marLeft w:val="0"/>
              <w:marRight w:val="0"/>
              <w:marTop w:val="0"/>
              <w:marBottom w:val="0"/>
              <w:divBdr>
                <w:top w:val="none" w:sz="0" w:space="0" w:color="auto"/>
                <w:left w:val="none" w:sz="0" w:space="0" w:color="auto"/>
                <w:bottom w:val="none" w:sz="0" w:space="0" w:color="auto"/>
                <w:right w:val="none" w:sz="0" w:space="0" w:color="auto"/>
              </w:divBdr>
              <w:divsChild>
                <w:div w:id="1025713446">
                  <w:marLeft w:val="0"/>
                  <w:marRight w:val="0"/>
                  <w:marTop w:val="0"/>
                  <w:marBottom w:val="0"/>
                  <w:divBdr>
                    <w:top w:val="none" w:sz="0" w:space="0" w:color="auto"/>
                    <w:left w:val="none" w:sz="0" w:space="0" w:color="auto"/>
                    <w:bottom w:val="none" w:sz="0" w:space="0" w:color="auto"/>
                    <w:right w:val="none" w:sz="0" w:space="0" w:color="auto"/>
                  </w:divBdr>
                  <w:divsChild>
                    <w:div w:id="10716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17578">
      <w:bodyDiv w:val="1"/>
      <w:marLeft w:val="0"/>
      <w:marRight w:val="0"/>
      <w:marTop w:val="0"/>
      <w:marBottom w:val="0"/>
      <w:divBdr>
        <w:top w:val="none" w:sz="0" w:space="0" w:color="auto"/>
        <w:left w:val="none" w:sz="0" w:space="0" w:color="auto"/>
        <w:bottom w:val="none" w:sz="0" w:space="0" w:color="auto"/>
        <w:right w:val="none" w:sz="0" w:space="0" w:color="auto"/>
      </w:divBdr>
      <w:divsChild>
        <w:div w:id="1534730253">
          <w:marLeft w:val="0"/>
          <w:marRight w:val="0"/>
          <w:marTop w:val="0"/>
          <w:marBottom w:val="0"/>
          <w:divBdr>
            <w:top w:val="none" w:sz="0" w:space="0" w:color="auto"/>
            <w:left w:val="none" w:sz="0" w:space="0" w:color="auto"/>
            <w:bottom w:val="none" w:sz="0" w:space="0" w:color="auto"/>
            <w:right w:val="none" w:sz="0" w:space="0" w:color="auto"/>
          </w:divBdr>
          <w:divsChild>
            <w:div w:id="926185209">
              <w:marLeft w:val="0"/>
              <w:marRight w:val="0"/>
              <w:marTop w:val="0"/>
              <w:marBottom w:val="0"/>
              <w:divBdr>
                <w:top w:val="none" w:sz="0" w:space="0" w:color="auto"/>
                <w:left w:val="none" w:sz="0" w:space="0" w:color="auto"/>
                <w:bottom w:val="none" w:sz="0" w:space="0" w:color="auto"/>
                <w:right w:val="none" w:sz="0" w:space="0" w:color="auto"/>
              </w:divBdr>
              <w:divsChild>
                <w:div w:id="2138335955">
                  <w:marLeft w:val="0"/>
                  <w:marRight w:val="0"/>
                  <w:marTop w:val="0"/>
                  <w:marBottom w:val="0"/>
                  <w:divBdr>
                    <w:top w:val="none" w:sz="0" w:space="0" w:color="auto"/>
                    <w:left w:val="none" w:sz="0" w:space="0" w:color="auto"/>
                    <w:bottom w:val="none" w:sz="0" w:space="0" w:color="auto"/>
                    <w:right w:val="none" w:sz="0" w:space="0" w:color="auto"/>
                  </w:divBdr>
                  <w:divsChild>
                    <w:div w:id="18593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731">
      <w:bodyDiv w:val="1"/>
      <w:marLeft w:val="0"/>
      <w:marRight w:val="0"/>
      <w:marTop w:val="0"/>
      <w:marBottom w:val="0"/>
      <w:divBdr>
        <w:top w:val="none" w:sz="0" w:space="0" w:color="auto"/>
        <w:left w:val="none" w:sz="0" w:space="0" w:color="auto"/>
        <w:bottom w:val="none" w:sz="0" w:space="0" w:color="auto"/>
        <w:right w:val="none" w:sz="0" w:space="0" w:color="auto"/>
      </w:divBdr>
      <w:divsChild>
        <w:div w:id="1031152237">
          <w:marLeft w:val="0"/>
          <w:marRight w:val="0"/>
          <w:marTop w:val="0"/>
          <w:marBottom w:val="0"/>
          <w:divBdr>
            <w:top w:val="none" w:sz="0" w:space="0" w:color="auto"/>
            <w:left w:val="none" w:sz="0" w:space="0" w:color="auto"/>
            <w:bottom w:val="none" w:sz="0" w:space="0" w:color="auto"/>
            <w:right w:val="none" w:sz="0" w:space="0" w:color="auto"/>
          </w:divBdr>
        </w:div>
        <w:div w:id="906916633">
          <w:marLeft w:val="0"/>
          <w:marRight w:val="0"/>
          <w:marTop w:val="0"/>
          <w:marBottom w:val="0"/>
          <w:divBdr>
            <w:top w:val="none" w:sz="0" w:space="0" w:color="auto"/>
            <w:left w:val="none" w:sz="0" w:space="0" w:color="auto"/>
            <w:bottom w:val="none" w:sz="0" w:space="0" w:color="auto"/>
            <w:right w:val="none" w:sz="0" w:space="0" w:color="auto"/>
          </w:divBdr>
        </w:div>
      </w:divsChild>
    </w:div>
    <w:div w:id="962688462">
      <w:bodyDiv w:val="1"/>
      <w:marLeft w:val="0"/>
      <w:marRight w:val="0"/>
      <w:marTop w:val="0"/>
      <w:marBottom w:val="0"/>
      <w:divBdr>
        <w:top w:val="none" w:sz="0" w:space="0" w:color="auto"/>
        <w:left w:val="none" w:sz="0" w:space="0" w:color="auto"/>
        <w:bottom w:val="none" w:sz="0" w:space="0" w:color="auto"/>
        <w:right w:val="none" w:sz="0" w:space="0" w:color="auto"/>
      </w:divBdr>
      <w:divsChild>
        <w:div w:id="110849994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0"/>
              <w:divBdr>
                <w:top w:val="none" w:sz="0" w:space="0" w:color="auto"/>
                <w:left w:val="none" w:sz="0" w:space="0" w:color="auto"/>
                <w:bottom w:val="none" w:sz="0" w:space="0" w:color="auto"/>
                <w:right w:val="none" w:sz="0" w:space="0" w:color="auto"/>
              </w:divBdr>
              <w:divsChild>
                <w:div w:id="345594390">
                  <w:marLeft w:val="0"/>
                  <w:marRight w:val="0"/>
                  <w:marTop w:val="0"/>
                  <w:marBottom w:val="0"/>
                  <w:divBdr>
                    <w:top w:val="none" w:sz="0" w:space="0" w:color="auto"/>
                    <w:left w:val="none" w:sz="0" w:space="0" w:color="auto"/>
                    <w:bottom w:val="none" w:sz="0" w:space="0" w:color="auto"/>
                    <w:right w:val="none" w:sz="0" w:space="0" w:color="auto"/>
                  </w:divBdr>
                </w:div>
              </w:divsChild>
            </w:div>
            <w:div w:id="1370375576">
              <w:marLeft w:val="0"/>
              <w:marRight w:val="0"/>
              <w:marTop w:val="0"/>
              <w:marBottom w:val="0"/>
              <w:divBdr>
                <w:top w:val="none" w:sz="0" w:space="0" w:color="auto"/>
                <w:left w:val="none" w:sz="0" w:space="0" w:color="auto"/>
                <w:bottom w:val="none" w:sz="0" w:space="0" w:color="auto"/>
                <w:right w:val="none" w:sz="0" w:space="0" w:color="auto"/>
              </w:divBdr>
              <w:divsChild>
                <w:div w:id="167015898">
                  <w:marLeft w:val="0"/>
                  <w:marRight w:val="0"/>
                  <w:marTop w:val="0"/>
                  <w:marBottom w:val="0"/>
                  <w:divBdr>
                    <w:top w:val="none" w:sz="0" w:space="0" w:color="auto"/>
                    <w:left w:val="none" w:sz="0" w:space="0" w:color="auto"/>
                    <w:bottom w:val="none" w:sz="0" w:space="0" w:color="auto"/>
                    <w:right w:val="none" w:sz="0" w:space="0" w:color="auto"/>
                  </w:divBdr>
                </w:div>
              </w:divsChild>
            </w:div>
            <w:div w:id="81223118">
              <w:marLeft w:val="0"/>
              <w:marRight w:val="0"/>
              <w:marTop w:val="0"/>
              <w:marBottom w:val="0"/>
              <w:divBdr>
                <w:top w:val="none" w:sz="0" w:space="0" w:color="auto"/>
                <w:left w:val="none" w:sz="0" w:space="0" w:color="auto"/>
                <w:bottom w:val="none" w:sz="0" w:space="0" w:color="auto"/>
                <w:right w:val="none" w:sz="0" w:space="0" w:color="auto"/>
              </w:divBdr>
              <w:divsChild>
                <w:div w:id="2062821896">
                  <w:marLeft w:val="0"/>
                  <w:marRight w:val="0"/>
                  <w:marTop w:val="0"/>
                  <w:marBottom w:val="0"/>
                  <w:divBdr>
                    <w:top w:val="none" w:sz="0" w:space="0" w:color="auto"/>
                    <w:left w:val="none" w:sz="0" w:space="0" w:color="auto"/>
                    <w:bottom w:val="none" w:sz="0" w:space="0" w:color="auto"/>
                    <w:right w:val="none" w:sz="0" w:space="0" w:color="auto"/>
                  </w:divBdr>
                </w:div>
              </w:divsChild>
            </w:div>
            <w:div w:id="1212578763">
              <w:marLeft w:val="0"/>
              <w:marRight w:val="0"/>
              <w:marTop w:val="0"/>
              <w:marBottom w:val="0"/>
              <w:divBdr>
                <w:top w:val="none" w:sz="0" w:space="0" w:color="auto"/>
                <w:left w:val="none" w:sz="0" w:space="0" w:color="auto"/>
                <w:bottom w:val="none" w:sz="0" w:space="0" w:color="auto"/>
                <w:right w:val="none" w:sz="0" w:space="0" w:color="auto"/>
              </w:divBdr>
              <w:divsChild>
                <w:div w:id="1461024965">
                  <w:marLeft w:val="0"/>
                  <w:marRight w:val="0"/>
                  <w:marTop w:val="0"/>
                  <w:marBottom w:val="0"/>
                  <w:divBdr>
                    <w:top w:val="none" w:sz="0" w:space="0" w:color="auto"/>
                    <w:left w:val="none" w:sz="0" w:space="0" w:color="auto"/>
                    <w:bottom w:val="none" w:sz="0" w:space="0" w:color="auto"/>
                    <w:right w:val="none" w:sz="0" w:space="0" w:color="auto"/>
                  </w:divBdr>
                </w:div>
              </w:divsChild>
            </w:div>
            <w:div w:id="1234966560">
              <w:marLeft w:val="0"/>
              <w:marRight w:val="0"/>
              <w:marTop w:val="0"/>
              <w:marBottom w:val="0"/>
              <w:divBdr>
                <w:top w:val="none" w:sz="0" w:space="0" w:color="auto"/>
                <w:left w:val="none" w:sz="0" w:space="0" w:color="auto"/>
                <w:bottom w:val="none" w:sz="0" w:space="0" w:color="auto"/>
                <w:right w:val="none" w:sz="0" w:space="0" w:color="auto"/>
              </w:divBdr>
              <w:divsChild>
                <w:div w:id="1163397159">
                  <w:marLeft w:val="0"/>
                  <w:marRight w:val="0"/>
                  <w:marTop w:val="0"/>
                  <w:marBottom w:val="0"/>
                  <w:divBdr>
                    <w:top w:val="none" w:sz="0" w:space="0" w:color="auto"/>
                    <w:left w:val="none" w:sz="0" w:space="0" w:color="auto"/>
                    <w:bottom w:val="none" w:sz="0" w:space="0" w:color="auto"/>
                    <w:right w:val="none" w:sz="0" w:space="0" w:color="auto"/>
                  </w:divBdr>
                </w:div>
              </w:divsChild>
            </w:div>
            <w:div w:id="10036976">
              <w:marLeft w:val="0"/>
              <w:marRight w:val="0"/>
              <w:marTop w:val="0"/>
              <w:marBottom w:val="0"/>
              <w:divBdr>
                <w:top w:val="none" w:sz="0" w:space="0" w:color="auto"/>
                <w:left w:val="none" w:sz="0" w:space="0" w:color="auto"/>
                <w:bottom w:val="none" w:sz="0" w:space="0" w:color="auto"/>
                <w:right w:val="none" w:sz="0" w:space="0" w:color="auto"/>
              </w:divBdr>
              <w:divsChild>
                <w:div w:id="174805715">
                  <w:marLeft w:val="0"/>
                  <w:marRight w:val="0"/>
                  <w:marTop w:val="0"/>
                  <w:marBottom w:val="0"/>
                  <w:divBdr>
                    <w:top w:val="none" w:sz="0" w:space="0" w:color="auto"/>
                    <w:left w:val="none" w:sz="0" w:space="0" w:color="auto"/>
                    <w:bottom w:val="none" w:sz="0" w:space="0" w:color="auto"/>
                    <w:right w:val="none" w:sz="0" w:space="0" w:color="auto"/>
                  </w:divBdr>
                </w:div>
              </w:divsChild>
            </w:div>
            <w:div w:id="1328099052">
              <w:marLeft w:val="0"/>
              <w:marRight w:val="0"/>
              <w:marTop w:val="0"/>
              <w:marBottom w:val="0"/>
              <w:divBdr>
                <w:top w:val="none" w:sz="0" w:space="0" w:color="auto"/>
                <w:left w:val="none" w:sz="0" w:space="0" w:color="auto"/>
                <w:bottom w:val="none" w:sz="0" w:space="0" w:color="auto"/>
                <w:right w:val="none" w:sz="0" w:space="0" w:color="auto"/>
              </w:divBdr>
              <w:divsChild>
                <w:div w:id="1640763732">
                  <w:marLeft w:val="0"/>
                  <w:marRight w:val="0"/>
                  <w:marTop w:val="0"/>
                  <w:marBottom w:val="0"/>
                  <w:divBdr>
                    <w:top w:val="none" w:sz="0" w:space="0" w:color="auto"/>
                    <w:left w:val="none" w:sz="0" w:space="0" w:color="auto"/>
                    <w:bottom w:val="none" w:sz="0" w:space="0" w:color="auto"/>
                    <w:right w:val="none" w:sz="0" w:space="0" w:color="auto"/>
                  </w:divBdr>
                </w:div>
              </w:divsChild>
            </w:div>
            <w:div w:id="1308319474">
              <w:marLeft w:val="0"/>
              <w:marRight w:val="0"/>
              <w:marTop w:val="0"/>
              <w:marBottom w:val="0"/>
              <w:divBdr>
                <w:top w:val="none" w:sz="0" w:space="0" w:color="auto"/>
                <w:left w:val="none" w:sz="0" w:space="0" w:color="auto"/>
                <w:bottom w:val="none" w:sz="0" w:space="0" w:color="auto"/>
                <w:right w:val="none" w:sz="0" w:space="0" w:color="auto"/>
              </w:divBdr>
              <w:divsChild>
                <w:div w:id="698045394">
                  <w:marLeft w:val="0"/>
                  <w:marRight w:val="0"/>
                  <w:marTop w:val="0"/>
                  <w:marBottom w:val="0"/>
                  <w:divBdr>
                    <w:top w:val="none" w:sz="0" w:space="0" w:color="auto"/>
                    <w:left w:val="none" w:sz="0" w:space="0" w:color="auto"/>
                    <w:bottom w:val="none" w:sz="0" w:space="0" w:color="auto"/>
                    <w:right w:val="none" w:sz="0" w:space="0" w:color="auto"/>
                  </w:divBdr>
                </w:div>
              </w:divsChild>
            </w:div>
            <w:div w:id="963346283">
              <w:marLeft w:val="0"/>
              <w:marRight w:val="0"/>
              <w:marTop w:val="0"/>
              <w:marBottom w:val="0"/>
              <w:divBdr>
                <w:top w:val="none" w:sz="0" w:space="0" w:color="auto"/>
                <w:left w:val="none" w:sz="0" w:space="0" w:color="auto"/>
                <w:bottom w:val="none" w:sz="0" w:space="0" w:color="auto"/>
                <w:right w:val="none" w:sz="0" w:space="0" w:color="auto"/>
              </w:divBdr>
              <w:divsChild>
                <w:div w:id="325788295">
                  <w:marLeft w:val="0"/>
                  <w:marRight w:val="0"/>
                  <w:marTop w:val="0"/>
                  <w:marBottom w:val="0"/>
                  <w:divBdr>
                    <w:top w:val="none" w:sz="0" w:space="0" w:color="auto"/>
                    <w:left w:val="none" w:sz="0" w:space="0" w:color="auto"/>
                    <w:bottom w:val="none" w:sz="0" w:space="0" w:color="auto"/>
                    <w:right w:val="none" w:sz="0" w:space="0" w:color="auto"/>
                  </w:divBdr>
                </w:div>
              </w:divsChild>
            </w:div>
            <w:div w:id="1821385915">
              <w:marLeft w:val="0"/>
              <w:marRight w:val="0"/>
              <w:marTop w:val="0"/>
              <w:marBottom w:val="0"/>
              <w:divBdr>
                <w:top w:val="none" w:sz="0" w:space="0" w:color="auto"/>
                <w:left w:val="none" w:sz="0" w:space="0" w:color="auto"/>
                <w:bottom w:val="none" w:sz="0" w:space="0" w:color="auto"/>
                <w:right w:val="none" w:sz="0" w:space="0" w:color="auto"/>
              </w:divBdr>
              <w:divsChild>
                <w:div w:id="1547057749">
                  <w:marLeft w:val="0"/>
                  <w:marRight w:val="0"/>
                  <w:marTop w:val="0"/>
                  <w:marBottom w:val="0"/>
                  <w:divBdr>
                    <w:top w:val="none" w:sz="0" w:space="0" w:color="auto"/>
                    <w:left w:val="none" w:sz="0" w:space="0" w:color="auto"/>
                    <w:bottom w:val="none" w:sz="0" w:space="0" w:color="auto"/>
                    <w:right w:val="none" w:sz="0" w:space="0" w:color="auto"/>
                  </w:divBdr>
                </w:div>
              </w:divsChild>
            </w:div>
            <w:div w:id="960183695">
              <w:marLeft w:val="0"/>
              <w:marRight w:val="0"/>
              <w:marTop w:val="0"/>
              <w:marBottom w:val="0"/>
              <w:divBdr>
                <w:top w:val="none" w:sz="0" w:space="0" w:color="auto"/>
                <w:left w:val="none" w:sz="0" w:space="0" w:color="auto"/>
                <w:bottom w:val="none" w:sz="0" w:space="0" w:color="auto"/>
                <w:right w:val="none" w:sz="0" w:space="0" w:color="auto"/>
              </w:divBdr>
              <w:divsChild>
                <w:div w:id="783352980">
                  <w:marLeft w:val="0"/>
                  <w:marRight w:val="0"/>
                  <w:marTop w:val="0"/>
                  <w:marBottom w:val="0"/>
                  <w:divBdr>
                    <w:top w:val="none" w:sz="0" w:space="0" w:color="auto"/>
                    <w:left w:val="none" w:sz="0" w:space="0" w:color="auto"/>
                    <w:bottom w:val="none" w:sz="0" w:space="0" w:color="auto"/>
                    <w:right w:val="none" w:sz="0" w:space="0" w:color="auto"/>
                  </w:divBdr>
                </w:div>
              </w:divsChild>
            </w:div>
            <w:div w:id="1380786570">
              <w:marLeft w:val="0"/>
              <w:marRight w:val="0"/>
              <w:marTop w:val="0"/>
              <w:marBottom w:val="0"/>
              <w:divBdr>
                <w:top w:val="none" w:sz="0" w:space="0" w:color="auto"/>
                <w:left w:val="none" w:sz="0" w:space="0" w:color="auto"/>
                <w:bottom w:val="none" w:sz="0" w:space="0" w:color="auto"/>
                <w:right w:val="none" w:sz="0" w:space="0" w:color="auto"/>
              </w:divBdr>
              <w:divsChild>
                <w:div w:id="570774976">
                  <w:marLeft w:val="0"/>
                  <w:marRight w:val="0"/>
                  <w:marTop w:val="0"/>
                  <w:marBottom w:val="0"/>
                  <w:divBdr>
                    <w:top w:val="none" w:sz="0" w:space="0" w:color="auto"/>
                    <w:left w:val="none" w:sz="0" w:space="0" w:color="auto"/>
                    <w:bottom w:val="none" w:sz="0" w:space="0" w:color="auto"/>
                    <w:right w:val="none" w:sz="0" w:space="0" w:color="auto"/>
                  </w:divBdr>
                </w:div>
              </w:divsChild>
            </w:div>
            <w:div w:id="546600843">
              <w:marLeft w:val="0"/>
              <w:marRight w:val="0"/>
              <w:marTop w:val="0"/>
              <w:marBottom w:val="0"/>
              <w:divBdr>
                <w:top w:val="none" w:sz="0" w:space="0" w:color="auto"/>
                <w:left w:val="none" w:sz="0" w:space="0" w:color="auto"/>
                <w:bottom w:val="none" w:sz="0" w:space="0" w:color="auto"/>
                <w:right w:val="none" w:sz="0" w:space="0" w:color="auto"/>
              </w:divBdr>
              <w:divsChild>
                <w:div w:id="1007486163">
                  <w:marLeft w:val="0"/>
                  <w:marRight w:val="0"/>
                  <w:marTop w:val="0"/>
                  <w:marBottom w:val="0"/>
                  <w:divBdr>
                    <w:top w:val="none" w:sz="0" w:space="0" w:color="auto"/>
                    <w:left w:val="none" w:sz="0" w:space="0" w:color="auto"/>
                    <w:bottom w:val="none" w:sz="0" w:space="0" w:color="auto"/>
                    <w:right w:val="none" w:sz="0" w:space="0" w:color="auto"/>
                  </w:divBdr>
                </w:div>
              </w:divsChild>
            </w:div>
            <w:div w:id="1359425582">
              <w:marLeft w:val="0"/>
              <w:marRight w:val="0"/>
              <w:marTop w:val="0"/>
              <w:marBottom w:val="0"/>
              <w:divBdr>
                <w:top w:val="none" w:sz="0" w:space="0" w:color="auto"/>
                <w:left w:val="none" w:sz="0" w:space="0" w:color="auto"/>
                <w:bottom w:val="none" w:sz="0" w:space="0" w:color="auto"/>
                <w:right w:val="none" w:sz="0" w:space="0" w:color="auto"/>
              </w:divBdr>
              <w:divsChild>
                <w:div w:id="1225069621">
                  <w:marLeft w:val="0"/>
                  <w:marRight w:val="0"/>
                  <w:marTop w:val="0"/>
                  <w:marBottom w:val="0"/>
                  <w:divBdr>
                    <w:top w:val="none" w:sz="0" w:space="0" w:color="auto"/>
                    <w:left w:val="none" w:sz="0" w:space="0" w:color="auto"/>
                    <w:bottom w:val="none" w:sz="0" w:space="0" w:color="auto"/>
                    <w:right w:val="none" w:sz="0" w:space="0" w:color="auto"/>
                  </w:divBdr>
                </w:div>
              </w:divsChild>
            </w:div>
            <w:div w:id="112024868">
              <w:marLeft w:val="0"/>
              <w:marRight w:val="0"/>
              <w:marTop w:val="0"/>
              <w:marBottom w:val="0"/>
              <w:divBdr>
                <w:top w:val="none" w:sz="0" w:space="0" w:color="auto"/>
                <w:left w:val="none" w:sz="0" w:space="0" w:color="auto"/>
                <w:bottom w:val="none" w:sz="0" w:space="0" w:color="auto"/>
                <w:right w:val="none" w:sz="0" w:space="0" w:color="auto"/>
              </w:divBdr>
              <w:divsChild>
                <w:div w:id="8680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4080">
      <w:bodyDiv w:val="1"/>
      <w:marLeft w:val="0"/>
      <w:marRight w:val="0"/>
      <w:marTop w:val="0"/>
      <w:marBottom w:val="0"/>
      <w:divBdr>
        <w:top w:val="none" w:sz="0" w:space="0" w:color="auto"/>
        <w:left w:val="none" w:sz="0" w:space="0" w:color="auto"/>
        <w:bottom w:val="none" w:sz="0" w:space="0" w:color="auto"/>
        <w:right w:val="none" w:sz="0" w:space="0" w:color="auto"/>
      </w:divBdr>
      <w:divsChild>
        <w:div w:id="1073163453">
          <w:marLeft w:val="0"/>
          <w:marRight w:val="0"/>
          <w:marTop w:val="0"/>
          <w:marBottom w:val="0"/>
          <w:divBdr>
            <w:top w:val="none" w:sz="0" w:space="0" w:color="auto"/>
            <w:left w:val="none" w:sz="0" w:space="0" w:color="auto"/>
            <w:bottom w:val="none" w:sz="0" w:space="0" w:color="auto"/>
            <w:right w:val="none" w:sz="0" w:space="0" w:color="auto"/>
          </w:divBdr>
          <w:divsChild>
            <w:div w:id="1816289602">
              <w:marLeft w:val="0"/>
              <w:marRight w:val="0"/>
              <w:marTop w:val="0"/>
              <w:marBottom w:val="0"/>
              <w:divBdr>
                <w:top w:val="none" w:sz="0" w:space="0" w:color="auto"/>
                <w:left w:val="none" w:sz="0" w:space="0" w:color="auto"/>
                <w:bottom w:val="none" w:sz="0" w:space="0" w:color="auto"/>
                <w:right w:val="none" w:sz="0" w:space="0" w:color="auto"/>
              </w:divBdr>
              <w:divsChild>
                <w:div w:id="50033828">
                  <w:marLeft w:val="0"/>
                  <w:marRight w:val="0"/>
                  <w:marTop w:val="0"/>
                  <w:marBottom w:val="0"/>
                  <w:divBdr>
                    <w:top w:val="none" w:sz="0" w:space="0" w:color="auto"/>
                    <w:left w:val="none" w:sz="0" w:space="0" w:color="auto"/>
                    <w:bottom w:val="none" w:sz="0" w:space="0" w:color="auto"/>
                    <w:right w:val="none" w:sz="0" w:space="0" w:color="auto"/>
                  </w:divBdr>
                  <w:divsChild>
                    <w:div w:id="10306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28290">
      <w:bodyDiv w:val="1"/>
      <w:marLeft w:val="0"/>
      <w:marRight w:val="0"/>
      <w:marTop w:val="0"/>
      <w:marBottom w:val="0"/>
      <w:divBdr>
        <w:top w:val="none" w:sz="0" w:space="0" w:color="auto"/>
        <w:left w:val="none" w:sz="0" w:space="0" w:color="auto"/>
        <w:bottom w:val="none" w:sz="0" w:space="0" w:color="auto"/>
        <w:right w:val="none" w:sz="0" w:space="0" w:color="auto"/>
      </w:divBdr>
      <w:divsChild>
        <w:div w:id="1374774244">
          <w:marLeft w:val="0"/>
          <w:marRight w:val="0"/>
          <w:marTop w:val="0"/>
          <w:marBottom w:val="0"/>
          <w:divBdr>
            <w:top w:val="none" w:sz="0" w:space="0" w:color="auto"/>
            <w:left w:val="none" w:sz="0" w:space="0" w:color="auto"/>
            <w:bottom w:val="none" w:sz="0" w:space="0" w:color="auto"/>
            <w:right w:val="none" w:sz="0" w:space="0" w:color="auto"/>
          </w:divBdr>
          <w:divsChild>
            <w:div w:id="1402291033">
              <w:marLeft w:val="0"/>
              <w:marRight w:val="0"/>
              <w:marTop w:val="0"/>
              <w:marBottom w:val="0"/>
              <w:divBdr>
                <w:top w:val="none" w:sz="0" w:space="0" w:color="auto"/>
                <w:left w:val="none" w:sz="0" w:space="0" w:color="auto"/>
                <w:bottom w:val="none" w:sz="0" w:space="0" w:color="auto"/>
                <w:right w:val="none" w:sz="0" w:space="0" w:color="auto"/>
              </w:divBdr>
              <w:divsChild>
                <w:div w:id="1296834694">
                  <w:marLeft w:val="0"/>
                  <w:marRight w:val="0"/>
                  <w:marTop w:val="0"/>
                  <w:marBottom w:val="0"/>
                  <w:divBdr>
                    <w:top w:val="none" w:sz="0" w:space="0" w:color="auto"/>
                    <w:left w:val="none" w:sz="0" w:space="0" w:color="auto"/>
                    <w:bottom w:val="none" w:sz="0" w:space="0" w:color="auto"/>
                    <w:right w:val="none" w:sz="0" w:space="0" w:color="auto"/>
                  </w:divBdr>
                  <w:divsChild>
                    <w:div w:id="8674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04132">
      <w:bodyDiv w:val="1"/>
      <w:marLeft w:val="0"/>
      <w:marRight w:val="0"/>
      <w:marTop w:val="0"/>
      <w:marBottom w:val="0"/>
      <w:divBdr>
        <w:top w:val="none" w:sz="0" w:space="0" w:color="auto"/>
        <w:left w:val="none" w:sz="0" w:space="0" w:color="auto"/>
        <w:bottom w:val="none" w:sz="0" w:space="0" w:color="auto"/>
        <w:right w:val="none" w:sz="0" w:space="0" w:color="auto"/>
      </w:divBdr>
    </w:div>
    <w:div w:id="2072077153">
      <w:bodyDiv w:val="1"/>
      <w:marLeft w:val="0"/>
      <w:marRight w:val="0"/>
      <w:marTop w:val="0"/>
      <w:marBottom w:val="0"/>
      <w:divBdr>
        <w:top w:val="none" w:sz="0" w:space="0" w:color="auto"/>
        <w:left w:val="none" w:sz="0" w:space="0" w:color="auto"/>
        <w:bottom w:val="none" w:sz="0" w:space="0" w:color="auto"/>
        <w:right w:val="none" w:sz="0" w:space="0" w:color="auto"/>
      </w:divBdr>
      <w:divsChild>
        <w:div w:id="858815246">
          <w:marLeft w:val="0"/>
          <w:marRight w:val="0"/>
          <w:marTop w:val="0"/>
          <w:marBottom w:val="0"/>
          <w:divBdr>
            <w:top w:val="none" w:sz="0" w:space="0" w:color="auto"/>
            <w:left w:val="none" w:sz="0" w:space="0" w:color="auto"/>
            <w:bottom w:val="none" w:sz="0" w:space="0" w:color="auto"/>
            <w:right w:val="none" w:sz="0" w:space="0" w:color="auto"/>
          </w:divBdr>
          <w:divsChild>
            <w:div w:id="654990787">
              <w:marLeft w:val="0"/>
              <w:marRight w:val="0"/>
              <w:marTop w:val="0"/>
              <w:marBottom w:val="0"/>
              <w:divBdr>
                <w:top w:val="none" w:sz="0" w:space="0" w:color="auto"/>
                <w:left w:val="none" w:sz="0" w:space="0" w:color="auto"/>
                <w:bottom w:val="none" w:sz="0" w:space="0" w:color="auto"/>
                <w:right w:val="none" w:sz="0" w:space="0" w:color="auto"/>
              </w:divBdr>
              <w:divsChild>
                <w:div w:id="830408639">
                  <w:marLeft w:val="0"/>
                  <w:marRight w:val="0"/>
                  <w:marTop w:val="0"/>
                  <w:marBottom w:val="0"/>
                  <w:divBdr>
                    <w:top w:val="none" w:sz="0" w:space="0" w:color="auto"/>
                    <w:left w:val="none" w:sz="0" w:space="0" w:color="auto"/>
                    <w:bottom w:val="none" w:sz="0" w:space="0" w:color="auto"/>
                    <w:right w:val="none" w:sz="0" w:space="0" w:color="auto"/>
                  </w:divBdr>
                </w:div>
              </w:divsChild>
            </w:div>
            <w:div w:id="1596594863">
              <w:marLeft w:val="0"/>
              <w:marRight w:val="0"/>
              <w:marTop w:val="0"/>
              <w:marBottom w:val="0"/>
              <w:divBdr>
                <w:top w:val="none" w:sz="0" w:space="0" w:color="auto"/>
                <w:left w:val="none" w:sz="0" w:space="0" w:color="auto"/>
                <w:bottom w:val="none" w:sz="0" w:space="0" w:color="auto"/>
                <w:right w:val="none" w:sz="0" w:space="0" w:color="auto"/>
              </w:divBdr>
              <w:divsChild>
                <w:div w:id="790437597">
                  <w:marLeft w:val="0"/>
                  <w:marRight w:val="0"/>
                  <w:marTop w:val="0"/>
                  <w:marBottom w:val="0"/>
                  <w:divBdr>
                    <w:top w:val="none" w:sz="0" w:space="0" w:color="auto"/>
                    <w:left w:val="none" w:sz="0" w:space="0" w:color="auto"/>
                    <w:bottom w:val="none" w:sz="0" w:space="0" w:color="auto"/>
                    <w:right w:val="none" w:sz="0" w:space="0" w:color="auto"/>
                  </w:divBdr>
                </w:div>
                <w:div w:id="3664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399">
      <w:bodyDiv w:val="1"/>
      <w:marLeft w:val="0"/>
      <w:marRight w:val="0"/>
      <w:marTop w:val="0"/>
      <w:marBottom w:val="0"/>
      <w:divBdr>
        <w:top w:val="none" w:sz="0" w:space="0" w:color="auto"/>
        <w:left w:val="none" w:sz="0" w:space="0" w:color="auto"/>
        <w:bottom w:val="none" w:sz="0" w:space="0" w:color="auto"/>
        <w:right w:val="none" w:sz="0" w:space="0" w:color="auto"/>
      </w:divBdr>
      <w:divsChild>
        <w:div w:id="1115834696">
          <w:marLeft w:val="0"/>
          <w:marRight w:val="0"/>
          <w:marTop w:val="0"/>
          <w:marBottom w:val="0"/>
          <w:divBdr>
            <w:top w:val="none" w:sz="0" w:space="0" w:color="auto"/>
            <w:left w:val="none" w:sz="0" w:space="0" w:color="auto"/>
            <w:bottom w:val="none" w:sz="0" w:space="0" w:color="auto"/>
            <w:right w:val="none" w:sz="0" w:space="0" w:color="auto"/>
          </w:divBdr>
          <w:divsChild>
            <w:div w:id="1422873587">
              <w:marLeft w:val="0"/>
              <w:marRight w:val="0"/>
              <w:marTop w:val="0"/>
              <w:marBottom w:val="0"/>
              <w:divBdr>
                <w:top w:val="none" w:sz="0" w:space="0" w:color="auto"/>
                <w:left w:val="none" w:sz="0" w:space="0" w:color="auto"/>
                <w:bottom w:val="none" w:sz="0" w:space="0" w:color="auto"/>
                <w:right w:val="none" w:sz="0" w:space="0" w:color="auto"/>
              </w:divBdr>
              <w:divsChild>
                <w:div w:id="1812163931">
                  <w:marLeft w:val="0"/>
                  <w:marRight w:val="0"/>
                  <w:marTop w:val="0"/>
                  <w:marBottom w:val="0"/>
                  <w:divBdr>
                    <w:top w:val="none" w:sz="0" w:space="0" w:color="auto"/>
                    <w:left w:val="none" w:sz="0" w:space="0" w:color="auto"/>
                    <w:bottom w:val="none" w:sz="0" w:space="0" w:color="auto"/>
                    <w:right w:val="none" w:sz="0" w:space="0" w:color="auto"/>
                  </w:divBdr>
                  <w:divsChild>
                    <w:div w:id="4730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39B262FBAB6E4AA54E55E727720686" ma:contentTypeVersion="22" ma:contentTypeDescription="Create a new document." ma:contentTypeScope="" ma:versionID="4c7eb0010a702656f7da4f6c55107adb">
  <xsd:schema xmlns:xsd="http://www.w3.org/2001/XMLSchema" xmlns:xs="http://www.w3.org/2001/XMLSchema" xmlns:p="http://schemas.microsoft.com/office/2006/metadata/properties" xmlns:ns2="a5f32de4-e402-4188-b034-e71ca7d22e54" xmlns:ns3="c4fc8f4c-6b48-4469-acca-7c51cca0fee9" xmlns:ns4="e88f13cc-f44e-4e32-a909-e552224feb76" targetNamespace="http://schemas.microsoft.com/office/2006/metadata/properties" ma:root="true" ma:fieldsID="e16d416e48bee3d27af0c9d45fe7179a" ns2:_="" ns3:_="" ns4:_="">
    <xsd:import namespace="a5f32de4-e402-4188-b034-e71ca7d22e54"/>
    <xsd:import namespace="c4fc8f4c-6b48-4469-acca-7c51cca0fee9"/>
    <xsd:import namespace="e88f13cc-f44e-4e32-a909-e552224feb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3:MediaServiceObjectDetectorVersions" minOccurs="0"/>
                <xsd:element ref="ns3:Notes" minOccurs="0"/>
                <xsd:element ref="ns3:Notes0"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fc8f4c-6b48-4469-acca-7c51cca0fe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Notes" ma:index="25" nillable="true" ma:displayName="Status" ma:format="Dropdown" ma:internalName="Notes">
      <xsd:simpleType>
        <xsd:restriction base="dms:Note">
          <xsd:maxLength value="255"/>
        </xsd:restriction>
      </xsd:simpleType>
    </xsd:element>
    <xsd:element name="Notes0" ma:index="26" nillable="true" ma:displayName="Notes" ma:format="Dropdown" ma:internalName="Notes0">
      <xsd:simpleType>
        <xsd:restriction base="dms:Text">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8f13cc-f44e-4e32-a909-e552224feb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097b60-a682-4031-8de2-b3c13d758466}" ma:internalName="TaxCatchAll" ma:showField="CatchAllData" ma:web="e88f13cc-f44e-4e32-a909-e552224feb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c4fc8f4c-6b48-4469-acca-7c51cca0fee9">
      <Terms xmlns="http://schemas.microsoft.com/office/infopath/2007/PartnerControls"/>
    </lcf76f155ced4ddcb4097134ff3c332f>
    <TaxCatchAll xmlns="e88f13cc-f44e-4e32-a909-e552224feb76" xsi:nil="true"/>
    <Notes xmlns="c4fc8f4c-6b48-4469-acca-7c51cca0fee9" xsi:nil="true"/>
    <Notes0 xmlns="c4fc8f4c-6b48-4469-acca-7c51cca0fee9" xsi:nil="true"/>
  </documentManagement>
</p:properties>
</file>

<file path=customXml/itemProps1.xml><?xml version="1.0" encoding="utf-8"?>
<ds:datastoreItem xmlns:ds="http://schemas.openxmlformats.org/officeDocument/2006/customXml" ds:itemID="{E01F6727-E6D8-3B43-97E5-CFF87F2A043B}">
  <ds:schemaRefs>
    <ds:schemaRef ds:uri="http://schemas.openxmlformats.org/officeDocument/2006/bibliography"/>
  </ds:schemaRefs>
</ds:datastoreItem>
</file>

<file path=customXml/itemProps2.xml><?xml version="1.0" encoding="utf-8"?>
<ds:datastoreItem xmlns:ds="http://schemas.openxmlformats.org/officeDocument/2006/customXml" ds:itemID="{38CBCFEA-7FC1-46B3-A23A-8DDBF5C1ACBC}"/>
</file>

<file path=customXml/itemProps3.xml><?xml version="1.0" encoding="utf-8"?>
<ds:datastoreItem xmlns:ds="http://schemas.openxmlformats.org/officeDocument/2006/customXml" ds:itemID="{D68A7F10-CE3D-4BF5-A1B5-FE73FC011B78}"/>
</file>

<file path=customXml/itemProps4.xml><?xml version="1.0" encoding="utf-8"?>
<ds:datastoreItem xmlns:ds="http://schemas.openxmlformats.org/officeDocument/2006/customXml" ds:itemID="{769897F0-3D6A-46B2-8ABE-74A8A5A9295E}"/>
</file>

<file path=customXml/itemProps5.xml><?xml version="1.0" encoding="utf-8"?>
<ds:datastoreItem xmlns:ds="http://schemas.openxmlformats.org/officeDocument/2006/customXml" ds:itemID="{3556ABF9-ED78-4ED8-9126-718FBE003CB9}"/>
</file>

<file path=customXml/itemProps6.xml><?xml version="1.0" encoding="utf-8"?>
<ds:datastoreItem xmlns:ds="http://schemas.openxmlformats.org/officeDocument/2006/customXml" ds:itemID="{34C9B997-AB9A-4246-ACAA-D346BE39C87D}"/>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King</dc:creator>
  <cp:keywords/>
  <dc:description/>
  <cp:lastModifiedBy>Bethany Crotty</cp:lastModifiedBy>
  <cp:revision>2</cp:revision>
  <dcterms:created xsi:type="dcterms:W3CDTF">2024-03-20T03:54:00Z</dcterms:created>
  <dcterms:modified xsi:type="dcterms:W3CDTF">2024-03-20T03:54:00Z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0x010100D239B262FBAB6E4AA54E55E727720686</vt:lpwstr>
  </property>
</Properties>
</file>