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9B21" w14:textId="210A837F" w:rsidR="00D97248" w:rsidRPr="00B84EDD" w:rsidRDefault="00D97248" w:rsidP="007766B3">
      <w:pPr>
        <w:pStyle w:val="Title"/>
        <w:rPr>
          <w:rFonts w:ascii="Arial" w:hAnsi="Arial" w:cs="Arial"/>
          <w:spacing w:val="0"/>
        </w:rPr>
      </w:pPr>
      <w:r w:rsidRPr="00B84EDD">
        <w:rPr>
          <w:rFonts w:ascii="Arial" w:hAnsi="Arial" w:cs="Arial"/>
          <w:spacing w:val="0"/>
        </w:rPr>
        <w:t>Compensation and landholder payments</w:t>
      </w:r>
    </w:p>
    <w:p w14:paraId="43433C9F" w14:textId="499132E7" w:rsidR="00D97248" w:rsidRPr="00B84EDD" w:rsidRDefault="007766B3" w:rsidP="007766B3">
      <w:pPr>
        <w:pStyle w:val="Subtitle"/>
        <w:rPr>
          <w:rFonts w:ascii="Arial" w:hAnsi="Arial" w:cs="Arial"/>
          <w:color w:val="0F4761" w:themeColor="accent1" w:themeShade="BF"/>
          <w:spacing w:val="0"/>
        </w:rPr>
      </w:pPr>
      <w:proofErr w:type="spellStart"/>
      <w:r w:rsidRPr="00B84EDD">
        <w:rPr>
          <w:rFonts w:ascii="Arial" w:hAnsi="Arial" w:cs="Arial"/>
          <w:color w:val="0F4761" w:themeColor="accent1" w:themeShade="BF"/>
          <w:spacing w:val="0"/>
        </w:rPr>
        <w:t>VicGrid</w:t>
      </w:r>
      <w:proofErr w:type="spellEnd"/>
      <w:r w:rsidRPr="00B84EDD">
        <w:rPr>
          <w:rFonts w:ascii="Arial" w:hAnsi="Arial" w:cs="Arial"/>
          <w:color w:val="0F4761" w:themeColor="accent1" w:themeShade="BF"/>
          <w:spacing w:val="0"/>
        </w:rPr>
        <w:t xml:space="preserve">, </w:t>
      </w:r>
      <w:r w:rsidR="00D97248" w:rsidRPr="00B84EDD">
        <w:rPr>
          <w:rFonts w:ascii="Arial" w:hAnsi="Arial" w:cs="Arial"/>
          <w:color w:val="0F4761" w:themeColor="accent1" w:themeShade="BF"/>
          <w:spacing w:val="0"/>
        </w:rPr>
        <w:t>March 2024</w:t>
      </w:r>
    </w:p>
    <w:sdt>
      <w:sdtPr>
        <w:rPr>
          <w:rFonts w:ascii="Arial" w:eastAsiaTheme="minorHAnsi" w:hAnsi="Arial" w:cs="Arial"/>
          <w:b w:val="0"/>
          <w:bCs w:val="0"/>
          <w:color w:val="auto"/>
          <w:kern w:val="2"/>
          <w:sz w:val="24"/>
          <w:szCs w:val="24"/>
          <w:lang w:val="en-AU"/>
          <w14:ligatures w14:val="standardContextual"/>
        </w:rPr>
        <w:id w:val="-1521239879"/>
        <w:docPartObj>
          <w:docPartGallery w:val="Table of Contents"/>
          <w:docPartUnique/>
        </w:docPartObj>
      </w:sdtPr>
      <w:sdtEndPr>
        <w:rPr>
          <w:noProof/>
        </w:rPr>
      </w:sdtEndPr>
      <w:sdtContent>
        <w:p w14:paraId="0E0322A8" w14:textId="1BF64B0D" w:rsidR="00B84EDD" w:rsidRPr="00B84EDD" w:rsidRDefault="00B84EDD">
          <w:pPr>
            <w:pStyle w:val="TOCHeading"/>
            <w:rPr>
              <w:rFonts w:ascii="Arial" w:hAnsi="Arial" w:cs="Arial"/>
              <w:b w:val="0"/>
              <w:bCs w:val="0"/>
              <w:sz w:val="24"/>
              <w:szCs w:val="24"/>
            </w:rPr>
          </w:pPr>
          <w:r w:rsidRPr="00B84EDD">
            <w:rPr>
              <w:rFonts w:ascii="Arial" w:hAnsi="Arial" w:cs="Arial"/>
              <w:b w:val="0"/>
              <w:bCs w:val="0"/>
              <w:sz w:val="24"/>
              <w:szCs w:val="24"/>
            </w:rPr>
            <w:t>Table of Contents</w:t>
          </w:r>
        </w:p>
        <w:p w14:paraId="44CF2EA6" w14:textId="47676E47" w:rsidR="00B84EDD" w:rsidRPr="00B84EDD" w:rsidRDefault="00B84EDD">
          <w:pPr>
            <w:pStyle w:val="TOC1"/>
            <w:tabs>
              <w:tab w:val="right" w:leader="dot" w:pos="10790"/>
            </w:tabs>
            <w:rPr>
              <w:rFonts w:ascii="Arial" w:eastAsiaTheme="minorEastAsia" w:hAnsi="Arial" w:cs="Arial"/>
              <w:b w:val="0"/>
              <w:bCs w:val="0"/>
              <w:i w:val="0"/>
              <w:iCs w:val="0"/>
              <w:noProof/>
              <w:lang w:eastAsia="en-GB"/>
            </w:rPr>
          </w:pPr>
          <w:r w:rsidRPr="00B84EDD">
            <w:rPr>
              <w:rFonts w:ascii="Arial" w:hAnsi="Arial" w:cs="Arial"/>
              <w:b w:val="0"/>
              <w:bCs w:val="0"/>
              <w:i w:val="0"/>
              <w:iCs w:val="0"/>
            </w:rPr>
            <w:fldChar w:fldCharType="begin"/>
          </w:r>
          <w:r w:rsidRPr="00B84EDD">
            <w:rPr>
              <w:rFonts w:ascii="Arial" w:hAnsi="Arial" w:cs="Arial"/>
              <w:b w:val="0"/>
              <w:bCs w:val="0"/>
              <w:i w:val="0"/>
              <w:iCs w:val="0"/>
            </w:rPr>
            <w:instrText xml:space="preserve"> TOC \o "1-1" \h \z \u </w:instrText>
          </w:r>
          <w:r w:rsidRPr="00B84EDD">
            <w:rPr>
              <w:rFonts w:ascii="Arial" w:hAnsi="Arial" w:cs="Arial"/>
              <w:b w:val="0"/>
              <w:bCs w:val="0"/>
              <w:i w:val="0"/>
              <w:iCs w:val="0"/>
            </w:rPr>
            <w:fldChar w:fldCharType="separate"/>
          </w:r>
          <w:hyperlink w:anchor="_Toc161749646" w:history="1">
            <w:r w:rsidRPr="00B84EDD">
              <w:rPr>
                <w:rStyle w:val="Hyperlink"/>
                <w:rFonts w:ascii="Arial" w:hAnsi="Arial" w:cs="Arial"/>
                <w:b w:val="0"/>
                <w:bCs w:val="0"/>
                <w:i w:val="0"/>
                <w:iCs w:val="0"/>
                <w:noProof/>
              </w:rPr>
              <w:t>The compensation and landholder payment process</w:t>
            </w:r>
            <w:r w:rsidRPr="00B84EDD">
              <w:rPr>
                <w:rFonts w:ascii="Arial" w:hAnsi="Arial" w:cs="Arial"/>
                <w:b w:val="0"/>
                <w:bCs w:val="0"/>
                <w:i w:val="0"/>
                <w:iCs w:val="0"/>
                <w:noProof/>
                <w:webHidden/>
              </w:rPr>
              <w:tab/>
            </w:r>
            <w:r w:rsidRPr="00B84EDD">
              <w:rPr>
                <w:rFonts w:ascii="Arial" w:hAnsi="Arial" w:cs="Arial"/>
                <w:b w:val="0"/>
                <w:bCs w:val="0"/>
                <w:i w:val="0"/>
                <w:iCs w:val="0"/>
                <w:noProof/>
                <w:webHidden/>
              </w:rPr>
              <w:fldChar w:fldCharType="begin"/>
            </w:r>
            <w:r w:rsidRPr="00B84EDD">
              <w:rPr>
                <w:rFonts w:ascii="Arial" w:hAnsi="Arial" w:cs="Arial"/>
                <w:b w:val="0"/>
                <w:bCs w:val="0"/>
                <w:i w:val="0"/>
                <w:iCs w:val="0"/>
                <w:noProof/>
                <w:webHidden/>
              </w:rPr>
              <w:instrText xml:space="preserve"> PAGEREF _Toc161749646 \h </w:instrText>
            </w:r>
            <w:r w:rsidRPr="00B84EDD">
              <w:rPr>
                <w:rFonts w:ascii="Arial" w:hAnsi="Arial" w:cs="Arial"/>
                <w:b w:val="0"/>
                <w:bCs w:val="0"/>
                <w:i w:val="0"/>
                <w:iCs w:val="0"/>
                <w:noProof/>
                <w:webHidden/>
              </w:rPr>
            </w:r>
            <w:r w:rsidRPr="00B84EDD">
              <w:rPr>
                <w:rFonts w:ascii="Arial" w:hAnsi="Arial" w:cs="Arial"/>
                <w:b w:val="0"/>
                <w:bCs w:val="0"/>
                <w:i w:val="0"/>
                <w:iCs w:val="0"/>
                <w:noProof/>
                <w:webHidden/>
              </w:rPr>
              <w:fldChar w:fldCharType="separate"/>
            </w:r>
            <w:r w:rsidRPr="00B84EDD">
              <w:rPr>
                <w:rFonts w:ascii="Arial" w:hAnsi="Arial" w:cs="Arial"/>
                <w:b w:val="0"/>
                <w:bCs w:val="0"/>
                <w:i w:val="0"/>
                <w:iCs w:val="0"/>
                <w:noProof/>
                <w:webHidden/>
              </w:rPr>
              <w:t>2</w:t>
            </w:r>
            <w:r w:rsidRPr="00B84EDD">
              <w:rPr>
                <w:rFonts w:ascii="Arial" w:hAnsi="Arial" w:cs="Arial"/>
                <w:b w:val="0"/>
                <w:bCs w:val="0"/>
                <w:i w:val="0"/>
                <w:iCs w:val="0"/>
                <w:noProof/>
                <w:webHidden/>
              </w:rPr>
              <w:fldChar w:fldCharType="end"/>
            </w:r>
          </w:hyperlink>
        </w:p>
        <w:p w14:paraId="5B3D8187" w14:textId="2090CD0C" w:rsidR="00B84EDD" w:rsidRPr="00B84EDD" w:rsidRDefault="00000000">
          <w:pPr>
            <w:pStyle w:val="TOC1"/>
            <w:tabs>
              <w:tab w:val="right" w:leader="dot" w:pos="10790"/>
            </w:tabs>
            <w:rPr>
              <w:rFonts w:ascii="Arial" w:eastAsiaTheme="minorEastAsia" w:hAnsi="Arial" w:cs="Arial"/>
              <w:b w:val="0"/>
              <w:bCs w:val="0"/>
              <w:i w:val="0"/>
              <w:iCs w:val="0"/>
              <w:noProof/>
              <w:lang w:eastAsia="en-GB"/>
            </w:rPr>
          </w:pPr>
          <w:hyperlink w:anchor="_Toc161749647" w:history="1">
            <w:r w:rsidR="00B84EDD" w:rsidRPr="00B84EDD">
              <w:rPr>
                <w:rStyle w:val="Hyperlink"/>
                <w:rFonts w:ascii="Arial" w:hAnsi="Arial" w:cs="Arial"/>
                <w:b w:val="0"/>
                <w:bCs w:val="0"/>
                <w:i w:val="0"/>
                <w:iCs w:val="0"/>
                <w:noProof/>
              </w:rPr>
              <w:t>How is compensation assessed under the Land Acquisition and Compensation Act 1986 (LACA)?</w:t>
            </w:r>
            <w:r w:rsidR="00B84EDD" w:rsidRPr="00B84EDD">
              <w:rPr>
                <w:rFonts w:ascii="Arial" w:hAnsi="Arial" w:cs="Arial"/>
                <w:b w:val="0"/>
                <w:bCs w:val="0"/>
                <w:i w:val="0"/>
                <w:iCs w:val="0"/>
                <w:noProof/>
                <w:webHidden/>
              </w:rPr>
              <w:tab/>
            </w:r>
            <w:r w:rsidR="00B84EDD" w:rsidRPr="00B84EDD">
              <w:rPr>
                <w:rFonts w:ascii="Arial" w:hAnsi="Arial" w:cs="Arial"/>
                <w:b w:val="0"/>
                <w:bCs w:val="0"/>
                <w:i w:val="0"/>
                <w:iCs w:val="0"/>
                <w:noProof/>
                <w:webHidden/>
              </w:rPr>
              <w:fldChar w:fldCharType="begin"/>
            </w:r>
            <w:r w:rsidR="00B84EDD" w:rsidRPr="00B84EDD">
              <w:rPr>
                <w:rFonts w:ascii="Arial" w:hAnsi="Arial" w:cs="Arial"/>
                <w:b w:val="0"/>
                <w:bCs w:val="0"/>
                <w:i w:val="0"/>
                <w:iCs w:val="0"/>
                <w:noProof/>
                <w:webHidden/>
              </w:rPr>
              <w:instrText xml:space="preserve"> PAGEREF _Toc161749647 \h </w:instrText>
            </w:r>
            <w:r w:rsidR="00B84EDD" w:rsidRPr="00B84EDD">
              <w:rPr>
                <w:rFonts w:ascii="Arial" w:hAnsi="Arial" w:cs="Arial"/>
                <w:b w:val="0"/>
                <w:bCs w:val="0"/>
                <w:i w:val="0"/>
                <w:iCs w:val="0"/>
                <w:noProof/>
                <w:webHidden/>
              </w:rPr>
            </w:r>
            <w:r w:rsidR="00B84EDD" w:rsidRPr="00B84EDD">
              <w:rPr>
                <w:rFonts w:ascii="Arial" w:hAnsi="Arial" w:cs="Arial"/>
                <w:b w:val="0"/>
                <w:bCs w:val="0"/>
                <w:i w:val="0"/>
                <w:iCs w:val="0"/>
                <w:noProof/>
                <w:webHidden/>
              </w:rPr>
              <w:fldChar w:fldCharType="separate"/>
            </w:r>
            <w:r w:rsidR="00B84EDD" w:rsidRPr="00B84EDD">
              <w:rPr>
                <w:rFonts w:ascii="Arial" w:hAnsi="Arial" w:cs="Arial"/>
                <w:b w:val="0"/>
                <w:bCs w:val="0"/>
                <w:i w:val="0"/>
                <w:iCs w:val="0"/>
                <w:noProof/>
                <w:webHidden/>
              </w:rPr>
              <w:t>2</w:t>
            </w:r>
            <w:r w:rsidR="00B84EDD" w:rsidRPr="00B84EDD">
              <w:rPr>
                <w:rFonts w:ascii="Arial" w:hAnsi="Arial" w:cs="Arial"/>
                <w:b w:val="0"/>
                <w:bCs w:val="0"/>
                <w:i w:val="0"/>
                <w:iCs w:val="0"/>
                <w:noProof/>
                <w:webHidden/>
              </w:rPr>
              <w:fldChar w:fldCharType="end"/>
            </w:r>
          </w:hyperlink>
        </w:p>
        <w:p w14:paraId="619EEF1C" w14:textId="08A971F1" w:rsidR="00B84EDD" w:rsidRPr="00B84EDD" w:rsidRDefault="00000000">
          <w:pPr>
            <w:pStyle w:val="TOC1"/>
            <w:tabs>
              <w:tab w:val="right" w:leader="dot" w:pos="10790"/>
            </w:tabs>
            <w:rPr>
              <w:rFonts w:ascii="Arial" w:eastAsiaTheme="minorEastAsia" w:hAnsi="Arial" w:cs="Arial"/>
              <w:b w:val="0"/>
              <w:bCs w:val="0"/>
              <w:i w:val="0"/>
              <w:iCs w:val="0"/>
              <w:noProof/>
              <w:lang w:eastAsia="en-GB"/>
            </w:rPr>
          </w:pPr>
          <w:hyperlink w:anchor="_Toc161749648" w:history="1">
            <w:r w:rsidR="00B84EDD" w:rsidRPr="00B84EDD">
              <w:rPr>
                <w:rStyle w:val="Hyperlink"/>
                <w:rFonts w:ascii="Arial" w:hAnsi="Arial" w:cs="Arial"/>
                <w:b w:val="0"/>
                <w:bCs w:val="0"/>
                <w:i w:val="0"/>
                <w:iCs w:val="0"/>
                <w:noProof/>
              </w:rPr>
              <w:t>What is an easement and how do transmission easements work?</w:t>
            </w:r>
            <w:r w:rsidR="00B84EDD" w:rsidRPr="00B84EDD">
              <w:rPr>
                <w:rFonts w:ascii="Arial" w:hAnsi="Arial" w:cs="Arial"/>
                <w:b w:val="0"/>
                <w:bCs w:val="0"/>
                <w:i w:val="0"/>
                <w:iCs w:val="0"/>
                <w:noProof/>
                <w:webHidden/>
              </w:rPr>
              <w:tab/>
            </w:r>
            <w:r w:rsidR="00B84EDD" w:rsidRPr="00B84EDD">
              <w:rPr>
                <w:rFonts w:ascii="Arial" w:hAnsi="Arial" w:cs="Arial"/>
                <w:b w:val="0"/>
                <w:bCs w:val="0"/>
                <w:i w:val="0"/>
                <w:iCs w:val="0"/>
                <w:noProof/>
                <w:webHidden/>
              </w:rPr>
              <w:fldChar w:fldCharType="begin"/>
            </w:r>
            <w:r w:rsidR="00B84EDD" w:rsidRPr="00B84EDD">
              <w:rPr>
                <w:rFonts w:ascii="Arial" w:hAnsi="Arial" w:cs="Arial"/>
                <w:b w:val="0"/>
                <w:bCs w:val="0"/>
                <w:i w:val="0"/>
                <w:iCs w:val="0"/>
                <w:noProof/>
                <w:webHidden/>
              </w:rPr>
              <w:instrText xml:space="preserve"> PAGEREF _Toc161749648 \h </w:instrText>
            </w:r>
            <w:r w:rsidR="00B84EDD" w:rsidRPr="00B84EDD">
              <w:rPr>
                <w:rFonts w:ascii="Arial" w:hAnsi="Arial" w:cs="Arial"/>
                <w:b w:val="0"/>
                <w:bCs w:val="0"/>
                <w:i w:val="0"/>
                <w:iCs w:val="0"/>
                <w:noProof/>
                <w:webHidden/>
              </w:rPr>
            </w:r>
            <w:r w:rsidR="00B84EDD" w:rsidRPr="00B84EDD">
              <w:rPr>
                <w:rFonts w:ascii="Arial" w:hAnsi="Arial" w:cs="Arial"/>
                <w:b w:val="0"/>
                <w:bCs w:val="0"/>
                <w:i w:val="0"/>
                <w:iCs w:val="0"/>
                <w:noProof/>
                <w:webHidden/>
              </w:rPr>
              <w:fldChar w:fldCharType="separate"/>
            </w:r>
            <w:r w:rsidR="00B84EDD" w:rsidRPr="00B84EDD">
              <w:rPr>
                <w:rFonts w:ascii="Arial" w:hAnsi="Arial" w:cs="Arial"/>
                <w:b w:val="0"/>
                <w:bCs w:val="0"/>
                <w:i w:val="0"/>
                <w:iCs w:val="0"/>
                <w:noProof/>
                <w:webHidden/>
              </w:rPr>
              <w:t>3</w:t>
            </w:r>
            <w:r w:rsidR="00B84EDD" w:rsidRPr="00B84EDD">
              <w:rPr>
                <w:rFonts w:ascii="Arial" w:hAnsi="Arial" w:cs="Arial"/>
                <w:b w:val="0"/>
                <w:bCs w:val="0"/>
                <w:i w:val="0"/>
                <w:iCs w:val="0"/>
                <w:noProof/>
                <w:webHidden/>
              </w:rPr>
              <w:fldChar w:fldCharType="end"/>
            </w:r>
          </w:hyperlink>
        </w:p>
        <w:p w14:paraId="2947E18F" w14:textId="7B9C6059" w:rsidR="00B84EDD" w:rsidRPr="00B84EDD" w:rsidRDefault="00000000">
          <w:pPr>
            <w:pStyle w:val="TOC1"/>
            <w:tabs>
              <w:tab w:val="right" w:leader="dot" w:pos="10790"/>
            </w:tabs>
            <w:rPr>
              <w:rFonts w:ascii="Arial" w:eastAsiaTheme="minorEastAsia" w:hAnsi="Arial" w:cs="Arial"/>
              <w:b w:val="0"/>
              <w:bCs w:val="0"/>
              <w:i w:val="0"/>
              <w:iCs w:val="0"/>
              <w:noProof/>
              <w:lang w:eastAsia="en-GB"/>
            </w:rPr>
          </w:pPr>
          <w:hyperlink w:anchor="_Toc161749649" w:history="1">
            <w:r w:rsidR="00B84EDD" w:rsidRPr="00B84EDD">
              <w:rPr>
                <w:rStyle w:val="Hyperlink"/>
                <w:rFonts w:ascii="Arial" w:hAnsi="Arial" w:cs="Arial"/>
                <w:b w:val="0"/>
                <w:bCs w:val="0"/>
                <w:i w:val="0"/>
                <w:iCs w:val="0"/>
                <w:noProof/>
              </w:rPr>
              <w:t>How do electricity corporations obtain easements over land?</w:t>
            </w:r>
            <w:r w:rsidR="00B84EDD" w:rsidRPr="00B84EDD">
              <w:rPr>
                <w:rFonts w:ascii="Arial" w:hAnsi="Arial" w:cs="Arial"/>
                <w:b w:val="0"/>
                <w:bCs w:val="0"/>
                <w:i w:val="0"/>
                <w:iCs w:val="0"/>
                <w:noProof/>
                <w:webHidden/>
              </w:rPr>
              <w:tab/>
            </w:r>
            <w:r w:rsidR="00B84EDD" w:rsidRPr="00B84EDD">
              <w:rPr>
                <w:rFonts w:ascii="Arial" w:hAnsi="Arial" w:cs="Arial"/>
                <w:b w:val="0"/>
                <w:bCs w:val="0"/>
                <w:i w:val="0"/>
                <w:iCs w:val="0"/>
                <w:noProof/>
                <w:webHidden/>
              </w:rPr>
              <w:fldChar w:fldCharType="begin"/>
            </w:r>
            <w:r w:rsidR="00B84EDD" w:rsidRPr="00B84EDD">
              <w:rPr>
                <w:rFonts w:ascii="Arial" w:hAnsi="Arial" w:cs="Arial"/>
                <w:b w:val="0"/>
                <w:bCs w:val="0"/>
                <w:i w:val="0"/>
                <w:iCs w:val="0"/>
                <w:noProof/>
                <w:webHidden/>
              </w:rPr>
              <w:instrText xml:space="preserve"> PAGEREF _Toc161749649 \h </w:instrText>
            </w:r>
            <w:r w:rsidR="00B84EDD" w:rsidRPr="00B84EDD">
              <w:rPr>
                <w:rFonts w:ascii="Arial" w:hAnsi="Arial" w:cs="Arial"/>
                <w:b w:val="0"/>
                <w:bCs w:val="0"/>
                <w:i w:val="0"/>
                <w:iCs w:val="0"/>
                <w:noProof/>
                <w:webHidden/>
              </w:rPr>
            </w:r>
            <w:r w:rsidR="00B84EDD" w:rsidRPr="00B84EDD">
              <w:rPr>
                <w:rFonts w:ascii="Arial" w:hAnsi="Arial" w:cs="Arial"/>
                <w:b w:val="0"/>
                <w:bCs w:val="0"/>
                <w:i w:val="0"/>
                <w:iCs w:val="0"/>
                <w:noProof/>
                <w:webHidden/>
              </w:rPr>
              <w:fldChar w:fldCharType="separate"/>
            </w:r>
            <w:r w:rsidR="00B84EDD" w:rsidRPr="00B84EDD">
              <w:rPr>
                <w:rFonts w:ascii="Arial" w:hAnsi="Arial" w:cs="Arial"/>
                <w:b w:val="0"/>
                <w:bCs w:val="0"/>
                <w:i w:val="0"/>
                <w:iCs w:val="0"/>
                <w:noProof/>
                <w:webHidden/>
              </w:rPr>
              <w:t>3</w:t>
            </w:r>
            <w:r w:rsidR="00B84EDD" w:rsidRPr="00B84EDD">
              <w:rPr>
                <w:rFonts w:ascii="Arial" w:hAnsi="Arial" w:cs="Arial"/>
                <w:b w:val="0"/>
                <w:bCs w:val="0"/>
                <w:i w:val="0"/>
                <w:iCs w:val="0"/>
                <w:noProof/>
                <w:webHidden/>
              </w:rPr>
              <w:fldChar w:fldCharType="end"/>
            </w:r>
          </w:hyperlink>
        </w:p>
        <w:p w14:paraId="45A5035D" w14:textId="3775B72D" w:rsidR="00B84EDD" w:rsidRPr="00B84EDD" w:rsidRDefault="00000000">
          <w:pPr>
            <w:pStyle w:val="TOC1"/>
            <w:tabs>
              <w:tab w:val="right" w:leader="dot" w:pos="10790"/>
            </w:tabs>
            <w:rPr>
              <w:rFonts w:ascii="Arial" w:eastAsiaTheme="minorEastAsia" w:hAnsi="Arial" w:cs="Arial"/>
              <w:b w:val="0"/>
              <w:bCs w:val="0"/>
              <w:i w:val="0"/>
              <w:iCs w:val="0"/>
              <w:noProof/>
              <w:lang w:eastAsia="en-GB"/>
            </w:rPr>
          </w:pPr>
          <w:hyperlink w:anchor="_Toc161749650" w:history="1">
            <w:r w:rsidR="00B84EDD" w:rsidRPr="00B84EDD">
              <w:rPr>
                <w:rStyle w:val="Hyperlink"/>
                <w:rFonts w:ascii="Arial" w:hAnsi="Arial" w:cs="Arial"/>
                <w:b w:val="0"/>
                <w:bCs w:val="0"/>
                <w:i w:val="0"/>
                <w:iCs w:val="0"/>
                <w:noProof/>
              </w:rPr>
              <w:t>Managing impacts on neighbouring landholders</w:t>
            </w:r>
            <w:r w:rsidR="00B84EDD" w:rsidRPr="00B84EDD">
              <w:rPr>
                <w:rFonts w:ascii="Arial" w:hAnsi="Arial" w:cs="Arial"/>
                <w:b w:val="0"/>
                <w:bCs w:val="0"/>
                <w:i w:val="0"/>
                <w:iCs w:val="0"/>
                <w:noProof/>
                <w:webHidden/>
              </w:rPr>
              <w:tab/>
            </w:r>
            <w:r w:rsidR="00B84EDD" w:rsidRPr="00B84EDD">
              <w:rPr>
                <w:rFonts w:ascii="Arial" w:hAnsi="Arial" w:cs="Arial"/>
                <w:b w:val="0"/>
                <w:bCs w:val="0"/>
                <w:i w:val="0"/>
                <w:iCs w:val="0"/>
                <w:noProof/>
                <w:webHidden/>
              </w:rPr>
              <w:fldChar w:fldCharType="begin"/>
            </w:r>
            <w:r w:rsidR="00B84EDD" w:rsidRPr="00B84EDD">
              <w:rPr>
                <w:rFonts w:ascii="Arial" w:hAnsi="Arial" w:cs="Arial"/>
                <w:b w:val="0"/>
                <w:bCs w:val="0"/>
                <w:i w:val="0"/>
                <w:iCs w:val="0"/>
                <w:noProof/>
                <w:webHidden/>
              </w:rPr>
              <w:instrText xml:space="preserve"> PAGEREF _Toc161749650 \h </w:instrText>
            </w:r>
            <w:r w:rsidR="00B84EDD" w:rsidRPr="00B84EDD">
              <w:rPr>
                <w:rFonts w:ascii="Arial" w:hAnsi="Arial" w:cs="Arial"/>
                <w:b w:val="0"/>
                <w:bCs w:val="0"/>
                <w:i w:val="0"/>
                <w:iCs w:val="0"/>
                <w:noProof/>
                <w:webHidden/>
              </w:rPr>
            </w:r>
            <w:r w:rsidR="00B84EDD" w:rsidRPr="00B84EDD">
              <w:rPr>
                <w:rFonts w:ascii="Arial" w:hAnsi="Arial" w:cs="Arial"/>
                <w:b w:val="0"/>
                <w:bCs w:val="0"/>
                <w:i w:val="0"/>
                <w:iCs w:val="0"/>
                <w:noProof/>
                <w:webHidden/>
              </w:rPr>
              <w:fldChar w:fldCharType="separate"/>
            </w:r>
            <w:r w:rsidR="00B84EDD" w:rsidRPr="00B84EDD">
              <w:rPr>
                <w:rFonts w:ascii="Arial" w:hAnsi="Arial" w:cs="Arial"/>
                <w:b w:val="0"/>
                <w:bCs w:val="0"/>
                <w:i w:val="0"/>
                <w:iCs w:val="0"/>
                <w:noProof/>
                <w:webHidden/>
              </w:rPr>
              <w:t>4</w:t>
            </w:r>
            <w:r w:rsidR="00B84EDD" w:rsidRPr="00B84EDD">
              <w:rPr>
                <w:rFonts w:ascii="Arial" w:hAnsi="Arial" w:cs="Arial"/>
                <w:b w:val="0"/>
                <w:bCs w:val="0"/>
                <w:i w:val="0"/>
                <w:iCs w:val="0"/>
                <w:noProof/>
                <w:webHidden/>
              </w:rPr>
              <w:fldChar w:fldCharType="end"/>
            </w:r>
          </w:hyperlink>
        </w:p>
        <w:p w14:paraId="667EED83" w14:textId="06D5FFAE" w:rsidR="00B84EDD" w:rsidRPr="00B84EDD" w:rsidRDefault="00000000">
          <w:pPr>
            <w:pStyle w:val="TOC1"/>
            <w:tabs>
              <w:tab w:val="right" w:leader="dot" w:pos="10790"/>
            </w:tabs>
            <w:rPr>
              <w:rFonts w:ascii="Arial" w:eastAsiaTheme="minorEastAsia" w:hAnsi="Arial" w:cs="Arial"/>
              <w:b w:val="0"/>
              <w:bCs w:val="0"/>
              <w:i w:val="0"/>
              <w:iCs w:val="0"/>
              <w:noProof/>
              <w:lang w:eastAsia="en-GB"/>
            </w:rPr>
          </w:pPr>
          <w:hyperlink w:anchor="_Toc161749651" w:history="1">
            <w:r w:rsidR="00B84EDD" w:rsidRPr="00B84EDD">
              <w:rPr>
                <w:rStyle w:val="Hyperlink"/>
                <w:rFonts w:ascii="Arial" w:hAnsi="Arial" w:cs="Arial"/>
                <w:b w:val="0"/>
                <w:bCs w:val="0"/>
                <w:i w:val="0"/>
                <w:iCs w:val="0"/>
                <w:noProof/>
              </w:rPr>
              <w:t>Contact us</w:t>
            </w:r>
            <w:r w:rsidR="00B84EDD" w:rsidRPr="00B84EDD">
              <w:rPr>
                <w:rFonts w:ascii="Arial" w:hAnsi="Arial" w:cs="Arial"/>
                <w:b w:val="0"/>
                <w:bCs w:val="0"/>
                <w:i w:val="0"/>
                <w:iCs w:val="0"/>
                <w:noProof/>
                <w:webHidden/>
              </w:rPr>
              <w:tab/>
            </w:r>
            <w:r w:rsidR="00B84EDD" w:rsidRPr="00B84EDD">
              <w:rPr>
                <w:rFonts w:ascii="Arial" w:hAnsi="Arial" w:cs="Arial"/>
                <w:b w:val="0"/>
                <w:bCs w:val="0"/>
                <w:i w:val="0"/>
                <w:iCs w:val="0"/>
                <w:noProof/>
                <w:webHidden/>
              </w:rPr>
              <w:fldChar w:fldCharType="begin"/>
            </w:r>
            <w:r w:rsidR="00B84EDD" w:rsidRPr="00B84EDD">
              <w:rPr>
                <w:rFonts w:ascii="Arial" w:hAnsi="Arial" w:cs="Arial"/>
                <w:b w:val="0"/>
                <w:bCs w:val="0"/>
                <w:i w:val="0"/>
                <w:iCs w:val="0"/>
                <w:noProof/>
                <w:webHidden/>
              </w:rPr>
              <w:instrText xml:space="preserve"> PAGEREF _Toc161749651 \h </w:instrText>
            </w:r>
            <w:r w:rsidR="00B84EDD" w:rsidRPr="00B84EDD">
              <w:rPr>
                <w:rFonts w:ascii="Arial" w:hAnsi="Arial" w:cs="Arial"/>
                <w:b w:val="0"/>
                <w:bCs w:val="0"/>
                <w:i w:val="0"/>
                <w:iCs w:val="0"/>
                <w:noProof/>
                <w:webHidden/>
              </w:rPr>
            </w:r>
            <w:r w:rsidR="00B84EDD" w:rsidRPr="00B84EDD">
              <w:rPr>
                <w:rFonts w:ascii="Arial" w:hAnsi="Arial" w:cs="Arial"/>
                <w:b w:val="0"/>
                <w:bCs w:val="0"/>
                <w:i w:val="0"/>
                <w:iCs w:val="0"/>
                <w:noProof/>
                <w:webHidden/>
              </w:rPr>
              <w:fldChar w:fldCharType="separate"/>
            </w:r>
            <w:r w:rsidR="00B84EDD" w:rsidRPr="00B84EDD">
              <w:rPr>
                <w:rFonts w:ascii="Arial" w:hAnsi="Arial" w:cs="Arial"/>
                <w:b w:val="0"/>
                <w:bCs w:val="0"/>
                <w:i w:val="0"/>
                <w:iCs w:val="0"/>
                <w:noProof/>
                <w:webHidden/>
              </w:rPr>
              <w:t>4</w:t>
            </w:r>
            <w:r w:rsidR="00B84EDD" w:rsidRPr="00B84EDD">
              <w:rPr>
                <w:rFonts w:ascii="Arial" w:hAnsi="Arial" w:cs="Arial"/>
                <w:b w:val="0"/>
                <w:bCs w:val="0"/>
                <w:i w:val="0"/>
                <w:iCs w:val="0"/>
                <w:noProof/>
                <w:webHidden/>
              </w:rPr>
              <w:fldChar w:fldCharType="end"/>
            </w:r>
          </w:hyperlink>
        </w:p>
        <w:p w14:paraId="5E416297" w14:textId="199119CA" w:rsidR="00B84EDD" w:rsidRPr="00B84EDD" w:rsidRDefault="00B84EDD" w:rsidP="00B84EDD">
          <w:pPr>
            <w:rPr>
              <w:rFonts w:ascii="Arial" w:hAnsi="Arial" w:cs="Arial"/>
            </w:rPr>
          </w:pPr>
          <w:r w:rsidRPr="00B84EDD">
            <w:rPr>
              <w:rFonts w:ascii="Arial" w:hAnsi="Arial" w:cs="Arial"/>
            </w:rPr>
            <w:fldChar w:fldCharType="end"/>
          </w:r>
        </w:p>
      </w:sdtContent>
    </w:sdt>
    <w:p w14:paraId="1B1DA367" w14:textId="77777777" w:rsidR="00D97248" w:rsidRPr="00B84EDD" w:rsidRDefault="00D97248" w:rsidP="007766B3">
      <w:pPr>
        <w:pStyle w:val="Subtitle"/>
        <w:rPr>
          <w:rFonts w:ascii="Arial" w:hAnsi="Arial" w:cs="Arial"/>
        </w:rPr>
      </w:pPr>
      <w:r w:rsidRPr="00B84EDD">
        <w:rPr>
          <w:rFonts w:ascii="Arial" w:hAnsi="Arial" w:cs="Arial"/>
        </w:rPr>
        <w:t xml:space="preserve">Victoria’s energy system is changing. We urgently need to change our power grid to carry energy from new renewable sources and batteries across the state to Victorian homes, businesses, hospitals, </w:t>
      </w:r>
      <w:proofErr w:type="gramStart"/>
      <w:r w:rsidRPr="00B84EDD">
        <w:rPr>
          <w:rFonts w:ascii="Arial" w:hAnsi="Arial" w:cs="Arial"/>
        </w:rPr>
        <w:t>schools</w:t>
      </w:r>
      <w:proofErr w:type="gramEnd"/>
      <w:r w:rsidRPr="00B84EDD">
        <w:rPr>
          <w:rFonts w:ascii="Arial" w:hAnsi="Arial" w:cs="Arial"/>
        </w:rPr>
        <w:t xml:space="preserve"> and other vital services.</w:t>
      </w:r>
    </w:p>
    <w:p w14:paraId="158FABC7" w14:textId="794A0AC7" w:rsidR="00B84EDD" w:rsidRPr="00B84EDD" w:rsidRDefault="00D97248" w:rsidP="00D97248">
      <w:pPr>
        <w:rPr>
          <w:rFonts w:ascii="Arial" w:hAnsi="Arial" w:cs="Arial"/>
        </w:rPr>
      </w:pPr>
      <w:r w:rsidRPr="00B84EDD">
        <w:rPr>
          <w:rFonts w:ascii="Arial" w:hAnsi="Arial" w:cs="Arial"/>
        </w:rPr>
        <w:t xml:space="preserve">To connect new renewable energy </w:t>
      </w:r>
      <w:proofErr w:type="gramStart"/>
      <w:r w:rsidRPr="00B84EDD">
        <w:rPr>
          <w:rFonts w:ascii="Arial" w:hAnsi="Arial" w:cs="Arial"/>
        </w:rPr>
        <w:t>sources</w:t>
      </w:r>
      <w:proofErr w:type="gramEnd"/>
      <w:r w:rsidRPr="00B84EDD">
        <w:rPr>
          <w:rFonts w:ascii="Arial" w:hAnsi="Arial" w:cs="Arial"/>
        </w:rPr>
        <w:t xml:space="preserve"> we need to build new transmission powerlines and new transmission easements need to be created. Host landholders will play a crucial role in Victoria’s transition to renewable </w:t>
      </w:r>
      <w:proofErr w:type="gramStart"/>
      <w:r w:rsidRPr="00B84EDD">
        <w:rPr>
          <w:rFonts w:ascii="Arial" w:hAnsi="Arial" w:cs="Arial"/>
        </w:rPr>
        <w:t>energy</w:t>
      </w:r>
      <w:proofErr w:type="gramEnd"/>
      <w:r w:rsidRPr="00B84EDD">
        <w:rPr>
          <w:rFonts w:ascii="Arial" w:hAnsi="Arial" w:cs="Arial"/>
        </w:rPr>
        <w:t xml:space="preserve"> and they are entitled to full compensation as well as new annual payments introduced by the Victorian Government. </w:t>
      </w:r>
    </w:p>
    <w:p w14:paraId="7E89C67D" w14:textId="77777777" w:rsidR="00D97248" w:rsidRPr="00B84EDD" w:rsidRDefault="00D97248" w:rsidP="00B84EDD">
      <w:pPr>
        <w:pStyle w:val="Heading2"/>
        <w:rPr>
          <w:rFonts w:ascii="Arial" w:hAnsi="Arial" w:cs="Arial"/>
        </w:rPr>
      </w:pPr>
      <w:r w:rsidRPr="00B84EDD">
        <w:rPr>
          <w:rFonts w:ascii="Arial" w:hAnsi="Arial" w:cs="Arial"/>
        </w:rPr>
        <w:t>Compensation</w:t>
      </w:r>
    </w:p>
    <w:p w14:paraId="0690AF03" w14:textId="77777777" w:rsidR="00D97248" w:rsidRPr="00B84EDD" w:rsidRDefault="00D97248" w:rsidP="00D97248">
      <w:pPr>
        <w:rPr>
          <w:rFonts w:ascii="Arial" w:hAnsi="Arial" w:cs="Arial"/>
        </w:rPr>
      </w:pPr>
      <w:r w:rsidRPr="00B84EDD">
        <w:rPr>
          <w:rFonts w:ascii="Arial" w:hAnsi="Arial" w:cs="Arial"/>
        </w:rPr>
        <w:t>Landholders hosting new transmission are entitled to compensation for impacts.</w:t>
      </w:r>
    </w:p>
    <w:p w14:paraId="7796B478" w14:textId="77777777" w:rsidR="00D97248" w:rsidRPr="00B84EDD" w:rsidRDefault="00D97248" w:rsidP="00D97248">
      <w:pPr>
        <w:rPr>
          <w:rFonts w:ascii="Arial" w:hAnsi="Arial" w:cs="Arial"/>
        </w:rPr>
      </w:pPr>
      <w:r w:rsidRPr="00B84EDD">
        <w:rPr>
          <w:rFonts w:ascii="Arial" w:hAnsi="Arial" w:cs="Arial"/>
        </w:rPr>
        <w:t>The compensation amounts are set through negotiation with the electricity corporation. To assist with this process, landholders can also appoint their own certified valuer, the costs of which will be covered by the electricity corporation.</w:t>
      </w:r>
    </w:p>
    <w:p w14:paraId="6B964A24" w14:textId="77777777" w:rsidR="00D97248" w:rsidRPr="00B84EDD" w:rsidRDefault="00D97248" w:rsidP="00D97248">
      <w:pPr>
        <w:rPr>
          <w:rFonts w:ascii="Arial" w:hAnsi="Arial" w:cs="Arial"/>
        </w:rPr>
      </w:pPr>
      <w:r w:rsidRPr="00B84EDD">
        <w:rPr>
          <w:rFonts w:ascii="Arial" w:hAnsi="Arial" w:cs="Arial"/>
        </w:rPr>
        <w:t xml:space="preserve">Compensation is set in line with the principles of the Victorian Land Acquisition and Compensation Act 1986 (known as the LACA). </w:t>
      </w:r>
    </w:p>
    <w:p w14:paraId="7FA72C4D" w14:textId="77777777" w:rsidR="00D97248" w:rsidRPr="00B84EDD" w:rsidRDefault="00D97248" w:rsidP="00D97248">
      <w:pPr>
        <w:rPr>
          <w:rFonts w:ascii="Arial" w:hAnsi="Arial" w:cs="Arial"/>
        </w:rPr>
      </w:pPr>
      <w:r w:rsidRPr="00B84EDD">
        <w:rPr>
          <w:rFonts w:ascii="Arial" w:hAnsi="Arial" w:cs="Arial"/>
        </w:rPr>
        <w:t>The LACA is designed to fully compensate landholders for the establishment of easements on their land, including the impact on farming and business operations.</w:t>
      </w:r>
    </w:p>
    <w:p w14:paraId="1381A3B7" w14:textId="142CE4E6" w:rsidR="00D97248" w:rsidRPr="00B84EDD" w:rsidRDefault="00D97248" w:rsidP="00D97248">
      <w:pPr>
        <w:rPr>
          <w:rFonts w:ascii="Arial" w:hAnsi="Arial" w:cs="Arial"/>
        </w:rPr>
      </w:pPr>
      <w:r w:rsidRPr="00B84EDD">
        <w:rPr>
          <w:rFonts w:ascii="Arial" w:hAnsi="Arial" w:cs="Arial"/>
        </w:rPr>
        <w:lastRenderedPageBreak/>
        <w:t xml:space="preserve">Recent compensation agreements between electricity corporations and landholders in Victoria have been for significant amounts, depending on the size of the property and the nature of the impacts. </w:t>
      </w:r>
    </w:p>
    <w:p w14:paraId="6F7260C5" w14:textId="77777777" w:rsidR="00D97248" w:rsidRPr="00B84EDD" w:rsidRDefault="00D97248" w:rsidP="00B84EDD">
      <w:pPr>
        <w:pStyle w:val="Heading2"/>
        <w:rPr>
          <w:rFonts w:ascii="Arial" w:hAnsi="Arial" w:cs="Arial"/>
        </w:rPr>
      </w:pPr>
      <w:r w:rsidRPr="00B84EDD">
        <w:rPr>
          <w:rFonts w:ascii="Arial" w:hAnsi="Arial" w:cs="Arial"/>
        </w:rPr>
        <w:t>Landholder payments</w:t>
      </w:r>
    </w:p>
    <w:p w14:paraId="11F755BD" w14:textId="77777777" w:rsidR="00D97248" w:rsidRPr="00B84EDD" w:rsidRDefault="00D97248" w:rsidP="00D97248">
      <w:pPr>
        <w:rPr>
          <w:rFonts w:ascii="Arial" w:hAnsi="Arial" w:cs="Arial"/>
        </w:rPr>
      </w:pPr>
      <w:r w:rsidRPr="00B84EDD">
        <w:rPr>
          <w:rFonts w:ascii="Arial" w:hAnsi="Arial" w:cs="Arial"/>
        </w:rPr>
        <w:t>In addition to this compensation, the Victorian Government has also introduced new payments for a typical area of new transmission easement of $200,000 per kilometre of transmission hosted, paid in annual instalments over 25 years indexed to inflation. Compensation is the same for all transmission types.</w:t>
      </w:r>
    </w:p>
    <w:p w14:paraId="58A0E3FD" w14:textId="77777777" w:rsidR="00D97248" w:rsidRPr="00B84EDD" w:rsidRDefault="00D97248" w:rsidP="00D97248">
      <w:pPr>
        <w:rPr>
          <w:rFonts w:ascii="Arial" w:hAnsi="Arial" w:cs="Arial"/>
        </w:rPr>
      </w:pPr>
      <w:r w:rsidRPr="00B84EDD">
        <w:rPr>
          <w:rFonts w:ascii="Arial" w:hAnsi="Arial" w:cs="Arial"/>
        </w:rPr>
        <w:t>The first payment will be made shortly after the completion of construction. Subsequent payments will be from the anniversary of this date, for a further 24 years. Indexing will happen each year, prior to the payment being made.</w:t>
      </w:r>
    </w:p>
    <w:p w14:paraId="2F5740D2" w14:textId="77777777" w:rsidR="00D97248" w:rsidRPr="00B84EDD" w:rsidRDefault="00D97248" w:rsidP="00D97248">
      <w:pPr>
        <w:rPr>
          <w:rFonts w:ascii="Arial" w:hAnsi="Arial" w:cs="Arial"/>
        </w:rPr>
      </w:pPr>
      <w:r w:rsidRPr="00B84EDD">
        <w:rPr>
          <w:rFonts w:ascii="Arial" w:hAnsi="Arial" w:cs="Arial"/>
        </w:rPr>
        <w:t>These new payments were announced by the Victorian Government in 2023 in recognition of the important role host landholders are playing in Victoria’s transition to renewable energy. They are an opportunity for these landholders to benefit financially from hosting transmission.</w:t>
      </w:r>
    </w:p>
    <w:p w14:paraId="11863C07" w14:textId="415E7EF2" w:rsidR="00D97248" w:rsidRPr="00B84EDD" w:rsidRDefault="00D97248" w:rsidP="00D97248">
      <w:pPr>
        <w:rPr>
          <w:rFonts w:ascii="Arial" w:hAnsi="Arial" w:cs="Arial"/>
        </w:rPr>
      </w:pPr>
      <w:r w:rsidRPr="00B84EDD">
        <w:rPr>
          <w:rFonts w:ascii="Arial" w:hAnsi="Arial" w:cs="Arial"/>
        </w:rPr>
        <w:t xml:space="preserve">Hosted transmission infrastructure under 1 km also </w:t>
      </w:r>
      <w:proofErr w:type="gramStart"/>
      <w:r w:rsidRPr="00B84EDD">
        <w:rPr>
          <w:rFonts w:ascii="Arial" w:hAnsi="Arial" w:cs="Arial"/>
        </w:rPr>
        <w:t>qualify</w:t>
      </w:r>
      <w:proofErr w:type="gramEnd"/>
      <w:r w:rsidRPr="00B84EDD">
        <w:rPr>
          <w:rFonts w:ascii="Arial" w:hAnsi="Arial" w:cs="Arial"/>
        </w:rPr>
        <w:t xml:space="preserve"> for payments, at a pro rata amount.</w:t>
      </w:r>
    </w:p>
    <w:p w14:paraId="2F9D6CCD" w14:textId="77777777" w:rsidR="00D97248" w:rsidRPr="00B84EDD" w:rsidRDefault="00D97248" w:rsidP="00B84EDD">
      <w:pPr>
        <w:pStyle w:val="Heading1"/>
        <w:rPr>
          <w:rFonts w:ascii="Arial" w:hAnsi="Arial" w:cs="Arial"/>
        </w:rPr>
      </w:pPr>
      <w:bookmarkStart w:id="0" w:name="_Toc161749646"/>
      <w:r w:rsidRPr="00B84EDD">
        <w:rPr>
          <w:rFonts w:ascii="Arial" w:hAnsi="Arial" w:cs="Arial"/>
        </w:rPr>
        <w:t>The compensation and landholder payment process</w:t>
      </w:r>
      <w:bookmarkEnd w:id="0"/>
    </w:p>
    <w:p w14:paraId="6D774D6F" w14:textId="77777777" w:rsidR="00B84EDD" w:rsidRPr="00B84EDD" w:rsidRDefault="00D97248" w:rsidP="00D97248">
      <w:pPr>
        <w:pStyle w:val="ListParagraph"/>
        <w:numPr>
          <w:ilvl w:val="0"/>
          <w:numId w:val="1"/>
        </w:numPr>
        <w:rPr>
          <w:rFonts w:ascii="Arial" w:hAnsi="Arial" w:cs="Arial"/>
        </w:rPr>
      </w:pPr>
      <w:r w:rsidRPr="00B84EDD">
        <w:rPr>
          <w:rFonts w:ascii="Arial" w:hAnsi="Arial" w:cs="Arial"/>
        </w:rPr>
        <w:t xml:space="preserve">Land corridor </w:t>
      </w:r>
      <w:proofErr w:type="gramStart"/>
      <w:r w:rsidRPr="00B84EDD">
        <w:rPr>
          <w:rFonts w:ascii="Arial" w:hAnsi="Arial" w:cs="Arial"/>
        </w:rPr>
        <w:t>identified</w:t>
      </w:r>
      <w:proofErr w:type="gramEnd"/>
    </w:p>
    <w:p w14:paraId="3128A31A" w14:textId="7F05FA67" w:rsidR="00B84EDD" w:rsidRPr="00B84EDD" w:rsidRDefault="00D97248" w:rsidP="00D97248">
      <w:pPr>
        <w:pStyle w:val="ListParagraph"/>
        <w:numPr>
          <w:ilvl w:val="0"/>
          <w:numId w:val="1"/>
        </w:numPr>
        <w:rPr>
          <w:rFonts w:ascii="Arial" w:hAnsi="Arial" w:cs="Arial"/>
        </w:rPr>
      </w:pPr>
      <w:r w:rsidRPr="00B84EDD">
        <w:rPr>
          <w:rFonts w:ascii="Arial" w:hAnsi="Arial" w:cs="Arial"/>
        </w:rPr>
        <w:t>Negotiations with landholders</w:t>
      </w:r>
    </w:p>
    <w:p w14:paraId="7A04A199" w14:textId="77777777" w:rsidR="00B84EDD" w:rsidRPr="00B84EDD" w:rsidRDefault="00D97248" w:rsidP="00B84EDD">
      <w:pPr>
        <w:pStyle w:val="ListParagraph"/>
        <w:numPr>
          <w:ilvl w:val="0"/>
          <w:numId w:val="1"/>
        </w:numPr>
        <w:rPr>
          <w:rFonts w:ascii="Arial" w:hAnsi="Arial" w:cs="Arial"/>
        </w:rPr>
      </w:pPr>
      <w:r w:rsidRPr="00B84EDD">
        <w:rPr>
          <w:rFonts w:ascii="Arial" w:hAnsi="Arial" w:cs="Arial"/>
        </w:rPr>
        <w:t xml:space="preserve">Agreement </w:t>
      </w:r>
      <w:proofErr w:type="gramStart"/>
      <w:r w:rsidRPr="00B84EDD">
        <w:rPr>
          <w:rFonts w:ascii="Arial" w:hAnsi="Arial" w:cs="Arial"/>
        </w:rPr>
        <w:t>reached</w:t>
      </w:r>
      <w:proofErr w:type="gramEnd"/>
    </w:p>
    <w:p w14:paraId="1A74BA01" w14:textId="21674F7B" w:rsidR="00B84EDD" w:rsidRPr="00B84EDD" w:rsidRDefault="00D97248" w:rsidP="00B84EDD">
      <w:pPr>
        <w:pStyle w:val="ListParagraph"/>
        <w:numPr>
          <w:ilvl w:val="0"/>
          <w:numId w:val="1"/>
        </w:numPr>
        <w:rPr>
          <w:rFonts w:ascii="Arial" w:hAnsi="Arial" w:cs="Arial"/>
        </w:rPr>
      </w:pPr>
      <w:r w:rsidRPr="00B84EDD">
        <w:rPr>
          <w:rFonts w:ascii="Arial" w:hAnsi="Arial" w:cs="Arial"/>
        </w:rPr>
        <w:t>LACA payment</w:t>
      </w:r>
      <w:r w:rsidR="00B84EDD" w:rsidRPr="00B84EDD">
        <w:rPr>
          <w:rFonts w:ascii="Arial" w:hAnsi="Arial" w:cs="Arial"/>
        </w:rPr>
        <w:t xml:space="preserve"> (Timing of instalment payments may vary depending on detail of the compensation agreement</w:t>
      </w:r>
      <w:proofErr w:type="gramStart"/>
      <w:r w:rsidR="00B84EDD" w:rsidRPr="00B84EDD">
        <w:rPr>
          <w:rFonts w:ascii="Arial" w:hAnsi="Arial" w:cs="Arial"/>
        </w:rPr>
        <w:t>. )</w:t>
      </w:r>
      <w:proofErr w:type="gramEnd"/>
    </w:p>
    <w:p w14:paraId="2F7866DF" w14:textId="77777777" w:rsidR="00B84EDD" w:rsidRPr="00B84EDD" w:rsidRDefault="00D97248" w:rsidP="00D97248">
      <w:pPr>
        <w:pStyle w:val="ListParagraph"/>
        <w:numPr>
          <w:ilvl w:val="0"/>
          <w:numId w:val="1"/>
        </w:numPr>
        <w:rPr>
          <w:rFonts w:ascii="Arial" w:hAnsi="Arial" w:cs="Arial"/>
        </w:rPr>
      </w:pPr>
      <w:r w:rsidRPr="00B84EDD">
        <w:rPr>
          <w:rFonts w:ascii="Arial" w:hAnsi="Arial" w:cs="Arial"/>
        </w:rPr>
        <w:t xml:space="preserve">Infrastructure </w:t>
      </w:r>
      <w:proofErr w:type="gramStart"/>
      <w:r w:rsidRPr="00B84EDD">
        <w:rPr>
          <w:rFonts w:ascii="Arial" w:hAnsi="Arial" w:cs="Arial"/>
        </w:rPr>
        <w:t>built</w:t>
      </w:r>
      <w:proofErr w:type="gramEnd"/>
    </w:p>
    <w:p w14:paraId="571D842D" w14:textId="101EBBD3" w:rsidR="00D97248" w:rsidRPr="00B84EDD" w:rsidRDefault="00D97248" w:rsidP="00D97248">
      <w:pPr>
        <w:pStyle w:val="ListParagraph"/>
        <w:numPr>
          <w:ilvl w:val="0"/>
          <w:numId w:val="1"/>
        </w:numPr>
        <w:rPr>
          <w:rFonts w:ascii="Arial" w:hAnsi="Arial" w:cs="Arial"/>
        </w:rPr>
      </w:pPr>
      <w:r w:rsidRPr="00B84EDD">
        <w:rPr>
          <w:rFonts w:ascii="Arial" w:hAnsi="Arial" w:cs="Arial"/>
        </w:rPr>
        <w:t>$200,000/km paid in instalments</w:t>
      </w:r>
      <w:r w:rsidR="00B84EDD" w:rsidRPr="00B84EDD">
        <w:rPr>
          <w:rFonts w:ascii="Arial" w:hAnsi="Arial" w:cs="Arial"/>
        </w:rPr>
        <w:t xml:space="preserve"> (25 years+)</w:t>
      </w:r>
    </w:p>
    <w:p w14:paraId="0BE2D81B" w14:textId="061857E9" w:rsidR="00D97248" w:rsidRPr="00B84EDD" w:rsidRDefault="00D97248" w:rsidP="00B84EDD">
      <w:pPr>
        <w:pStyle w:val="Heading1"/>
        <w:rPr>
          <w:rFonts w:ascii="Arial" w:hAnsi="Arial" w:cs="Arial"/>
        </w:rPr>
      </w:pPr>
      <w:bookmarkStart w:id="1" w:name="_Toc161749647"/>
      <w:r w:rsidRPr="00B84EDD">
        <w:rPr>
          <w:rFonts w:ascii="Arial" w:hAnsi="Arial" w:cs="Arial"/>
        </w:rPr>
        <w:t>How is compensation assessed under the Land Acquisition and Compensation Act 1986 (LACA)?</w:t>
      </w:r>
      <w:bookmarkEnd w:id="1"/>
      <w:r w:rsidRPr="00B84EDD">
        <w:rPr>
          <w:rFonts w:ascii="Arial" w:hAnsi="Arial" w:cs="Arial"/>
        </w:rPr>
        <w:t xml:space="preserve"> </w:t>
      </w:r>
    </w:p>
    <w:p w14:paraId="18894274" w14:textId="77777777" w:rsidR="00D97248" w:rsidRPr="00B84EDD" w:rsidRDefault="00D97248" w:rsidP="00D97248">
      <w:pPr>
        <w:rPr>
          <w:rFonts w:ascii="Arial" w:hAnsi="Arial" w:cs="Arial"/>
        </w:rPr>
      </w:pPr>
      <w:r w:rsidRPr="00B84EDD">
        <w:rPr>
          <w:rFonts w:ascii="Arial" w:hAnsi="Arial" w:cs="Arial"/>
        </w:rPr>
        <w:t xml:space="preserve">The LACA describes how compensation is calculated, and considers </w:t>
      </w:r>
      <w:r w:rsidRPr="00B84EDD">
        <w:rPr>
          <w:rFonts w:ascii="Arial" w:hAnsi="Arial" w:cs="Arial"/>
        </w:rPr>
        <w:br/>
        <w:t>a range of factors, including:</w:t>
      </w:r>
    </w:p>
    <w:p w14:paraId="64C709EB" w14:textId="77777777" w:rsidR="00D97248" w:rsidRPr="00B84EDD" w:rsidRDefault="00D97248" w:rsidP="00B84EDD">
      <w:pPr>
        <w:pStyle w:val="Heading2"/>
        <w:rPr>
          <w:rFonts w:ascii="Arial" w:hAnsi="Arial" w:cs="Arial"/>
        </w:rPr>
      </w:pPr>
      <w:r w:rsidRPr="00B84EDD">
        <w:rPr>
          <w:rFonts w:ascii="Arial" w:hAnsi="Arial" w:cs="Arial"/>
        </w:rPr>
        <w:t>The market value of the acquired easement</w:t>
      </w:r>
    </w:p>
    <w:p w14:paraId="42D47BE6" w14:textId="77777777" w:rsidR="00D97248" w:rsidRPr="00B84EDD" w:rsidRDefault="00D97248" w:rsidP="00D97248">
      <w:pPr>
        <w:rPr>
          <w:rFonts w:ascii="Arial" w:hAnsi="Arial" w:cs="Arial"/>
        </w:rPr>
      </w:pPr>
      <w:r w:rsidRPr="00B84EDD">
        <w:rPr>
          <w:rFonts w:ascii="Arial" w:hAnsi="Arial" w:cs="Arial"/>
        </w:rPr>
        <w:t>An independent, qualified property valuer determines the market value of the easement area, being the difference between the market value before and after the acquisition.</w:t>
      </w:r>
    </w:p>
    <w:p w14:paraId="6CA2063C" w14:textId="77777777" w:rsidR="00D97248" w:rsidRPr="00B84EDD" w:rsidRDefault="00D97248" w:rsidP="00B84EDD">
      <w:pPr>
        <w:pStyle w:val="Heading2"/>
        <w:rPr>
          <w:rFonts w:ascii="Arial" w:hAnsi="Arial" w:cs="Arial"/>
        </w:rPr>
      </w:pPr>
      <w:r w:rsidRPr="00B84EDD">
        <w:rPr>
          <w:rFonts w:ascii="Arial" w:hAnsi="Arial" w:cs="Arial"/>
        </w:rPr>
        <w:lastRenderedPageBreak/>
        <w:t>Disturbance</w:t>
      </w:r>
    </w:p>
    <w:p w14:paraId="1920B0A6" w14:textId="58C4E41B" w:rsidR="00D97248" w:rsidRPr="00B84EDD" w:rsidRDefault="00D97248" w:rsidP="00D97248">
      <w:pPr>
        <w:rPr>
          <w:rFonts w:ascii="Arial" w:hAnsi="Arial" w:cs="Arial"/>
        </w:rPr>
      </w:pPr>
      <w:r w:rsidRPr="00B84EDD">
        <w:rPr>
          <w:rFonts w:ascii="Arial" w:hAnsi="Arial" w:cs="Arial"/>
        </w:rPr>
        <w:t xml:space="preserve">For example, if an easement restricts a farming activity in some way, which reduces income for the landholder, then compensation needs to cover the loss of income. </w:t>
      </w:r>
    </w:p>
    <w:p w14:paraId="16259564" w14:textId="77777777" w:rsidR="00D97248" w:rsidRPr="00B84EDD" w:rsidRDefault="00D97248" w:rsidP="00B84EDD">
      <w:pPr>
        <w:pStyle w:val="Heading2"/>
        <w:rPr>
          <w:rFonts w:ascii="Arial" w:hAnsi="Arial" w:cs="Arial"/>
        </w:rPr>
      </w:pPr>
      <w:r w:rsidRPr="00B84EDD">
        <w:rPr>
          <w:rFonts w:ascii="Arial" w:hAnsi="Arial" w:cs="Arial"/>
        </w:rPr>
        <w:t xml:space="preserve">Any reasonable costs associated with the landholder seeking legal and professional advice in relation to the acquired </w:t>
      </w:r>
      <w:proofErr w:type="gramStart"/>
      <w:r w:rsidRPr="00B84EDD">
        <w:rPr>
          <w:rFonts w:ascii="Arial" w:hAnsi="Arial" w:cs="Arial"/>
        </w:rPr>
        <w:t>easement</w:t>
      </w:r>
      <w:proofErr w:type="gramEnd"/>
    </w:p>
    <w:p w14:paraId="3AE0E2F0" w14:textId="06FFDE94" w:rsidR="00D97248" w:rsidRPr="00B84EDD" w:rsidRDefault="00D97248" w:rsidP="00D97248">
      <w:pPr>
        <w:rPr>
          <w:rFonts w:ascii="Arial" w:hAnsi="Arial" w:cs="Arial"/>
        </w:rPr>
      </w:pPr>
      <w:r w:rsidRPr="00B84EDD">
        <w:rPr>
          <w:rFonts w:ascii="Arial" w:hAnsi="Arial" w:cs="Arial"/>
        </w:rPr>
        <w:t xml:space="preserve">For example, a landholder is entitled to be reimbursed for reasonable legal and other professional expenses </w:t>
      </w:r>
      <w:proofErr w:type="gramStart"/>
      <w:r w:rsidRPr="00B84EDD">
        <w:rPr>
          <w:rFonts w:ascii="Arial" w:hAnsi="Arial" w:cs="Arial"/>
        </w:rPr>
        <w:t>as a result of</w:t>
      </w:r>
      <w:proofErr w:type="gramEnd"/>
      <w:r w:rsidRPr="00B84EDD">
        <w:rPr>
          <w:rFonts w:ascii="Arial" w:hAnsi="Arial" w:cs="Arial"/>
        </w:rPr>
        <w:t xml:space="preserve"> the easement purchase.</w:t>
      </w:r>
    </w:p>
    <w:p w14:paraId="606EE136" w14:textId="77777777" w:rsidR="00D97248" w:rsidRPr="00B84EDD" w:rsidRDefault="00D97248" w:rsidP="00B84EDD">
      <w:pPr>
        <w:pStyle w:val="Heading2"/>
        <w:rPr>
          <w:rFonts w:ascii="Arial" w:hAnsi="Arial" w:cs="Arial"/>
        </w:rPr>
      </w:pPr>
      <w:r w:rsidRPr="00B84EDD">
        <w:rPr>
          <w:rFonts w:ascii="Arial" w:hAnsi="Arial" w:cs="Arial"/>
        </w:rPr>
        <w:t xml:space="preserve">Some non-financial losses in relation to the acquired easement  </w:t>
      </w:r>
    </w:p>
    <w:p w14:paraId="18C2AE29" w14:textId="77777777" w:rsidR="00D97248" w:rsidRPr="00B84EDD" w:rsidRDefault="00D97248" w:rsidP="00D97248">
      <w:pPr>
        <w:rPr>
          <w:rFonts w:ascii="Arial" w:hAnsi="Arial" w:cs="Arial"/>
        </w:rPr>
      </w:pPr>
      <w:r w:rsidRPr="00B84EDD">
        <w:rPr>
          <w:rFonts w:ascii="Arial" w:hAnsi="Arial" w:cs="Arial"/>
        </w:rPr>
        <w:t xml:space="preserve">Compensation may also be payable in some circumstances for other potential disadvantages resulting from the easement purchase. </w:t>
      </w:r>
    </w:p>
    <w:p w14:paraId="7C4CDFB8" w14:textId="77777777" w:rsidR="00D97248" w:rsidRPr="00B84EDD" w:rsidRDefault="00D97248" w:rsidP="00B84EDD">
      <w:pPr>
        <w:pStyle w:val="Heading1"/>
        <w:rPr>
          <w:rFonts w:ascii="Arial" w:hAnsi="Arial" w:cs="Arial"/>
        </w:rPr>
      </w:pPr>
      <w:bookmarkStart w:id="2" w:name="_Toc161749648"/>
      <w:r w:rsidRPr="00B84EDD">
        <w:rPr>
          <w:rFonts w:ascii="Arial" w:hAnsi="Arial" w:cs="Arial"/>
        </w:rPr>
        <w:t>What is an easement and how do transmission easements work?</w:t>
      </w:r>
      <w:bookmarkEnd w:id="2"/>
    </w:p>
    <w:p w14:paraId="2C2F8A0F" w14:textId="77777777" w:rsidR="00D97248" w:rsidRPr="00B84EDD" w:rsidRDefault="00D97248" w:rsidP="00D97248">
      <w:pPr>
        <w:rPr>
          <w:rFonts w:ascii="Arial" w:hAnsi="Arial" w:cs="Arial"/>
        </w:rPr>
      </w:pPr>
      <w:r w:rsidRPr="00B84EDD">
        <w:rPr>
          <w:rFonts w:ascii="Arial" w:hAnsi="Arial" w:cs="Arial"/>
        </w:rPr>
        <w:t>An easement is a legal right for a party to occupy and use a portion of land for a specific purpose. Easements may restrict other activities and uses of the land they cover. Such easements, and the rights associated with them, are registered on the Certificate of Title for the relevant land.</w:t>
      </w:r>
    </w:p>
    <w:p w14:paraId="36D030CD" w14:textId="77777777" w:rsidR="00D97248" w:rsidRPr="00B84EDD" w:rsidRDefault="00D97248" w:rsidP="00D97248">
      <w:pPr>
        <w:rPr>
          <w:rFonts w:ascii="Arial" w:hAnsi="Arial" w:cs="Arial"/>
        </w:rPr>
      </w:pPr>
      <w:r w:rsidRPr="00B84EDD">
        <w:rPr>
          <w:rFonts w:ascii="Arial" w:hAnsi="Arial" w:cs="Arial"/>
        </w:rPr>
        <w:t xml:space="preserve">Transmission easements are used by electricity corporations to build, maintain, and operate transmission infrastructure. The dimensions of an easement will vary according to the size, </w:t>
      </w:r>
      <w:proofErr w:type="gramStart"/>
      <w:r w:rsidRPr="00B84EDD">
        <w:rPr>
          <w:rFonts w:ascii="Arial" w:hAnsi="Arial" w:cs="Arial"/>
        </w:rPr>
        <w:t>design</w:t>
      </w:r>
      <w:proofErr w:type="gramEnd"/>
      <w:r w:rsidRPr="00B84EDD">
        <w:rPr>
          <w:rFonts w:ascii="Arial" w:hAnsi="Arial" w:cs="Arial"/>
        </w:rPr>
        <w:t xml:space="preserve"> and location of the electricity infrastructure.</w:t>
      </w:r>
    </w:p>
    <w:p w14:paraId="6BECE9A8" w14:textId="29C980DB" w:rsidR="00D97248" w:rsidRPr="00B84EDD" w:rsidRDefault="00D97248" w:rsidP="00D97248">
      <w:pPr>
        <w:rPr>
          <w:rStyle w:val="IntenseEmphasis"/>
          <w:rFonts w:ascii="Arial" w:hAnsi="Arial" w:cs="Arial"/>
        </w:rPr>
      </w:pPr>
      <w:r w:rsidRPr="00B84EDD">
        <w:rPr>
          <w:rStyle w:val="IntenseEmphasis"/>
          <w:rFonts w:ascii="Arial" w:hAnsi="Arial" w:cs="Arial"/>
        </w:rPr>
        <w:t xml:space="preserve">An electricity corporation is defined under the Electricity Industry Act 1990 (EI Act) as a distribution company, a transmission </w:t>
      </w:r>
      <w:proofErr w:type="gramStart"/>
      <w:r w:rsidRPr="00B84EDD">
        <w:rPr>
          <w:rStyle w:val="IntenseEmphasis"/>
          <w:rFonts w:ascii="Arial" w:hAnsi="Arial" w:cs="Arial"/>
        </w:rPr>
        <w:t>company</w:t>
      </w:r>
      <w:proofErr w:type="gramEnd"/>
      <w:r w:rsidRPr="00B84EDD">
        <w:rPr>
          <w:rStyle w:val="IntenseEmphasis"/>
          <w:rFonts w:ascii="Arial" w:hAnsi="Arial" w:cs="Arial"/>
        </w:rPr>
        <w:t xml:space="preserve"> or a generation company.</w:t>
      </w:r>
    </w:p>
    <w:p w14:paraId="7ACCD347" w14:textId="77777777" w:rsidR="00D97248" w:rsidRPr="00B84EDD" w:rsidRDefault="00D97248" w:rsidP="00D97248">
      <w:pPr>
        <w:rPr>
          <w:rFonts w:ascii="Arial" w:hAnsi="Arial" w:cs="Arial"/>
        </w:rPr>
      </w:pPr>
      <w:r w:rsidRPr="00B84EDD">
        <w:rPr>
          <w:rFonts w:ascii="Arial" w:hAnsi="Arial" w:cs="Arial"/>
        </w:rPr>
        <w:t xml:space="preserve">The rights an electricity corporation has over an easement may in some cases limit the landholder’s ordinary use of their land. For example, an easement may limit certain farming activities, although many farming activities can continue within a transmission easement. Where there are impacts, farmers can be entitled to compensation under the LACA, as set out above. </w:t>
      </w:r>
    </w:p>
    <w:p w14:paraId="5A2D93E1" w14:textId="52905B00" w:rsidR="00D97248" w:rsidRPr="00B84EDD" w:rsidRDefault="00D97248" w:rsidP="00B84EDD">
      <w:pPr>
        <w:pStyle w:val="Heading1"/>
        <w:rPr>
          <w:rFonts w:ascii="Arial" w:hAnsi="Arial" w:cs="Arial"/>
        </w:rPr>
      </w:pPr>
      <w:bookmarkStart w:id="3" w:name="_Toc161749649"/>
      <w:r w:rsidRPr="00B84EDD">
        <w:rPr>
          <w:rFonts w:ascii="Arial" w:hAnsi="Arial" w:cs="Arial"/>
        </w:rPr>
        <w:t>How do electricity corporations obtain easements over land?</w:t>
      </w:r>
      <w:bookmarkEnd w:id="3"/>
    </w:p>
    <w:p w14:paraId="218F114E" w14:textId="77777777" w:rsidR="00D97248" w:rsidRPr="00B84EDD" w:rsidRDefault="00D97248" w:rsidP="00D97248">
      <w:pPr>
        <w:rPr>
          <w:rFonts w:ascii="Arial" w:hAnsi="Arial" w:cs="Arial"/>
        </w:rPr>
      </w:pPr>
      <w:r w:rsidRPr="00B84EDD">
        <w:rPr>
          <w:rFonts w:ascii="Arial" w:hAnsi="Arial" w:cs="Arial"/>
        </w:rPr>
        <w:t xml:space="preserve">Electricity corporations may acquire an easement on private land to build, maintain, and operate transmission infrastructure with the agreement of the landholder. Where </w:t>
      </w:r>
      <w:r w:rsidRPr="00B84EDD">
        <w:rPr>
          <w:rFonts w:ascii="Arial" w:hAnsi="Arial" w:cs="Arial"/>
        </w:rPr>
        <w:lastRenderedPageBreak/>
        <w:t xml:space="preserve">agreement cannot be reached, it is possible for an electricity corporation to compulsorily acquire an easement </w:t>
      </w:r>
      <w:r w:rsidRPr="00B84EDD">
        <w:rPr>
          <w:rFonts w:ascii="Arial" w:hAnsi="Arial" w:cs="Arial"/>
        </w:rPr>
        <w:br/>
        <w:t xml:space="preserve">in exceptional circumstances. </w:t>
      </w:r>
    </w:p>
    <w:p w14:paraId="0897ACC3" w14:textId="77777777" w:rsidR="00D97248" w:rsidRPr="00B84EDD" w:rsidRDefault="00D97248" w:rsidP="00D97248">
      <w:pPr>
        <w:rPr>
          <w:rFonts w:ascii="Arial" w:hAnsi="Arial" w:cs="Arial"/>
        </w:rPr>
      </w:pPr>
      <w:r w:rsidRPr="00B84EDD">
        <w:rPr>
          <w:rFonts w:ascii="Arial" w:hAnsi="Arial" w:cs="Arial"/>
        </w:rPr>
        <w:t xml:space="preserve">While the power of compulsory acquisition does exist, </w:t>
      </w:r>
      <w:proofErr w:type="spellStart"/>
      <w:r w:rsidRPr="00B84EDD">
        <w:rPr>
          <w:rFonts w:ascii="Arial" w:hAnsi="Arial" w:cs="Arial"/>
        </w:rPr>
        <w:t>VicGrid’s</w:t>
      </w:r>
      <w:proofErr w:type="spellEnd"/>
      <w:r w:rsidRPr="00B84EDD">
        <w:rPr>
          <w:rFonts w:ascii="Arial" w:hAnsi="Arial" w:cs="Arial"/>
        </w:rPr>
        <w:t xml:space="preserve"> position is that companies should always seek to reach agreement through effective engagement, planning, and negotiation with landholders.</w:t>
      </w:r>
    </w:p>
    <w:p w14:paraId="42871967" w14:textId="4999F5A2" w:rsidR="00D97248" w:rsidRPr="00B84EDD" w:rsidRDefault="00D97248" w:rsidP="00D97248">
      <w:pPr>
        <w:rPr>
          <w:rFonts w:ascii="Arial" w:hAnsi="Arial" w:cs="Arial"/>
        </w:rPr>
      </w:pPr>
      <w:r w:rsidRPr="00B84EDD">
        <w:rPr>
          <w:rFonts w:ascii="Arial" w:hAnsi="Arial" w:cs="Arial"/>
        </w:rPr>
        <w:t>For compulsory acquisition, an electricity corporation needs approval from the Governor-in-Council. In practice, the responsible minister would recommend to the Governor-in-Council to approve these powers.</w:t>
      </w:r>
    </w:p>
    <w:p w14:paraId="79DFEE80" w14:textId="1ECDA71A" w:rsidR="00D97248" w:rsidRPr="00B84EDD" w:rsidRDefault="00D97248" w:rsidP="00B84EDD">
      <w:pPr>
        <w:pStyle w:val="Heading3"/>
        <w:rPr>
          <w:rFonts w:ascii="Arial" w:hAnsi="Arial" w:cs="Arial"/>
        </w:rPr>
      </w:pPr>
      <w:r w:rsidRPr="00B84EDD">
        <w:rPr>
          <w:rFonts w:ascii="Arial" w:hAnsi="Arial" w:cs="Arial"/>
        </w:rPr>
        <w:t>The rights of an electricity corporation for easements are limited to:</w:t>
      </w:r>
    </w:p>
    <w:p w14:paraId="47578556" w14:textId="77777777" w:rsidR="00B84EDD" w:rsidRPr="00B84EDD" w:rsidRDefault="00D97248" w:rsidP="00B84EDD">
      <w:pPr>
        <w:pStyle w:val="ListParagraph"/>
        <w:numPr>
          <w:ilvl w:val="0"/>
          <w:numId w:val="2"/>
        </w:numPr>
        <w:rPr>
          <w:rFonts w:ascii="Arial" w:hAnsi="Arial" w:cs="Arial"/>
        </w:rPr>
      </w:pPr>
      <w:r w:rsidRPr="00B84EDD">
        <w:rPr>
          <w:rFonts w:ascii="Arial" w:hAnsi="Arial" w:cs="Arial"/>
        </w:rPr>
        <w:t xml:space="preserve">erecting and/or laying overhead powerlines or underground cables (or both)  </w:t>
      </w:r>
    </w:p>
    <w:p w14:paraId="53E66B4B" w14:textId="03A308D7" w:rsidR="00D97248" w:rsidRPr="00B84EDD" w:rsidRDefault="00D97248" w:rsidP="00B84EDD">
      <w:pPr>
        <w:pStyle w:val="ListParagraph"/>
        <w:numPr>
          <w:ilvl w:val="0"/>
          <w:numId w:val="2"/>
        </w:numPr>
        <w:rPr>
          <w:rFonts w:ascii="Arial" w:hAnsi="Arial" w:cs="Arial"/>
        </w:rPr>
      </w:pPr>
      <w:r w:rsidRPr="00B84EDD">
        <w:rPr>
          <w:rFonts w:ascii="Arial" w:hAnsi="Arial" w:cs="Arial"/>
        </w:rPr>
        <w:t>maintaining those powerlines or cables.</w:t>
      </w:r>
    </w:p>
    <w:p w14:paraId="13242B04" w14:textId="77777777" w:rsidR="00B84EDD" w:rsidRPr="00B84EDD" w:rsidRDefault="00D97248" w:rsidP="00D97248">
      <w:pPr>
        <w:rPr>
          <w:rFonts w:ascii="Arial" w:hAnsi="Arial" w:cs="Arial"/>
        </w:rPr>
      </w:pPr>
      <w:r w:rsidRPr="00B84EDD">
        <w:rPr>
          <w:rFonts w:ascii="Arial" w:hAnsi="Arial" w:cs="Arial"/>
        </w:rPr>
        <w:t xml:space="preserve">When an electricity corporation acquires an easement, landholders will be compensated in accordance with the LACA. As mentioned above, landholders will also receive additional new payments which are over and above compensation amounts payable through the LACA. </w:t>
      </w:r>
    </w:p>
    <w:p w14:paraId="284C1887" w14:textId="29D41DD8" w:rsidR="00B84EDD" w:rsidRPr="00B84EDD" w:rsidRDefault="00D97248" w:rsidP="00B84EDD">
      <w:pPr>
        <w:pStyle w:val="Heading1"/>
        <w:rPr>
          <w:rFonts w:ascii="Arial" w:hAnsi="Arial" w:cs="Arial"/>
        </w:rPr>
      </w:pPr>
      <w:bookmarkStart w:id="4" w:name="_Toc161749650"/>
      <w:r w:rsidRPr="00B84EDD">
        <w:rPr>
          <w:rFonts w:ascii="Arial" w:hAnsi="Arial" w:cs="Arial"/>
        </w:rPr>
        <w:t>Managing impacts on neighbouring landholders</w:t>
      </w:r>
      <w:bookmarkEnd w:id="4"/>
    </w:p>
    <w:p w14:paraId="66D63CF4" w14:textId="77777777" w:rsidR="00D97248" w:rsidRPr="00B84EDD" w:rsidRDefault="00D97248" w:rsidP="00D97248">
      <w:pPr>
        <w:rPr>
          <w:rFonts w:ascii="Arial" w:hAnsi="Arial" w:cs="Arial"/>
        </w:rPr>
      </w:pPr>
      <w:proofErr w:type="spellStart"/>
      <w:r w:rsidRPr="00B84EDD">
        <w:rPr>
          <w:rFonts w:ascii="Arial" w:hAnsi="Arial" w:cs="Arial"/>
        </w:rPr>
        <w:t>VicGrid</w:t>
      </w:r>
      <w:proofErr w:type="spellEnd"/>
      <w:r w:rsidRPr="00B84EDD">
        <w:rPr>
          <w:rFonts w:ascii="Arial" w:hAnsi="Arial" w:cs="Arial"/>
        </w:rPr>
        <w:t xml:space="preserve"> recognises that neighbouring landholders to those hosting the infrastructure sometimes also feel its impacts. </w:t>
      </w:r>
      <w:proofErr w:type="spellStart"/>
      <w:r w:rsidRPr="00B84EDD">
        <w:rPr>
          <w:rFonts w:ascii="Arial" w:hAnsi="Arial" w:cs="Arial"/>
        </w:rPr>
        <w:t>VicGrid</w:t>
      </w:r>
      <w:proofErr w:type="spellEnd"/>
      <w:r w:rsidRPr="00B84EDD">
        <w:rPr>
          <w:rFonts w:ascii="Arial" w:hAnsi="Arial" w:cs="Arial"/>
        </w:rPr>
        <w:t xml:space="preserve"> is considering this issue further and is developing guidance to set clear expectations for managing impacts on neighbouring landholders that are significantly impacted by nearby transmission projects. </w:t>
      </w:r>
    </w:p>
    <w:p w14:paraId="76EC32CD" w14:textId="77777777" w:rsidR="00D97248" w:rsidRPr="00B84EDD" w:rsidRDefault="00D97248" w:rsidP="00B84EDD">
      <w:pPr>
        <w:pStyle w:val="Heading1"/>
        <w:rPr>
          <w:rFonts w:ascii="Arial" w:hAnsi="Arial" w:cs="Arial"/>
        </w:rPr>
      </w:pPr>
      <w:bookmarkStart w:id="5" w:name="_Toc161749651"/>
      <w:r w:rsidRPr="00B84EDD">
        <w:rPr>
          <w:rFonts w:ascii="Arial" w:hAnsi="Arial" w:cs="Arial"/>
        </w:rPr>
        <w:t xml:space="preserve">Contact </w:t>
      </w:r>
      <w:proofErr w:type="gramStart"/>
      <w:r w:rsidRPr="00B84EDD">
        <w:rPr>
          <w:rFonts w:ascii="Arial" w:hAnsi="Arial" w:cs="Arial"/>
        </w:rPr>
        <w:t>us</w:t>
      </w:r>
      <w:bookmarkEnd w:id="5"/>
      <w:proofErr w:type="gramEnd"/>
    </w:p>
    <w:p w14:paraId="5E65DC01" w14:textId="77777777" w:rsidR="00D97248" w:rsidRPr="00B84EDD" w:rsidRDefault="00D97248" w:rsidP="00D97248">
      <w:pPr>
        <w:rPr>
          <w:rFonts w:ascii="Arial" w:hAnsi="Arial" w:cs="Arial"/>
        </w:rPr>
      </w:pPr>
      <w:r w:rsidRPr="00B84EDD">
        <w:rPr>
          <w:rFonts w:ascii="Arial" w:hAnsi="Arial" w:cs="Arial"/>
        </w:rPr>
        <w:t xml:space="preserve">Phone: 1800 418 341 </w:t>
      </w:r>
    </w:p>
    <w:p w14:paraId="04B6042F" w14:textId="77777777" w:rsidR="00D97248" w:rsidRPr="00B84EDD" w:rsidRDefault="00D97248" w:rsidP="00D97248">
      <w:pPr>
        <w:rPr>
          <w:rFonts w:ascii="Arial" w:hAnsi="Arial" w:cs="Arial"/>
        </w:rPr>
      </w:pPr>
      <w:r w:rsidRPr="00B84EDD">
        <w:rPr>
          <w:rFonts w:ascii="Arial" w:hAnsi="Arial" w:cs="Arial"/>
        </w:rPr>
        <w:t>Email: vicgrid@deeca.vic.gov.au</w:t>
      </w:r>
    </w:p>
    <w:p w14:paraId="55CB2F2D" w14:textId="700D5E9C" w:rsidR="00D97248" w:rsidRPr="00B84EDD" w:rsidRDefault="00D97248" w:rsidP="00D97248">
      <w:pPr>
        <w:rPr>
          <w:rFonts w:ascii="Arial" w:hAnsi="Arial" w:cs="Arial"/>
        </w:rPr>
      </w:pPr>
      <w:r w:rsidRPr="00B84EDD">
        <w:rPr>
          <w:rFonts w:ascii="Arial" w:hAnsi="Arial" w:cs="Arial"/>
        </w:rPr>
        <w:t>Deaf, hearing or speech impaired? Please contact the National Relay Service on 133 677 or communications.gov.au/</w:t>
      </w:r>
      <w:proofErr w:type="spellStart"/>
      <w:r w:rsidRPr="00B84EDD">
        <w:rPr>
          <w:rFonts w:ascii="Arial" w:hAnsi="Arial" w:cs="Arial"/>
        </w:rPr>
        <w:t>accesshub</w:t>
      </w:r>
      <w:proofErr w:type="spellEnd"/>
      <w:r w:rsidRPr="00B84EDD">
        <w:rPr>
          <w:rFonts w:ascii="Arial" w:hAnsi="Arial" w:cs="Arial"/>
        </w:rPr>
        <w:t>/</w:t>
      </w:r>
      <w:proofErr w:type="spellStart"/>
      <w:r w:rsidRPr="00B84EDD">
        <w:rPr>
          <w:rFonts w:ascii="Arial" w:hAnsi="Arial" w:cs="Arial"/>
        </w:rPr>
        <w:t>nrs</w:t>
      </w:r>
      <w:proofErr w:type="spellEnd"/>
    </w:p>
    <w:p w14:paraId="6EDDC2B6" w14:textId="4F544CA6" w:rsidR="00D97248" w:rsidRPr="00B84EDD" w:rsidRDefault="00D97248" w:rsidP="00D97248">
      <w:pPr>
        <w:rPr>
          <w:rFonts w:ascii="Arial" w:hAnsi="Arial" w:cs="Arial"/>
        </w:rPr>
      </w:pPr>
      <w:r w:rsidRPr="00B84EDD">
        <w:rPr>
          <w:rFonts w:ascii="Arial" w:hAnsi="Arial" w:cs="Arial"/>
        </w:rPr>
        <w:t xml:space="preserve">Need an interpreter? Contact Translating and Interpreting Service (TIS) on 131 450 (within Australia) or visit </w:t>
      </w:r>
      <w:proofErr w:type="gramStart"/>
      <w:r w:rsidRPr="00B84EDD">
        <w:rPr>
          <w:rFonts w:ascii="Arial" w:hAnsi="Arial" w:cs="Arial"/>
        </w:rPr>
        <w:t>www.tisnational.gov.au</w:t>
      </w:r>
      <w:proofErr w:type="gramEnd"/>
    </w:p>
    <w:p w14:paraId="4C83B980" w14:textId="77777777" w:rsidR="00D97248" w:rsidRPr="00B84EDD" w:rsidRDefault="00D97248" w:rsidP="00D97248">
      <w:pPr>
        <w:rPr>
          <w:rFonts w:ascii="Arial" w:hAnsi="Arial" w:cs="Arial"/>
        </w:rPr>
      </w:pPr>
      <w:r w:rsidRPr="00B84EDD">
        <w:rPr>
          <w:rFonts w:ascii="Arial" w:hAnsi="Arial" w:cs="Arial"/>
        </w:rPr>
        <w:t>ISBN 978-1-76136-602-4 (Print)</w:t>
      </w:r>
    </w:p>
    <w:p w14:paraId="7470473A" w14:textId="77777777" w:rsidR="00D97248" w:rsidRPr="00B84EDD" w:rsidRDefault="00D97248" w:rsidP="00D97248">
      <w:pPr>
        <w:rPr>
          <w:rFonts w:ascii="Arial" w:hAnsi="Arial" w:cs="Arial"/>
        </w:rPr>
      </w:pPr>
      <w:r w:rsidRPr="00B84EDD">
        <w:rPr>
          <w:rFonts w:ascii="Arial" w:hAnsi="Arial" w:cs="Arial"/>
        </w:rPr>
        <w:t>ISBN 978-1-76136-603-1 (pdf/online/MS word)</w:t>
      </w:r>
    </w:p>
    <w:p w14:paraId="12697336" w14:textId="39CB8258" w:rsidR="00D97248" w:rsidRPr="00B84EDD" w:rsidRDefault="00D97248" w:rsidP="00D97248">
      <w:pPr>
        <w:rPr>
          <w:rFonts w:ascii="Arial" w:hAnsi="Arial" w:cs="Arial"/>
        </w:rPr>
      </w:pPr>
      <w:r w:rsidRPr="00B84EDD">
        <w:rPr>
          <w:rFonts w:ascii="Arial" w:hAnsi="Arial" w:cs="Arial"/>
        </w:rPr>
        <w:lastRenderedPageBreak/>
        <w:t>Disclaimer: The information in this document is current at the time of printing, may be subject to change and should not be relied upon. Please visit vicgrid.vic.gov.au for the latest updates.</w:t>
      </w:r>
    </w:p>
    <w:p w14:paraId="739EEA9B" w14:textId="43ED5D25" w:rsidR="00D97248" w:rsidRPr="00B84EDD" w:rsidRDefault="00D97248" w:rsidP="00D97248">
      <w:pPr>
        <w:rPr>
          <w:rFonts w:ascii="Arial" w:hAnsi="Arial" w:cs="Arial"/>
        </w:rPr>
      </w:pPr>
    </w:p>
    <w:p w14:paraId="66330783" w14:textId="77777777" w:rsidR="00D97248" w:rsidRPr="00D97248" w:rsidRDefault="00D97248" w:rsidP="00D97248"/>
    <w:sectPr w:rsidR="00D97248" w:rsidRPr="00D97248" w:rsidSect="00A271C8">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SemiBold">
    <w:altName w:val="Calibri"/>
    <w:panose1 w:val="00000000000000000000"/>
    <w:charset w:val="00"/>
    <w:family w:val="auto"/>
    <w:notTrueType/>
    <w:pitch w:val="default"/>
    <w:sig w:usb0="00000003" w:usb1="00000000" w:usb2="00000000" w:usb3="00000000" w:csb0="00000001" w:csb1="00000000"/>
  </w:font>
  <w:font w:name="VIC">
    <w:altName w:val="Calibri"/>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676E"/>
    <w:multiLevelType w:val="hybridMultilevel"/>
    <w:tmpl w:val="8E4A2B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044DDB"/>
    <w:multiLevelType w:val="hybridMultilevel"/>
    <w:tmpl w:val="C9823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7031946">
    <w:abstractNumId w:val="1"/>
  </w:num>
  <w:num w:numId="2" w16cid:durableId="207704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48"/>
    <w:rsid w:val="007766B3"/>
    <w:rsid w:val="00A271C8"/>
    <w:rsid w:val="00A93CE8"/>
    <w:rsid w:val="00AF18F7"/>
    <w:rsid w:val="00B84EDD"/>
    <w:rsid w:val="00D97248"/>
    <w:rsid w:val="00E12F56"/>
    <w:rsid w:val="00E36CF2"/>
    <w:rsid w:val="00E72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5433"/>
  <w15:chartTrackingRefBased/>
  <w15:docId w15:val="{FBE772F0-8890-4962-91D6-1B16D6AD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7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72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2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2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2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2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2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2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2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72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72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2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2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2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2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2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248"/>
    <w:rPr>
      <w:rFonts w:eastAsiaTheme="majorEastAsia" w:cstheme="majorBidi"/>
      <w:color w:val="272727" w:themeColor="text1" w:themeTint="D8"/>
    </w:rPr>
  </w:style>
  <w:style w:type="paragraph" w:styleId="Title">
    <w:name w:val="Title"/>
    <w:basedOn w:val="Normal"/>
    <w:next w:val="Normal"/>
    <w:link w:val="TitleChar"/>
    <w:uiPriority w:val="10"/>
    <w:qFormat/>
    <w:rsid w:val="00D97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2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248"/>
    <w:pPr>
      <w:spacing w:before="160"/>
      <w:jc w:val="center"/>
    </w:pPr>
    <w:rPr>
      <w:i/>
      <w:iCs/>
      <w:color w:val="404040" w:themeColor="text1" w:themeTint="BF"/>
    </w:rPr>
  </w:style>
  <w:style w:type="character" w:customStyle="1" w:styleId="QuoteChar">
    <w:name w:val="Quote Char"/>
    <w:basedOn w:val="DefaultParagraphFont"/>
    <w:link w:val="Quote"/>
    <w:uiPriority w:val="29"/>
    <w:rsid w:val="00D97248"/>
    <w:rPr>
      <w:i/>
      <w:iCs/>
      <w:color w:val="404040" w:themeColor="text1" w:themeTint="BF"/>
    </w:rPr>
  </w:style>
  <w:style w:type="paragraph" w:styleId="ListParagraph">
    <w:name w:val="List Paragraph"/>
    <w:basedOn w:val="Normal"/>
    <w:uiPriority w:val="34"/>
    <w:qFormat/>
    <w:rsid w:val="00D97248"/>
    <w:pPr>
      <w:ind w:left="720"/>
      <w:contextualSpacing/>
    </w:pPr>
  </w:style>
  <w:style w:type="character" w:styleId="IntenseEmphasis">
    <w:name w:val="Intense Emphasis"/>
    <w:basedOn w:val="DefaultParagraphFont"/>
    <w:uiPriority w:val="21"/>
    <w:qFormat/>
    <w:rsid w:val="00D97248"/>
    <w:rPr>
      <w:i/>
      <w:iCs/>
      <w:color w:val="0F4761" w:themeColor="accent1" w:themeShade="BF"/>
    </w:rPr>
  </w:style>
  <w:style w:type="paragraph" w:styleId="IntenseQuote">
    <w:name w:val="Intense Quote"/>
    <w:basedOn w:val="Normal"/>
    <w:next w:val="Normal"/>
    <w:link w:val="IntenseQuoteChar"/>
    <w:uiPriority w:val="30"/>
    <w:qFormat/>
    <w:rsid w:val="00D97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248"/>
    <w:rPr>
      <w:i/>
      <w:iCs/>
      <w:color w:val="0F4761" w:themeColor="accent1" w:themeShade="BF"/>
    </w:rPr>
  </w:style>
  <w:style w:type="character" w:styleId="IntenseReference">
    <w:name w:val="Intense Reference"/>
    <w:basedOn w:val="DefaultParagraphFont"/>
    <w:uiPriority w:val="32"/>
    <w:qFormat/>
    <w:rsid w:val="00D97248"/>
    <w:rPr>
      <w:b/>
      <w:bCs/>
      <w:smallCaps/>
      <w:color w:val="0F4761" w:themeColor="accent1" w:themeShade="BF"/>
      <w:spacing w:val="5"/>
    </w:rPr>
  </w:style>
  <w:style w:type="paragraph" w:customStyle="1" w:styleId="Kicker">
    <w:name w:val="Kicker"/>
    <w:basedOn w:val="Normal"/>
    <w:uiPriority w:val="99"/>
    <w:rsid w:val="00D97248"/>
    <w:pPr>
      <w:keepLines/>
      <w:autoSpaceDE w:val="0"/>
      <w:autoSpaceDN w:val="0"/>
      <w:adjustRightInd w:val="0"/>
      <w:spacing w:after="283" w:line="340" w:lineRule="atLeast"/>
      <w:textAlignment w:val="center"/>
    </w:pPr>
    <w:rPr>
      <w:rFonts w:ascii="MinionPro-Regular" w:hAnsi="MinionPro-Regular" w:cs="MinionPro-Regular"/>
      <w:b/>
      <w:bCs/>
      <w:color w:val="004B7C"/>
      <w:spacing w:val="3"/>
      <w:kern w:val="0"/>
      <w:sz w:val="28"/>
      <w:szCs w:val="28"/>
      <w:lang w:val="en-US"/>
    </w:rPr>
  </w:style>
  <w:style w:type="paragraph" w:customStyle="1" w:styleId="Heading1TextOption1Headings">
    <w:name w:val="Heading 1 Text_Option 1 (Headings)"/>
    <w:basedOn w:val="Normal"/>
    <w:uiPriority w:val="99"/>
    <w:rsid w:val="00D97248"/>
    <w:pPr>
      <w:keepLines/>
      <w:autoSpaceDE w:val="0"/>
      <w:autoSpaceDN w:val="0"/>
      <w:adjustRightInd w:val="0"/>
      <w:spacing w:before="227" w:after="227" w:line="480" w:lineRule="atLeast"/>
      <w:textAlignment w:val="center"/>
    </w:pPr>
    <w:rPr>
      <w:rFonts w:ascii="Minion Pro SemiBold" w:hAnsi="Minion Pro SemiBold" w:cs="Minion Pro SemiBold"/>
      <w:b/>
      <w:bCs/>
      <w:color w:val="000000"/>
      <w:kern w:val="0"/>
      <w:sz w:val="44"/>
      <w:szCs w:val="44"/>
      <w:lang w:val="en-US"/>
    </w:rPr>
  </w:style>
  <w:style w:type="paragraph" w:customStyle="1" w:styleId="BodyCopyBody">
    <w:name w:val="Body Copy (Body)"/>
    <w:basedOn w:val="Normal"/>
    <w:uiPriority w:val="99"/>
    <w:rsid w:val="00D97248"/>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styleId="TOCHeading">
    <w:name w:val="TOC Heading"/>
    <w:basedOn w:val="Heading1"/>
    <w:next w:val="Normal"/>
    <w:uiPriority w:val="39"/>
    <w:unhideWhenUsed/>
    <w:qFormat/>
    <w:rsid w:val="00B84EDD"/>
    <w:pPr>
      <w:spacing w:before="480" w:after="0" w:line="276" w:lineRule="auto"/>
      <w:outlineLvl w:val="9"/>
    </w:pPr>
    <w:rPr>
      <w:b/>
      <w:bCs/>
      <w:kern w:val="0"/>
      <w:sz w:val="28"/>
      <w:szCs w:val="28"/>
      <w:lang w:val="en-US"/>
      <w14:ligatures w14:val="none"/>
    </w:rPr>
  </w:style>
  <w:style w:type="paragraph" w:styleId="TOC2">
    <w:name w:val="toc 2"/>
    <w:basedOn w:val="Normal"/>
    <w:next w:val="Normal"/>
    <w:autoRedefine/>
    <w:uiPriority w:val="39"/>
    <w:unhideWhenUsed/>
    <w:rsid w:val="00B84EDD"/>
    <w:pPr>
      <w:spacing w:before="120" w:after="0"/>
      <w:ind w:left="240"/>
    </w:pPr>
    <w:rPr>
      <w:b/>
      <w:bCs/>
      <w:sz w:val="22"/>
      <w:szCs w:val="22"/>
    </w:rPr>
  </w:style>
  <w:style w:type="paragraph" w:styleId="TOC1">
    <w:name w:val="toc 1"/>
    <w:basedOn w:val="Normal"/>
    <w:next w:val="Normal"/>
    <w:autoRedefine/>
    <w:uiPriority w:val="39"/>
    <w:unhideWhenUsed/>
    <w:rsid w:val="00B84EDD"/>
    <w:pPr>
      <w:spacing w:before="120" w:after="0"/>
    </w:pPr>
    <w:rPr>
      <w:b/>
      <w:bCs/>
      <w:i/>
      <w:iCs/>
    </w:rPr>
  </w:style>
  <w:style w:type="paragraph" w:styleId="TOC3">
    <w:name w:val="toc 3"/>
    <w:basedOn w:val="Normal"/>
    <w:next w:val="Normal"/>
    <w:autoRedefine/>
    <w:uiPriority w:val="39"/>
    <w:unhideWhenUsed/>
    <w:rsid w:val="00B84EDD"/>
    <w:pPr>
      <w:spacing w:after="0"/>
      <w:ind w:left="480"/>
    </w:pPr>
    <w:rPr>
      <w:sz w:val="20"/>
      <w:szCs w:val="20"/>
    </w:rPr>
  </w:style>
  <w:style w:type="character" w:styleId="Hyperlink">
    <w:name w:val="Hyperlink"/>
    <w:basedOn w:val="DefaultParagraphFont"/>
    <w:uiPriority w:val="99"/>
    <w:unhideWhenUsed/>
    <w:rsid w:val="00B84EDD"/>
    <w:rPr>
      <w:color w:val="467886" w:themeColor="hyperlink"/>
      <w:u w:val="single"/>
    </w:rPr>
  </w:style>
  <w:style w:type="paragraph" w:styleId="TOC4">
    <w:name w:val="toc 4"/>
    <w:basedOn w:val="Normal"/>
    <w:next w:val="Normal"/>
    <w:autoRedefine/>
    <w:uiPriority w:val="39"/>
    <w:semiHidden/>
    <w:unhideWhenUsed/>
    <w:rsid w:val="00B84EDD"/>
    <w:pPr>
      <w:spacing w:after="0"/>
      <w:ind w:left="720"/>
    </w:pPr>
    <w:rPr>
      <w:sz w:val="20"/>
      <w:szCs w:val="20"/>
    </w:rPr>
  </w:style>
  <w:style w:type="paragraph" w:styleId="TOC5">
    <w:name w:val="toc 5"/>
    <w:basedOn w:val="Normal"/>
    <w:next w:val="Normal"/>
    <w:autoRedefine/>
    <w:uiPriority w:val="39"/>
    <w:semiHidden/>
    <w:unhideWhenUsed/>
    <w:rsid w:val="00B84EDD"/>
    <w:pPr>
      <w:spacing w:after="0"/>
      <w:ind w:left="960"/>
    </w:pPr>
    <w:rPr>
      <w:sz w:val="20"/>
      <w:szCs w:val="20"/>
    </w:rPr>
  </w:style>
  <w:style w:type="paragraph" w:styleId="TOC6">
    <w:name w:val="toc 6"/>
    <w:basedOn w:val="Normal"/>
    <w:next w:val="Normal"/>
    <w:autoRedefine/>
    <w:uiPriority w:val="39"/>
    <w:semiHidden/>
    <w:unhideWhenUsed/>
    <w:rsid w:val="00B84EDD"/>
    <w:pPr>
      <w:spacing w:after="0"/>
      <w:ind w:left="1200"/>
    </w:pPr>
    <w:rPr>
      <w:sz w:val="20"/>
      <w:szCs w:val="20"/>
    </w:rPr>
  </w:style>
  <w:style w:type="paragraph" w:styleId="TOC7">
    <w:name w:val="toc 7"/>
    <w:basedOn w:val="Normal"/>
    <w:next w:val="Normal"/>
    <w:autoRedefine/>
    <w:uiPriority w:val="39"/>
    <w:semiHidden/>
    <w:unhideWhenUsed/>
    <w:rsid w:val="00B84EDD"/>
    <w:pPr>
      <w:spacing w:after="0"/>
      <w:ind w:left="1440"/>
    </w:pPr>
    <w:rPr>
      <w:sz w:val="20"/>
      <w:szCs w:val="20"/>
    </w:rPr>
  </w:style>
  <w:style w:type="paragraph" w:styleId="TOC8">
    <w:name w:val="toc 8"/>
    <w:basedOn w:val="Normal"/>
    <w:next w:val="Normal"/>
    <w:autoRedefine/>
    <w:uiPriority w:val="39"/>
    <w:semiHidden/>
    <w:unhideWhenUsed/>
    <w:rsid w:val="00B84EDD"/>
    <w:pPr>
      <w:spacing w:after="0"/>
      <w:ind w:left="1680"/>
    </w:pPr>
    <w:rPr>
      <w:sz w:val="20"/>
      <w:szCs w:val="20"/>
    </w:rPr>
  </w:style>
  <w:style w:type="paragraph" w:styleId="TOC9">
    <w:name w:val="toc 9"/>
    <w:basedOn w:val="Normal"/>
    <w:next w:val="Normal"/>
    <w:autoRedefine/>
    <w:uiPriority w:val="39"/>
    <w:semiHidden/>
    <w:unhideWhenUsed/>
    <w:rsid w:val="00B84EDD"/>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05139">
      <w:bodyDiv w:val="1"/>
      <w:marLeft w:val="0"/>
      <w:marRight w:val="0"/>
      <w:marTop w:val="0"/>
      <w:marBottom w:val="0"/>
      <w:divBdr>
        <w:top w:val="none" w:sz="0" w:space="0" w:color="auto"/>
        <w:left w:val="none" w:sz="0" w:space="0" w:color="auto"/>
        <w:bottom w:val="none" w:sz="0" w:space="0" w:color="auto"/>
        <w:right w:val="none" w:sz="0" w:space="0" w:color="auto"/>
      </w:divBdr>
      <w:divsChild>
        <w:div w:id="1675650505">
          <w:marLeft w:val="0"/>
          <w:marRight w:val="0"/>
          <w:marTop w:val="0"/>
          <w:marBottom w:val="0"/>
          <w:divBdr>
            <w:top w:val="none" w:sz="0" w:space="0" w:color="auto"/>
            <w:left w:val="none" w:sz="0" w:space="0" w:color="auto"/>
            <w:bottom w:val="none" w:sz="0" w:space="0" w:color="auto"/>
            <w:right w:val="none" w:sz="0" w:space="0" w:color="auto"/>
          </w:divBdr>
          <w:divsChild>
            <w:div w:id="1890144201">
              <w:marLeft w:val="0"/>
              <w:marRight w:val="0"/>
              <w:marTop w:val="0"/>
              <w:marBottom w:val="0"/>
              <w:divBdr>
                <w:top w:val="none" w:sz="0" w:space="0" w:color="auto"/>
                <w:left w:val="none" w:sz="0" w:space="0" w:color="auto"/>
                <w:bottom w:val="none" w:sz="0" w:space="0" w:color="auto"/>
                <w:right w:val="none" w:sz="0" w:space="0" w:color="auto"/>
              </w:divBdr>
              <w:divsChild>
                <w:div w:id="1676610971">
                  <w:marLeft w:val="0"/>
                  <w:marRight w:val="0"/>
                  <w:marTop w:val="0"/>
                  <w:marBottom w:val="0"/>
                  <w:divBdr>
                    <w:top w:val="none" w:sz="0" w:space="0" w:color="auto"/>
                    <w:left w:val="none" w:sz="0" w:space="0" w:color="auto"/>
                    <w:bottom w:val="none" w:sz="0" w:space="0" w:color="auto"/>
                    <w:right w:val="none" w:sz="0" w:space="0" w:color="auto"/>
                  </w:divBdr>
                  <w:divsChild>
                    <w:div w:id="9712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39B262FBAB6E4AA54E55E727720686" ma:contentTypeVersion="22" ma:contentTypeDescription="Create a new document." ma:contentTypeScope="" ma:versionID="4c7eb0010a702656f7da4f6c55107adb">
  <xsd:schema xmlns:xsd="http://www.w3.org/2001/XMLSchema" xmlns:xs="http://www.w3.org/2001/XMLSchema" xmlns:p="http://schemas.microsoft.com/office/2006/metadata/properties" xmlns:ns2="a5f32de4-e402-4188-b034-e71ca7d22e54" xmlns:ns3="c4fc8f4c-6b48-4469-acca-7c51cca0fee9" xmlns:ns4="e88f13cc-f44e-4e32-a909-e552224feb76" targetNamespace="http://schemas.microsoft.com/office/2006/metadata/properties" ma:root="true" ma:fieldsID="e16d416e48bee3d27af0c9d45fe7179a" ns2:_="" ns3:_="" ns4:_="">
    <xsd:import namespace="a5f32de4-e402-4188-b034-e71ca7d22e54"/>
    <xsd:import namespace="c4fc8f4c-6b48-4469-acca-7c51cca0fee9"/>
    <xsd:import namespace="e88f13cc-f44e-4e32-a909-e552224feb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ObjectDetectorVersions" minOccurs="0"/>
                <xsd:element ref="ns3:Notes" minOccurs="0"/>
                <xsd:element ref="ns3:Notes0"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fc8f4c-6b48-4469-acca-7c51cca0fe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Status" ma:format="Dropdown" ma:internalName="Notes">
      <xsd:simpleType>
        <xsd:restriction base="dms:Note">
          <xsd:maxLength value="255"/>
        </xsd:restriction>
      </xsd:simpleType>
    </xsd:element>
    <xsd:element name="Notes0" ma:index="26" nillable="true" ma:displayName="Notes" ma:format="Dropdown" ma:internalName="Notes0">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f13cc-f44e-4e32-a909-e552224feb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097b60-a682-4031-8de2-b3c13d758466}" ma:internalName="TaxCatchAll" ma:showField="CatchAllData" ma:web="e88f13cc-f44e-4e32-a909-e552224fe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c4fc8f4c-6b48-4469-acca-7c51cca0fee9">
      <Terms xmlns="http://schemas.microsoft.com/office/infopath/2007/PartnerControls"/>
    </lcf76f155ced4ddcb4097134ff3c332f>
    <TaxCatchAll xmlns="e88f13cc-f44e-4e32-a909-e552224feb76" xsi:nil="true"/>
    <Notes xmlns="c4fc8f4c-6b48-4469-acca-7c51cca0fee9" xsi:nil="true"/>
    <Notes0 xmlns="c4fc8f4c-6b48-4469-acca-7c51cca0fee9" xsi:nil="true"/>
  </documentManagement>
</p:properties>
</file>

<file path=customXml/itemProps1.xml><?xml version="1.0" encoding="utf-8"?>
<ds:datastoreItem xmlns:ds="http://schemas.openxmlformats.org/officeDocument/2006/customXml" ds:itemID="{DF685219-C77E-DF4D-ADAB-1F28241DC444}">
  <ds:schemaRefs>
    <ds:schemaRef ds:uri="http://schemas.openxmlformats.org/officeDocument/2006/bibliography"/>
  </ds:schemaRefs>
</ds:datastoreItem>
</file>

<file path=customXml/itemProps2.xml><?xml version="1.0" encoding="utf-8"?>
<ds:datastoreItem xmlns:ds="http://schemas.openxmlformats.org/officeDocument/2006/customXml" ds:itemID="{60E69B43-FC9E-48BC-9A9C-015EF9BA8021}"/>
</file>

<file path=customXml/itemProps3.xml><?xml version="1.0" encoding="utf-8"?>
<ds:datastoreItem xmlns:ds="http://schemas.openxmlformats.org/officeDocument/2006/customXml" ds:itemID="{58F002F9-816A-48E0-A5E6-833D1701CAFB}"/>
</file>

<file path=customXml/itemProps4.xml><?xml version="1.0" encoding="utf-8"?>
<ds:datastoreItem xmlns:ds="http://schemas.openxmlformats.org/officeDocument/2006/customXml" ds:itemID="{13CB74C1-F12F-491F-AD9F-E12987C2A617}"/>
</file>

<file path=customXml/itemProps5.xml><?xml version="1.0" encoding="utf-8"?>
<ds:datastoreItem xmlns:ds="http://schemas.openxmlformats.org/officeDocument/2006/customXml" ds:itemID="{262E60F4-EE09-42C2-A152-BEB9F169115C}"/>
</file>

<file path=customXml/itemProps6.xml><?xml version="1.0" encoding="utf-8"?>
<ds:datastoreItem xmlns:ds="http://schemas.openxmlformats.org/officeDocument/2006/customXml" ds:itemID="{88F1E710-F41D-484D-8DB1-8F631DE73905}"/>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Layzell</dc:creator>
  <cp:keywords/>
  <dc:description/>
  <cp:lastModifiedBy>Bethany Crotty</cp:lastModifiedBy>
  <cp:revision>2</cp:revision>
  <dcterms:created xsi:type="dcterms:W3CDTF">2024-03-19T09:46:00Z</dcterms:created>
  <dcterms:modified xsi:type="dcterms:W3CDTF">2024-03-19T09:46:00Z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0x010100D239B262FBAB6E4AA54E55E727720686</vt:lpwstr>
  </property>
</Properties>
</file>